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5"/>
          <w:szCs w:val="5"/>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l</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2" w:lineRule="exact"/>
        <w:rPr>
          <w:sz w:val="24"/>
          <w:szCs w:val="24"/>
          <w:color w:val="auto"/>
        </w:rPr>
      </w:pPr>
    </w:p>
    <w:p>
      <w:pPr>
        <w:ind w:left="480" w:right="740" w:hanging="459"/>
        <w:spacing w:after="0" w:line="242" w:lineRule="auto"/>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001-40431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59055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DAY ONE BIOPHARMACEUTICALS, INC.</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334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3980" w:type="dxa"/>
            <w:vAlign w:val="bottom"/>
            <w:vMerge w:val="restart"/>
          </w:tcPr>
          <w:p>
            <w:pPr>
              <w:jc w:val="center"/>
              <w:ind w:left="157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3920" w:type="dxa"/>
            <w:vAlign w:val="bottom"/>
            <w:vMerge w:val="restart"/>
          </w:tcPr>
          <w:p>
            <w:pPr>
              <w:jc w:val="right"/>
              <w:ind w:right="2395"/>
              <w:spacing w:after="0"/>
              <w:rPr>
                <w:sz w:val="20"/>
                <w:szCs w:val="20"/>
                <w:color w:val="auto"/>
              </w:rPr>
            </w:pPr>
            <w:r>
              <w:rPr>
                <w:rFonts w:ascii="Times New Roman" w:cs="Times New Roman" w:eastAsia="Times New Roman" w:hAnsi="Times New Roman"/>
                <w:sz w:val="14"/>
                <w:szCs w:val="14"/>
                <w:b w:val="1"/>
                <w:bCs w:val="1"/>
                <w:color w:val="auto"/>
              </w:rPr>
              <w:t>83-2415215</w:t>
            </w:r>
          </w:p>
        </w:tc>
        <w:tc>
          <w:tcPr>
            <w:tcW w:w="0" w:type="dxa"/>
            <w:vAlign w:val="bottom"/>
          </w:tcPr>
          <w:p>
            <w:pPr>
              <w:spacing w:after="0"/>
              <w:rPr>
                <w:sz w:val="1"/>
                <w:szCs w:val="1"/>
                <w:color w:val="auto"/>
              </w:rPr>
            </w:pPr>
          </w:p>
        </w:tc>
      </w:tr>
      <w:tr>
        <w:trPr>
          <w:trHeight w:val="194"/>
        </w:trPr>
        <w:tc>
          <w:tcPr>
            <w:tcW w:w="3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980" w:type="dxa"/>
            <w:vAlign w:val="bottom"/>
          </w:tcPr>
          <w:p>
            <w:pPr>
              <w:jc w:val="center"/>
              <w:ind w:left="1593"/>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920" w:type="dxa"/>
            <w:vAlign w:val="bottom"/>
          </w:tcPr>
          <w:p>
            <w:pPr>
              <w:jc w:val="center"/>
              <w:ind w:right="1635"/>
              <w:spacing w:after="0" w:line="124" w:lineRule="exact"/>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24"/>
        </w:trPr>
        <w:tc>
          <w:tcPr>
            <w:tcW w:w="3980" w:type="dxa"/>
            <w:vAlign w:val="bottom"/>
          </w:tcPr>
          <w:p>
            <w:pPr>
              <w:jc w:val="center"/>
              <w:ind w:left="1593"/>
              <w:spacing w:after="0" w:line="124" w:lineRule="exact"/>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920" w:type="dxa"/>
            <w:vAlign w:val="bottom"/>
          </w:tcPr>
          <w:p>
            <w:pPr>
              <w:jc w:val="center"/>
              <w:ind w:right="1635"/>
              <w:spacing w:after="0" w:line="124" w:lineRule="exact"/>
              <w:rPr>
                <w:sz w:val="20"/>
                <w:szCs w:val="20"/>
                <w:color w:val="auto"/>
              </w:rPr>
            </w:pPr>
            <w:r>
              <w:rPr>
                <w:rFonts w:ascii="Times New Roman" w:cs="Times New Roman" w:eastAsia="Times New Roman" w:hAnsi="Times New Roman"/>
                <w:sz w:val="11"/>
                <w:szCs w:val="11"/>
                <w:b w:val="1"/>
                <w:bCs w:val="1"/>
                <w:color w:val="auto"/>
                <w:w w:val="99"/>
              </w:rPr>
              <w:t>Identification No.)</w:t>
            </w:r>
          </w:p>
        </w:tc>
        <w:tc>
          <w:tcPr>
            <w:tcW w:w="0" w:type="dxa"/>
            <w:vAlign w:val="bottom"/>
          </w:tcPr>
          <w:p>
            <w:pPr>
              <w:spacing w:after="0"/>
              <w:rPr>
                <w:sz w:val="1"/>
                <w:szCs w:val="1"/>
                <w:color w:val="auto"/>
              </w:rPr>
            </w:pPr>
          </w:p>
        </w:tc>
      </w:tr>
      <w:tr>
        <w:trPr>
          <w:trHeight w:val="148"/>
        </w:trPr>
        <w:tc>
          <w:tcPr>
            <w:tcW w:w="3980" w:type="dxa"/>
            <w:vAlign w:val="bottom"/>
          </w:tcPr>
          <w:p>
            <w:pPr>
              <w:jc w:val="center"/>
              <w:ind w:left="1573"/>
              <w:spacing w:after="0" w:line="149" w:lineRule="exact"/>
              <w:rPr>
                <w:sz w:val="20"/>
                <w:szCs w:val="20"/>
                <w:color w:val="auto"/>
              </w:rPr>
            </w:pPr>
            <w:r>
              <w:rPr>
                <w:rFonts w:ascii="Times New Roman" w:cs="Times New Roman" w:eastAsia="Times New Roman" w:hAnsi="Times New Roman"/>
                <w:sz w:val="14"/>
                <w:szCs w:val="14"/>
                <w:b w:val="1"/>
                <w:bCs w:val="1"/>
                <w:color w:val="auto"/>
              </w:rPr>
              <w:t>1800 Sierra Point Parkway, Suite 200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20" w:type="dxa"/>
            <w:vAlign w:val="bottom"/>
            <w:vMerge w:val="restart"/>
          </w:tcPr>
          <w:p>
            <w:pPr>
              <w:jc w:val="right"/>
              <w:ind w:right="2555"/>
              <w:spacing w:after="0"/>
              <w:rPr>
                <w:sz w:val="20"/>
                <w:szCs w:val="20"/>
                <w:color w:val="auto"/>
              </w:rPr>
            </w:pPr>
            <w:r>
              <w:rPr>
                <w:rFonts w:ascii="Times New Roman" w:cs="Times New Roman" w:eastAsia="Times New Roman" w:hAnsi="Times New Roman"/>
                <w:sz w:val="14"/>
                <w:szCs w:val="14"/>
                <w:b w:val="1"/>
                <w:bCs w:val="1"/>
                <w:color w:val="auto"/>
              </w:rPr>
              <w:t>94005</w:t>
            </w:r>
          </w:p>
        </w:tc>
        <w:tc>
          <w:tcPr>
            <w:tcW w:w="0" w:type="dxa"/>
            <w:vAlign w:val="bottom"/>
          </w:tcPr>
          <w:p>
            <w:pPr>
              <w:spacing w:after="0"/>
              <w:rPr>
                <w:sz w:val="1"/>
                <w:szCs w:val="1"/>
                <w:color w:val="auto"/>
              </w:rPr>
            </w:pPr>
          </w:p>
        </w:tc>
      </w:tr>
      <w:tr>
        <w:trPr>
          <w:trHeight w:val="157"/>
        </w:trPr>
        <w:tc>
          <w:tcPr>
            <w:tcW w:w="3980" w:type="dxa"/>
            <w:vAlign w:val="bottom"/>
          </w:tcPr>
          <w:p>
            <w:pPr>
              <w:jc w:val="center"/>
              <w:ind w:left="1593"/>
              <w:spacing w:after="0" w:line="157" w:lineRule="exact"/>
              <w:rPr>
                <w:sz w:val="20"/>
                <w:szCs w:val="20"/>
                <w:color w:val="auto"/>
              </w:rPr>
            </w:pPr>
            <w:r>
              <w:rPr>
                <w:rFonts w:ascii="Times New Roman" w:cs="Times New Roman" w:eastAsia="Times New Roman" w:hAnsi="Times New Roman"/>
                <w:sz w:val="14"/>
                <w:szCs w:val="14"/>
                <w:b w:val="1"/>
                <w:bCs w:val="1"/>
                <w:color w:val="auto"/>
              </w:rPr>
              <w:t>Brisbane, CA</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80" w:type="dxa"/>
            <w:vAlign w:val="bottom"/>
          </w:tcPr>
          <w:p>
            <w:pPr>
              <w:jc w:val="center"/>
              <w:ind w:left="1593"/>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334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jc w:val="center"/>
              <w:ind w:right="1635"/>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3340" w:type="dxa"/>
            <w:vAlign w:val="bottom"/>
            <w:gridSpan w:val="7"/>
            <w:vMerge w:val="continue"/>
          </w:tcPr>
          <w:p>
            <w:pPr>
              <w:spacing w:after="0"/>
              <w:rPr>
                <w:sz w:val="10"/>
                <w:szCs w:val="10"/>
                <w:color w:val="auto"/>
              </w:rPr>
            </w:pPr>
          </w:p>
        </w:tc>
        <w:tc>
          <w:tcPr>
            <w:tcW w:w="3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2100" w:type="dxa"/>
            <w:vAlign w:val="bottom"/>
            <w:gridSpan w:val="4"/>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(650) 484-0899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3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9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980" w:type="dxa"/>
            <w:vAlign w:val="bottom"/>
            <w:vMerge w:val="restart"/>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vMerge w:val="restart"/>
          </w:tcPr>
          <w:p>
            <w:pPr>
              <w:jc w:val="center"/>
              <w:ind w:right="105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80" w:type="dxa"/>
            <w:vAlign w:val="bottom"/>
            <w:tcBorders>
              <w:top w:val="single" w:sz="8" w:color="auto"/>
            </w:tcBorders>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DAWN</w:t>
            </w:r>
          </w:p>
        </w:tc>
        <w:tc>
          <w:tcPr>
            <w:tcW w:w="120" w:type="dxa"/>
            <w:vAlign w:val="bottom"/>
          </w:tcPr>
          <w:p>
            <w:pPr>
              <w:spacing w:after="0"/>
              <w:rPr>
                <w:sz w:val="14"/>
                <w:szCs w:val="14"/>
                <w:color w:val="auto"/>
              </w:rPr>
            </w:pPr>
          </w:p>
        </w:tc>
        <w:tc>
          <w:tcPr>
            <w:tcW w:w="1120" w:type="dxa"/>
            <w:vAlign w:val="bottom"/>
            <w:tcBorders>
              <w:top w:val="single" w:sz="8" w:color="auto"/>
            </w:tcBorders>
            <w:gridSpan w:val="2"/>
          </w:tcPr>
          <w:p>
            <w:pPr>
              <w:spacing w:after="0"/>
              <w:rPr>
                <w:sz w:val="14"/>
                <w:szCs w:val="14"/>
                <w:color w:val="auto"/>
              </w:rPr>
            </w:pPr>
          </w:p>
        </w:tc>
        <w:tc>
          <w:tcPr>
            <w:tcW w:w="3920" w:type="dxa"/>
            <w:vAlign w:val="bottom"/>
            <w:tcBorders>
              <w:top w:val="single" w:sz="8" w:color="auto"/>
            </w:tcBorders>
          </w:tcPr>
          <w:p>
            <w:pPr>
              <w:jc w:val="center"/>
              <w:ind w:right="1055"/>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8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320" w:type="dxa"/>
            <w:vAlign w:val="bottom"/>
            <w:gridSpan w:val="8"/>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92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61" w:lineRule="exact"/>
        <w:tabs>
          <w:tab w:leader="none" w:pos="714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500"/>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3"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4"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common equity held by non-affiliates of the Registrant, based on the closing price of the shares of common stock on June 30, 2024, was approximately $971.5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20, 2025 was 101,354,516.</w:t>
      </w:r>
    </w:p>
    <w:p>
      <w:pPr>
        <w:spacing w:after="0" w:line="4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 w:lineRule="exact"/>
        <w:rPr>
          <w:sz w:val="24"/>
          <w:szCs w:val="24"/>
          <w:color w:val="auto"/>
        </w:rPr>
      </w:pPr>
    </w:p>
    <w:p>
      <w:pPr>
        <w:ind w:right="80"/>
        <w:spacing w:after="0" w:line="233"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2025 Annual Meeting of Shareholders are incorporated by reference into Part III of this Annual Report on Form 10-K to the extent stated herein. The Definitive Proxy Statement will be filed within 120 days of the Registrant’s fiscal year ended December 31, 2024.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808355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21E of the Securities Exchange Act of 1934, as amended, or the Exchange Act, and section 27A of the Securities Act of 1933, as amended, or the Securities Act. All statements contained in this Annual Report other than statements of historical fact, including statements regarding our future results of operations and financial position, business strategy, market size, potential growth opportunities, nonclinical and clinical development activities, efficacy and safety profile of OJEMDA</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(tovorafenib) and our product candidates, potential therapeutic benefits and economic value of OJEMDA and our product candidates, our ability to market and sell OJEMDA while maintaining full compliance with applicable federal and state laws, rules and regulations, use of net proceeds from our public offerings, our ability to maintain and recognize the benefits of certain designations received by products and product candidates, the timing and results of nonclinical studies and clinical trials, commercial collaboration with third parties, and our ability to recognize milestone and royalty payments from commercialization agreements, the potential impact of global business or macroeconomic conditions, including as a result of inflation, changing interest rates, cybersecurity incidents, significant political, trade or regulatory developments and global regional conflicts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other similar expressions that convey uncertainty of future events or outcomes are intended to identify forward-looking statements, although not all forward-looking statements contain these identifying words.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Part I, Item 1A, “Risk Factors” and elsewhere in this Annual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Annual Report with the understanding that our actual future results, levels of activity, performance and events and circumstances may be materially different from what we expect.</w:t>
      </w:r>
    </w:p>
    <w:p>
      <w:pPr>
        <w:spacing w:after="0" w:line="18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as used in this Annual Report on Form 10-K, the terms “Day One,” “the Company,” “we,” “us,” and “our” refer to Day One Biopharmaceuticals, Inc., a Delaware corporation, and its consolidated subsidiaries taken as a whole, unless otherwise noted. “Day One” and all product and product candidate names are our common law trademarks.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140" w:firstLine="562"/>
        <w:spacing w:after="0" w:line="266" w:lineRule="auto"/>
        <w:rPr>
          <w:sz w:val="20"/>
          <w:szCs w:val="20"/>
          <w:color w:val="auto"/>
        </w:rPr>
      </w:pPr>
      <w:r>
        <w:rPr>
          <w:rFonts w:ascii="Times New Roman" w:cs="Times New Roman" w:eastAsia="Times New Roman" w:hAnsi="Times New Roman"/>
          <w:sz w:val="18"/>
          <w:szCs w:val="18"/>
          <w:color w:val="auto"/>
        </w:rPr>
        <w:t>Day One Biopharmaceuticals, Inc. is a commercial-stage company focused on advancing first- or best-in-class medicines for childhood and adult diseases with equal intensity. We were founded to address the lack of new therapies resulting from the traditional drug development model, which has left children with cancer and their families waiting too long for new treatments.</w:t>
      </w:r>
    </w:p>
    <w:p>
      <w:pPr>
        <w:spacing w:after="0" w:line="68" w:lineRule="exact"/>
        <w:rPr>
          <w:sz w:val="20"/>
          <w:szCs w:val="20"/>
          <w:color w:val="auto"/>
        </w:rPr>
      </w:pPr>
    </w:p>
    <w:p>
      <w:pPr>
        <w:ind w:right="180" w:firstLine="562"/>
        <w:spacing w:after="0" w:line="266" w:lineRule="auto"/>
        <w:rPr>
          <w:sz w:val="20"/>
          <w:szCs w:val="20"/>
          <w:color w:val="auto"/>
        </w:rPr>
      </w:pPr>
      <w:r>
        <w:rPr>
          <w:rFonts w:ascii="Times New Roman" w:cs="Times New Roman" w:eastAsia="Times New Roman" w:hAnsi="Times New Roman"/>
          <w:sz w:val="18"/>
          <w:szCs w:val="18"/>
          <w:color w:val="auto"/>
        </w:rPr>
        <w:t>At Day One, we aim to identify and develop breakthrough medicines with the goal of improving the outcomes and life trajectories of patients of any age facing serious diseases — starting from Day One. Our “search &amp; development” strategy enables us to find, acquire, and develop potential best-or first-in-class programs with the goal of introducing new medicines that will make a real difference in the treatment of children and adults.</w:t>
      </w:r>
    </w:p>
    <w:p>
      <w:pPr>
        <w:spacing w:after="0" w:line="68" w:lineRule="exact"/>
        <w:rPr>
          <w:sz w:val="20"/>
          <w:szCs w:val="20"/>
          <w:color w:val="auto"/>
        </w:rPr>
      </w:pPr>
    </w:p>
    <w:p>
      <w:pPr>
        <w:ind w:right="120" w:firstLine="562"/>
        <w:spacing w:after="0" w:line="254" w:lineRule="auto"/>
        <w:rPr>
          <w:sz w:val="20"/>
          <w:szCs w:val="20"/>
          <w:color w:val="auto"/>
        </w:rPr>
      </w:pPr>
      <w:r>
        <w:rPr>
          <w:rFonts w:ascii="Times New Roman" w:cs="Times New Roman" w:eastAsia="Times New Roman" w:hAnsi="Times New Roman"/>
          <w:sz w:val="18"/>
          <w:szCs w:val="18"/>
          <w:color w:val="auto"/>
        </w:rPr>
        <w:t>Our first commercial product, tovorafenib, is an oral, brain-penetrant, highly selective type II rapidly accelerated fibrosarcoma, or RAF, kinase inhibitor. Tovorafenib was granted breakthrough therapy designation by the U.S. Food and Drug Administration, or the FDA, in August 2020 for the treatment of relapsed or refractory low-grade glioma, or pLGG, based on initial results from a Phase 1 trial which showed evidence of rapid anti-tumor activity and durable responses in patients with pLGG. Pediatric low-grade glioma is the most common brain tumor diagnosed in children. While new targeted therapeutic options have recently become available for patients with pLGG, there is no consensual standard of care and a vast majority of patients with pLGG do not yet have access to approved therapies. Tovorafenib received orphan drug designation for the treatment of malignant glioma from the FDA in September 2020 and from the EU Commission for the treatment of glioma in May 2021. Additionally, the FDA granted rare pediatric disease designation to tovorafenib for treatment of low-grade gliomas, or LGGs, harboring an activating RAF alteration in July 2021.</w:t>
      </w:r>
    </w:p>
    <w:p>
      <w:pPr>
        <w:spacing w:after="0" w:line="84"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On April 23, 2024, we announced that the FDA approved OJEMDA™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priority review voucher, or PRV, from the FDA. We have commenced the commercial launch of OJEMDA in the United States. OJEMDA is the only systemic therapy for pLGG that offers once-weekly dosing, with or without food, as a tablet or oral suspension.</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accelerated approval of OJEMDA is based on data from the Company’s pivotal open-label Phase 2 trial, or FIREFLY-1, which enrolled a total of 137 relapsed or refractory BRAF-altered pLGG patients across two study arms. Arm 1, which accrued 77 patients, was used for the efficacy analyses. Arm 2 provided additional safety data from an incremental 60 patients and was initiated to enable access to OJEMDA once Arm 1 had fully accrued. Details of this trial were presented in November 2023 at the Society for Neuro-Oncology meeting through two oral plenary presentations and in parallel through a publication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approval of OJEMDA was based, in part, on the major efficacy outcome measure of overall response rate, or ORR, defined as the proportion of patients with complete response, partial response, or PR, or minor response, or MR, by independent review based on Response Assessment in Pediatric Neuro-Oncology Low-Grade Glioma, or RAPNO LGG.</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Arm 1, data from the 76 RAPNO LGG evaluable patients include:</w:t>
      </w:r>
    </w:p>
    <w:p>
      <w:pPr>
        <w:spacing w:after="0" w:line="117" w:lineRule="exact"/>
        <w:rPr>
          <w:sz w:val="20"/>
          <w:szCs w:val="20"/>
          <w:color w:val="auto"/>
        </w:rPr>
      </w:pPr>
    </w:p>
    <w:p>
      <w:pPr>
        <w:ind w:left="1780" w:hanging="515"/>
        <w:spacing w:after="0"/>
        <w:tabs>
          <w:tab w:leader="none" w:pos="1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best ORR of 51% (95% CI: 40 - 63), which included 28% PRs and 11% MRs.</w:t>
      </w:r>
    </w:p>
    <w:p>
      <w:pPr>
        <w:spacing w:after="0" w:line="117" w:lineRule="exact"/>
        <w:rPr>
          <w:rFonts w:ascii="Times New Roman" w:cs="Times New Roman" w:eastAsia="Times New Roman" w:hAnsi="Times New Roman"/>
          <w:sz w:val="18"/>
          <w:szCs w:val="18"/>
          <w:color w:val="auto"/>
        </w:rPr>
      </w:pPr>
    </w:p>
    <w:p>
      <w:pPr>
        <w:ind w:left="2280" w:right="80" w:hanging="505"/>
        <w:spacing w:after="0" w:line="282" w:lineRule="auto"/>
        <w:tabs>
          <w:tab w:leader="none" w:pos="2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for OJEMDA was 52% among the 64 patients with BRAF fusions or rearrangements and 50% for the 12 patients with a BRAF V600 mutation.</w:t>
      </w:r>
    </w:p>
    <w:p>
      <w:pPr>
        <w:spacing w:after="0" w:line="53" w:lineRule="exact"/>
        <w:rPr>
          <w:rFonts w:ascii="Times New Roman" w:cs="Times New Roman" w:eastAsia="Times New Roman" w:hAnsi="Times New Roman"/>
          <w:sz w:val="18"/>
          <w:szCs w:val="18"/>
          <w:color w:val="auto"/>
        </w:rPr>
      </w:pPr>
    </w:p>
    <w:p>
      <w:pPr>
        <w:ind w:left="2280" w:right="560" w:hanging="505"/>
        <w:spacing w:after="0" w:line="282" w:lineRule="auto"/>
        <w:tabs>
          <w:tab w:leader="none" w:pos="2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was 49% among the 45 patients who had received a prior MAPK-targeted therapy, and 55% among the 31 patients who had not received a prior MAPK-targeted therapy.</w:t>
      </w:r>
    </w:p>
    <w:p>
      <w:pPr>
        <w:spacing w:after="0" w:line="53" w:lineRule="exact"/>
        <w:rPr>
          <w:rFonts w:ascii="Times New Roman" w:cs="Times New Roman" w:eastAsia="Times New Roman" w:hAnsi="Times New Roman"/>
          <w:sz w:val="18"/>
          <w:szCs w:val="18"/>
          <w:color w:val="auto"/>
        </w:rPr>
      </w:pPr>
    </w:p>
    <w:p>
      <w:pPr>
        <w:ind w:left="1780" w:right="680" w:hanging="515"/>
        <w:spacing w:after="0" w:line="282" w:lineRule="auto"/>
        <w:tabs>
          <w:tab w:leader="none" w:pos="1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June 5, 2023 data cutoff, the median duration of response by RAPNO LGG was 13.8 months (95% CI: 11.3, not estimable). In addition, 66% of patients remained on study and continue on treatment as of the cutoff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86" w:lineRule="exact"/>
        <w:rPr>
          <w:sz w:val="20"/>
          <w:szCs w:val="20"/>
          <w:color w:val="auto"/>
        </w:rPr>
      </w:pPr>
    </w:p>
    <w:p>
      <w:pPr>
        <w:ind w:left="1780" w:hanging="515"/>
        <w:spacing w:after="0"/>
        <w:tabs>
          <w:tab w:leader="none" w:pos="1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time to response, following initiation of treatment, with OJEMDA was 5.3 months (range 1.6 months, 11.2 months).</w:t>
      </w:r>
    </w:p>
    <w:p>
      <w:pPr>
        <w:spacing w:after="0" w:line="117"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RANO LGG criteria, the ORR was 53% [95% CI: (41, 64)].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safety of OJEMDA was evaluated in 137 patients with relapsed or refractory pLGG, with the majority of adverse events being Grade 1 or Grade</w:t>
      </w:r>
    </w:p>
    <w:p>
      <w:pPr>
        <w:spacing w:after="0" w:line="39" w:lineRule="exact"/>
        <w:rPr>
          <w:sz w:val="20"/>
          <w:szCs w:val="20"/>
          <w:color w:val="auto"/>
        </w:rPr>
      </w:pPr>
    </w:p>
    <w:p>
      <w:pPr>
        <w:ind w:right="260" w:firstLine="8"/>
        <w:spacing w:after="0" w:line="260"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common side effects were rash, hair color changes, tiredness, viral infection, vomiting, headache, fever, dry skin, constipation, nausea, acne and upper respiratory tract infection.</w:t>
      </w:r>
    </w:p>
    <w:p>
      <w:pPr>
        <w:spacing w:after="0" w:line="7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initiated a pivotal Phase 3 trial, or FIREFLY-2, evaluating tovorafenib as a front-line therapy in patients ages 6 months to 25 years with pLGG in June 2022. The first patient was dosed in FIREFLY-2 in March 2023. To date, patients continue to enroll in the United States, Canada, Europe, Australia and Asia, with approximately 113 sites activated. In June 2024, we announced the following changes to our FIREFLY-2 trial: the primary endpoint of objective response rate will be assessed according to the RAPNO-LGG criteria, key secondary endpoints of progression free survival and duration of response will be assessed according to RAPNO-LGG criteria, new patients will be initiated on a starting dose of 380 mg/m2/dose once weekly, and the addition of a once-monthly carboplatin regime as a fourth standard of care option for arm 2. We expect to complete enrollment of FIREFLY-2 in the first half of 2026.</w:t>
      </w:r>
    </w:p>
    <w:p>
      <w:pPr>
        <w:spacing w:after="0" w:line="81"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terms of the Ipsen License Agreement, (i) Ipsen paid us an upfront license fee in the amount of $70.8 million and (ii) Ipsen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Biopharmaceuticals, Inc., or the Investor, a fully-owned Affiliate of Ipsen, purchased 2,341,495 shares of our common stock in a private placement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million, at a price per share representing a 17.0% premium to the volume weighted average price, or VWAP, of our common stock as traded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Stock Market LLC for the ten consecutive trading days prior to and including the date of our public release of U.S. GAAP revenue for the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2024 on July 30, 2024, or the Revenue Release, and the ten consecutive trading days following the Revenue Release,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set forth in an investment agreement by and between us and the Investor dated July 23, 2024.</w:t>
      </w:r>
    </w:p>
    <w:p>
      <w:pPr>
        <w:spacing w:after="0" w:line="9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also eligible to receive up to approximately $330.0 million in additional commercial launch and sales-based milestone payments based on exchange rates as of the reporting date, as well as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August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an inhibitor targeting Vaccinia Related Kinase 1, or VRK1. VRK1 is a novel target involved in the regulation of cell division and DNA damage repair. Over-expression of VRK1 is linked to poor prognosis in a variety of adult and pediatric cancers, and VRK1 has been identified as a synthetic lethal target in tumors where expression of its paralog, VRK2, is lost. Silencing of VRK2 expression via promoter methylation has been noted in most high-grade gliomas and high-risk neuroblastomas, providing a concrete approach for selecting patients with tumors sensitive to VRK1 inhibition. Preclinical research activities to advance the VRK1 inhibitor program are ongoing.</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June 2024, we entered into a license agreement, or the MabCare License Agreement, with MabCare Therapeutics, or MabCare, a pharmaceutical corporation located in Shanghai, China. Under the MabCare License Agreement, MabCare granted to us an exclusive worldwide license, excluding Greater China, with the right to grant sublicenses through multiple tiers, under specified patent rights and know-how for the Company to develop, manufacture and commercialize DAY301 (formerly MTX-13 or CB-002). DAY301 is a novel Antibody Drug Conjugate, or ADC, targeting protein-tyrosine kinase 7, or PTK7. In pre-clinical studies, DAY301 showed antitumor activity in a wide range of solid tumors. DAY301 targets PTK7, a highly-conserved, catalytically inactive transmembrane protein that is overexpressed in multiple adult cancers, including esophageal, ovarian, lung, and endometrial cancer, as well as pediatric cancers such as neuroblastoma, rhabdomyosarcoma and osteosarcoma. 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April 2024, the FDA cleared the investigational new drug application for DAY301. In January 2025, we cleared the first cohort (a single-patient accelerated titration cohort) in the Phase 1a portion of the DAY301 Phase 1a/b clinical trial.</w:t>
      </w:r>
    </w:p>
    <w:p>
      <w:pPr>
        <w:spacing w:after="0" w:line="5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rights to develop tovorafenib and VRK1 for all therapeutic areas worldwide and DAY301 for all therapeutic areas worldwide, excluding Greater China, subject to certain milestone and royalty payments. Further, we hold exclusive rights to commercialize tovorafenib in the United States subject to royalty payments. Pursuant to the Ipsen License Agreement, we licensed to Ipsen, on an exclusive basis, the right to commercialize tovorafenib outside of the United States, in exchange for certain milestone and royalty payments.</w:t>
      </w:r>
    </w:p>
    <w:p>
      <w:pPr>
        <w:spacing w:after="0" w:line="79" w:lineRule="exact"/>
        <w:rPr>
          <w:sz w:val="20"/>
          <w:szCs w:val="20"/>
          <w:color w:val="auto"/>
        </w:rPr>
      </w:pPr>
    </w:p>
    <w:p>
      <w:pPr>
        <w:ind w:right="660" w:firstLine="569"/>
        <w:spacing w:after="0" w:line="282" w:lineRule="auto"/>
        <w:rPr>
          <w:sz w:val="20"/>
          <w:szCs w:val="20"/>
          <w:color w:val="auto"/>
        </w:rPr>
      </w:pPr>
      <w:r>
        <w:rPr>
          <w:rFonts w:ascii="Times New Roman" w:cs="Times New Roman" w:eastAsia="Times New Roman" w:hAnsi="Times New Roman"/>
          <w:sz w:val="18"/>
          <w:szCs w:val="18"/>
          <w:color w:val="auto"/>
        </w:rPr>
        <w:t>We seek to identify, acquire and develop first- or best-in-class products and product candidates that target high-value oncogenic drivers in childhood and adult cancers with high unmet need. The following table summarizes our product and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45720</wp:posOffset>
            </wp:positionV>
            <wp:extent cx="5349240" cy="3042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Our first commercial product, tovorafenib, is an oral, brain-penetrant, highly selective type II RAF kinase inhibitor that inhibits both monomeric and dimeric RAF kinase. Approved BRAF products such as vemurafenib and encorafenib are referred to as type I RAF inhibitors, which only inhibit RAF monomers and are therefore limited to use in BRAF V600-altered tumors. Unlike type I RAF inhibitors, tovorafenib has not been shown to cause paradoxical activation in RAF wild-type cells at clinically active doses – a phenomenon wherein undesired increases in MAPK signaling can lead to renewed tumor growth. Tovorafenib’s inhibition of both RAF monomers and dimers broadens its potential clinical application to treat an array of RAS- or RAF-altered solid tumors. Furthermore, studies have shown tovorafenib has higher brain penetration, distribution and exposure in comparison to other MAPK pathway inhibitors. Taken together, we believe that tovorafenib has the potential to be a high-impact targeted therapeutic in pLGG, where over half of pLGGs are driven by abnormal signaling due to RAF alterations.</w:t>
      </w:r>
    </w:p>
    <w:p>
      <w:pPr>
        <w:spacing w:after="0" w:line="84"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This rationale served as the basis on which researchers at Dana-Farber Cancer Institute initiated the development of tovorafenib in pLGG. In a Phase 1 dose-escalation study, nine pediatric patients (&lt;18 years of age) with relapsed pLGG were treated with tovorafenib. Of the eight patients with RAF fusions, two achieved a complete response by Response Assessment for Neuro-Oncology, or RANO, criteria, three had a partial response, two achieved prolonged stable disease, and one experienced progressive disease as assessed by an independent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spacing w:after="0" w:line="8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radiographic review. The median time to achieve a response was 10.5 weeks, which was a notable observation given pLGG is an indolent, slow-growing tumor. In addition to the rapid anti-tumor activity observed, tovorafenib was also well-tolerated, which is important for achieving and maintaining long-term, durable responses in these patients. Based on these results, tovorafenib has been granted breakthrough therapy designation by the FDA for the treatment of pediatric patients with pLGG harboring an activating RAF alteration who require systemic therapy and who have either progressed following prior treatment or who have no satisfactory alternative treatment options. Tovorafenib received orphan drug designation for the treatment of malignant glioma from the FDA in September 2020 and from the EU Commission for the treatment of glioma in May 2021. Additionally, the FDA granted rare pediatric disease designation to tovorafenib for treatment of LGGs harboring an activating RAF alteration in July 2021. On April 23, 2024, we announced that the FDA approved OJEMDA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PRV from the FDA. We have commenced the commercial launch of OJEMDA in the United States. OJEMDA is the only systemic therapy for pLGG that offers once-weekly dosing, with or without food, as a tablet or oral suspension.</w:t>
      </w:r>
    </w:p>
    <w:p>
      <w:pPr>
        <w:spacing w:after="0" w:line="84" w:lineRule="exact"/>
        <w:rPr>
          <w:sz w:val="20"/>
          <w:szCs w:val="20"/>
          <w:color w:val="auto"/>
        </w:rPr>
      </w:pPr>
    </w:p>
    <w:p>
      <w:pPr>
        <w:ind w:right="320" w:firstLine="562"/>
        <w:spacing w:after="0" w:line="266" w:lineRule="auto"/>
        <w:rPr>
          <w:sz w:val="20"/>
          <w:szCs w:val="20"/>
          <w:color w:val="auto"/>
        </w:rPr>
      </w:pPr>
      <w:r>
        <w:rPr>
          <w:rFonts w:ascii="Times New Roman" w:cs="Times New Roman" w:eastAsia="Times New Roman" w:hAnsi="Times New Roman"/>
          <w:sz w:val="18"/>
          <w:szCs w:val="18"/>
          <w:color w:val="auto"/>
        </w:rPr>
        <w:t>Our second product candidate, DAY301, is a PTK7 targeted ADC composed of a novel humanized anti-PTK7 immunoglobulin G1 monoclonal antibody, or mAb, (referred to as DAY301 mAb) conjugated with a topoisomerase I inhibitor (exatecan mesylate [exatecan]) via a highly stable and hydrophilic modified valine-alanine (VA) cleavable linker. DAY301 is intended for the treatment of patients with advanced solid tumors.</w:t>
      </w:r>
    </w:p>
    <w:p>
      <w:pPr>
        <w:spacing w:after="0" w:line="68"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DAY301 demonstrated encouraging preclinical antitumor efficacy in relevant tumor models representing a wide range of solid tumors, including ovarian cancer, non-small cell lung cancer (“NSCLC”), triple-negative breast cancer (“TNBC”), small cell lung cancer (“SCLC”), esophageal squamous cell carcinoma (“ESCC”), cutaneous squamous cell carcinoma (“CSCC”), colorectal cancer, and esophageal adenocarcinoma. DAY301 was tolerated in non-human primate nonclinical toxicology studies with favorable pharmacokinetic (PK) and safety profiles. Collectively, DAY301 could potentially have a wide therapeutic window in clinical testing and therefore provide benefits for cancer patients with high unmet medical needs.</w:t>
      </w:r>
    </w:p>
    <w:p>
      <w:pPr>
        <w:spacing w:after="0" w:line="75" w:lineRule="exact"/>
        <w:rPr>
          <w:sz w:val="20"/>
          <w:szCs w:val="20"/>
          <w:color w:val="auto"/>
        </w:rPr>
      </w:pPr>
    </w:p>
    <w:p>
      <w:pPr>
        <w:ind w:right="80" w:firstLine="562"/>
        <w:spacing w:after="0" w:line="258" w:lineRule="auto"/>
        <w:rPr>
          <w:sz w:val="20"/>
          <w:szCs w:val="20"/>
          <w:color w:val="auto"/>
        </w:rPr>
      </w:pPr>
      <w:r>
        <w:rPr>
          <w:rFonts w:ascii="Times New Roman" w:cs="Times New Roman" w:eastAsia="Times New Roman" w:hAnsi="Times New Roman"/>
          <w:sz w:val="18"/>
          <w:szCs w:val="18"/>
          <w:color w:val="auto"/>
        </w:rPr>
        <w:t>Our third program is aimed at discovery, optimization and development of an inhibitor against VRK1. VRK1 is a novel target involved in the regulation of cell division and DNA damage repair. Over-expression of VRK1 is linked to poor prognosis in a variety of adult and pediatric cancers, and VRK1 has been identified as a synthetic lethal target in tumors where expression of its paralog, VRK2, is lost. Silencing of VRK2 expression via promoter methylation has been noted in most high-grade gliomas and high-risk neuroblastomas, providing a concrete approach for selecting patients with tumors sensitive to VRK1 inhibition. Preclinical research activities to advance the VRK1 inhibitor program are ongoing.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600" w:firstLine="569"/>
        <w:spacing w:after="0" w:line="282" w:lineRule="auto"/>
        <w:rPr>
          <w:sz w:val="20"/>
          <w:szCs w:val="20"/>
          <w:color w:val="auto"/>
        </w:rPr>
      </w:pPr>
      <w:r>
        <w:rPr>
          <w:rFonts w:ascii="Times New Roman" w:cs="Times New Roman" w:eastAsia="Times New Roman" w:hAnsi="Times New Roman"/>
          <w:sz w:val="18"/>
          <w:szCs w:val="18"/>
          <w:color w:val="auto"/>
        </w:rPr>
        <w:t>We have a mission-driven strategy to build a differentiated, global biopharmaceutical company through the identification, development and commercialization of targeted therapeutics for people of all ages with life-threatening diseases. The key elements of our strategy are to:</w:t>
      </w:r>
    </w:p>
    <w:p>
      <w:pPr>
        <w:spacing w:after="0" w:line="50" w:lineRule="exact"/>
        <w:rPr>
          <w:sz w:val="20"/>
          <w:szCs w:val="20"/>
          <w:color w:val="auto"/>
        </w:rPr>
      </w:pPr>
    </w:p>
    <w:p>
      <w:pPr>
        <w:ind w:left="102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 a leadership position in targeted oncology therapeutics for patients of all ages through our unique expertise in pediatrics. </w:t>
      </w:r>
      <w:r>
        <w:rPr>
          <w:rFonts w:ascii="Times New Roman" w:cs="Times New Roman" w:eastAsia="Times New Roman" w:hAnsi="Times New Roman"/>
          <w:sz w:val="18"/>
          <w:szCs w:val="18"/>
          <w:color w:val="auto"/>
        </w:rPr>
        <w:t>We have built a targeted oncology company with differentiated business and clinical development capabilities. We leverage these capabilities to navigate the unique challenges and nuances of pediatric and adult drug development. We initially focused on pediatric patients as we believe this provides a favorable pathway to approval for tovorafenib. We have established trusted relationships within the pediatric and adult oncology community, and we seek their advice on aligning our clinical development plans with the needs of the patients and their families. We believe we are a leader in this development space and to further this position, we plan to continue to consult and strategically partner with biopharmaceutical companies, academic oncologists and scientists, and patient advocacy groups to identify areas of unmet need and then acquire high-impact assets to address underserved patients.</w:t>
      </w:r>
    </w:p>
    <w:p>
      <w:pPr>
        <w:spacing w:after="0" w:line="76" w:lineRule="exact"/>
        <w:rPr>
          <w:rFonts w:ascii="Times New Roman" w:cs="Times New Roman" w:eastAsia="Times New Roman" w:hAnsi="Times New Roman"/>
          <w:sz w:val="18"/>
          <w:szCs w:val="18"/>
          <w:color w:val="auto"/>
        </w:rPr>
      </w:pPr>
    </w:p>
    <w:p>
      <w:pPr>
        <w:ind w:left="1020" w:right="20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first commercial product candidate, tovorafenib, through clinical development towards full regulatory approval in pLGG. </w:t>
      </w:r>
      <w:r>
        <w:rPr>
          <w:rFonts w:ascii="Times New Roman" w:cs="Times New Roman" w:eastAsia="Times New Roman" w:hAnsi="Times New Roman"/>
          <w:sz w:val="18"/>
          <w:szCs w:val="18"/>
          <w:color w:val="auto"/>
        </w:rPr>
        <w:t>We demonstrated clinical proof-of-concept of tovorafenib in pediatric patients for cancers that harbor genetic alterations in RAF.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Oral, once-weekly dosed tovorafenib was also well-tolerated in the Phase 1 trial in pLGG, which is important for achieving</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ind w:left="1020"/>
        <w:spacing w:after="0" w:line="252" w:lineRule="auto"/>
        <w:rPr>
          <w:sz w:val="20"/>
          <w:szCs w:val="20"/>
          <w:color w:val="auto"/>
        </w:rPr>
      </w:pPr>
      <w:r>
        <w:rPr>
          <w:rFonts w:ascii="Times New Roman" w:cs="Times New Roman" w:eastAsia="Times New Roman" w:hAnsi="Times New Roman"/>
          <w:sz w:val="18"/>
          <w:szCs w:val="18"/>
          <w:color w:val="auto"/>
        </w:rPr>
        <w:t>and maintaining long-term, durable responses in these patients. Further, tovorafenib received FDA breakthrough therapy designation for the treatment of pediatric patients with pLGG harboring an activating RAF alteration who require systemic therapy and who have either progressed following prior treatment or who have no satisfactory alternative treatment options. Tovorafenib also received orphan drug designation from the FDA for the treatment of malignant glioma. We conducted a pivotal Phase 2 FIREFLY-1 trial of tovorafenib as a monotherapy for pediatric patients with relapsed or refractory pLGG harboring an activating BRAF alteration. In April 2024, OJEMDA received accelerated approval from the FDA for the treatment of patients 6 months of age and older with relapsed or refractory pediatric LGG harboring a BRAF fusion or rearrangement, or BRAF V600 mutation based on the FDA’s evaluation of the data from FIREFLY-1 as pivotal study, and other supportive data. Results of this trial were presented in November 2023 at the Society for Neuro-Oncology meeting through two oral plenary presentations and in parallel through a publication in Nature Medicine. FIREFLY-2 is an ongoing Phase 3, randomized, multicenter study to evaluate the efficacy, safety, and tolerability of tovorafenib monotherapy versus standard of care chemotherapy. FIREFLY-2 is the confirmatory trial that will support the conversion of tovorafenib’s accelerated approval by the FDA into a full approval. Approximately 400 patients, less than 25 years of age with an activating RAF alteration pediatric LGG requiring first-line systemic therapy, will be randomized 1:1 to receive either tovorafenib (Arm 1) or an investigator choice of standard of care chemotherapy (Arm 2). The first patient was dosed in FIREFLY-2 in March 2023; we expect to complete enrollment of FIREFLY-2 in the first half of 2026.</w:t>
      </w:r>
    </w:p>
    <w:p>
      <w:pPr>
        <w:spacing w:after="0" w:line="85" w:lineRule="exact"/>
        <w:rPr>
          <w:sz w:val="20"/>
          <w:szCs w:val="20"/>
          <w:color w:val="auto"/>
        </w:rPr>
      </w:pPr>
    </w:p>
    <w:p>
      <w:pPr>
        <w:ind w:left="1020" w:right="180" w:hanging="503"/>
        <w:spacing w:after="0" w:line="25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Deploy our differentiated and proven business development expertise to further expand our targeted oncology pipeline for patients with large unmet medical needs. </w:t>
      </w:r>
      <w:r>
        <w:rPr>
          <w:rFonts w:ascii="Times New Roman" w:cs="Times New Roman" w:eastAsia="Times New Roman" w:hAnsi="Times New Roman"/>
          <w:sz w:val="18"/>
          <w:szCs w:val="18"/>
          <w:color w:val="auto"/>
        </w:rPr>
        <w:t>Our team has diverse backgrounds—from academia and drug research and development,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industry and business development experience. We have a proven track record of identifying and acquiring drug candidates and programs with potentially significant commercial opportunities, including successfully in-licensing our current drug candidates, tovorafenib from Takeda, DAY301 from MabCare and VRK1 from Sprint. We will continue to utilize our broad experience, as well as our network of trusted relationships, to source additional high-impact assets to further expand our targeted oncology pipeline.</w:t>
      </w:r>
    </w:p>
    <w:p>
      <w:pPr>
        <w:spacing w:after="0" w:line="74" w:lineRule="exact"/>
        <w:rPr>
          <w:rFonts w:ascii="Times New Roman" w:cs="Times New Roman" w:eastAsia="Times New Roman" w:hAnsi="Times New Roman"/>
          <w:sz w:val="18"/>
          <w:szCs w:val="18"/>
          <w:color w:val="auto"/>
        </w:rPr>
      </w:pPr>
    </w:p>
    <w:p>
      <w:pPr>
        <w:ind w:left="1020" w:right="80" w:hanging="503"/>
        <w:spacing w:after="0" w:line="25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opportunities to accelerate development timelines and enhance the commercial potential of our programs in collaboration with third parties. </w:t>
      </w:r>
      <w:r>
        <w:rPr>
          <w:rFonts w:ascii="Times New Roman" w:cs="Times New Roman" w:eastAsia="Times New Roman" w:hAnsi="Times New Roman"/>
          <w:sz w:val="18"/>
          <w:szCs w:val="18"/>
          <w:color w:val="auto"/>
        </w:rPr>
        <w:t>We have entered, and may selectively in the future enter, into collaborations where we believe there is an opportunity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accelerate the development and commercialization of our products and product candidates—for example, in July 2024 we entered into the Ipsen License Agreement, pursuant to which we licensed to Ipsen, on an exclusive basis, the right to commercialize tovorafenib in all territories outside the United States. We intend to commercialize our product candidates in key markets either alone or with partners in order to maximize the worldwide commercial potential of our programs.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Focused on Advancing First- or Best-in-Class Medicines for People of All Ages with Life-Threatening Diseases</w:t>
      </w:r>
    </w:p>
    <w:p>
      <w:pPr>
        <w:spacing w:after="0" w:line="121" w:lineRule="exact"/>
        <w:rPr>
          <w:sz w:val="20"/>
          <w:szCs w:val="20"/>
          <w:color w:val="auto"/>
        </w:rPr>
      </w:pPr>
    </w:p>
    <w:p>
      <w:pPr>
        <w:ind w:right="40" w:firstLine="562"/>
        <w:spacing w:after="0" w:line="254" w:lineRule="auto"/>
        <w:rPr>
          <w:sz w:val="20"/>
          <w:szCs w:val="20"/>
          <w:color w:val="auto"/>
        </w:rPr>
      </w:pPr>
      <w:r>
        <w:rPr>
          <w:rFonts w:ascii="Times New Roman" w:cs="Times New Roman" w:eastAsia="Times New Roman" w:hAnsi="Times New Roman"/>
          <w:sz w:val="18"/>
          <w:szCs w:val="18"/>
          <w:color w:val="auto"/>
        </w:rPr>
        <w:t>Our company is focused on prioritizing the clinical development of novel targeted therapeutics in children and adults with equal intensity. Historically, most pharmaceutical companies focused discovery and development efforts for new cancer therapies on adult tumor types. An analysis of agents for which the first-in-adult trial, or FHCT, began between 2006 to 2011 found that of the 185 drugs relevant to the pediatric population, only about a one third were evaluated in the pediatric population, of which 30 ultimately received FDA approval (29 were adult only indications; only one received a pediatric indication within nine years of following evaluation in adults). This analysis found a median lag between FHCT and first-in-child trial, or FCCT, for agents that received FDA approval of 5.6 years. In October 2023, the World Health Organization published an analysis spanning 15 years from 2007 to 2022 concluding that of 440 agents used in 2,519 cancer treatment trials worldwide, approximately 41% have also been approved for use in children. Furthermore, only five have been approved for use exclusively in children. The median time between adult and pediatric approvals in this analysis was approximately three years.</w:t>
      </w:r>
    </w:p>
    <w:p>
      <w:pPr>
        <w:spacing w:after="0" w:line="80"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We believe that now is the right time to revisit and correct historic assumptions about pediatric oncology drug development. In doing so, we believe there are unique advantages to developing new oncology products and product candidates in pediatric patients, in parallel with, or even in advance of, adult indications:</w:t>
      </w:r>
    </w:p>
    <w:p>
      <w:pPr>
        <w:spacing w:after="0" w:line="64" w:lineRule="exact"/>
        <w:rPr>
          <w:sz w:val="20"/>
          <w:szCs w:val="20"/>
          <w:color w:val="auto"/>
        </w:rPr>
      </w:pPr>
    </w:p>
    <w:p>
      <w:pPr>
        <w:ind w:left="1020" w:hanging="503"/>
        <w:spacing w:after="0" w:line="28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Enriched responder populations. </w:t>
      </w:r>
      <w:r>
        <w:rPr>
          <w:rFonts w:ascii="Times New Roman" w:cs="Times New Roman" w:eastAsia="Times New Roman" w:hAnsi="Times New Roman"/>
          <w:sz w:val="18"/>
          <w:szCs w:val="18"/>
          <w:color w:val="auto"/>
        </w:rPr>
        <w:t>The generation of large-scale molecular profiling datasets necessary to define addressable subpopulations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pediatric oncology has accelerated over the last decade. This has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6" w:lineRule="exact"/>
        <w:rPr>
          <w:sz w:val="20"/>
          <w:szCs w:val="20"/>
          <w:color w:val="auto"/>
        </w:rPr>
      </w:pPr>
    </w:p>
    <w:p>
      <w:pPr>
        <w:ind w:left="1020" w:right="100"/>
        <w:spacing w:after="0" w:line="261" w:lineRule="auto"/>
        <w:rPr>
          <w:sz w:val="20"/>
          <w:szCs w:val="20"/>
          <w:color w:val="auto"/>
        </w:rPr>
      </w:pPr>
      <w:r>
        <w:rPr>
          <w:rFonts w:ascii="Times New Roman" w:cs="Times New Roman" w:eastAsia="Times New Roman" w:hAnsi="Times New Roman"/>
          <w:sz w:val="18"/>
          <w:szCs w:val="18"/>
          <w:color w:val="auto"/>
        </w:rPr>
        <w:t>allowed scientists and drug developers to identify oncogenic drivers underlying numerous pediatric tumor types, and has revealed druggable oncogenic drivers in nearly 50% of pediatric cancers. Moreover, pediatric tumors are less heterogeneous and genomically more stable compared to highly heterogeneous adult tumors. Directly targeting these mutations may lead to deep and sustained anti-tumor activity, as demonstrated by other targeted oncology products.</w:t>
      </w:r>
    </w:p>
    <w:p>
      <w:pPr>
        <w:spacing w:after="0" w:line="68" w:lineRule="exact"/>
        <w:rPr>
          <w:sz w:val="20"/>
          <w:szCs w:val="20"/>
          <w:color w:val="auto"/>
        </w:rPr>
      </w:pPr>
    </w:p>
    <w:p>
      <w:pPr>
        <w:ind w:left="1020" w:right="60" w:hanging="503"/>
        <w:spacing w:after="0" w:line="259"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efficiently advance clinical development. </w:t>
      </w:r>
      <w:r>
        <w:rPr>
          <w:rFonts w:ascii="Times New Roman" w:cs="Times New Roman" w:eastAsia="Times New Roman" w:hAnsi="Times New Roman"/>
          <w:sz w:val="18"/>
          <w:szCs w:val="18"/>
          <w:color w:val="auto"/>
        </w:rPr>
        <w:t>Recently, global regulatory authorities have established paths for accelerated feedback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design and execution of clinical trials in pediatrics. As part of the FDA Reauthorization Act, 205 relevant molecular targets were identified for pediatric cancers. In addition, new tumor-specific pediatric oncology consortia and cooperative groups have been established, allowing industry to sponsor pediatric clinical trials in the same manner as adult clinical trials. Further, the potential to achieve proof-of-concept and regulatory approval can be obtained with relatively smaller-sized clinical trials with clear endpoints.</w:t>
      </w:r>
    </w:p>
    <w:p>
      <w:pPr>
        <w:spacing w:after="0" w:line="71" w:lineRule="exact"/>
        <w:rPr>
          <w:rFonts w:ascii="Times New Roman" w:cs="Times New Roman" w:eastAsia="Times New Roman" w:hAnsi="Times New Roman"/>
          <w:sz w:val="18"/>
          <w:szCs w:val="18"/>
          <w:color w:val="auto"/>
        </w:rPr>
      </w:pPr>
    </w:p>
    <w:p>
      <w:pPr>
        <w:ind w:left="1020" w:right="20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and commercial tailwinds. </w:t>
      </w:r>
      <w:r>
        <w:rPr>
          <w:rFonts w:ascii="Times New Roman" w:cs="Times New Roman" w:eastAsia="Times New Roman" w:hAnsi="Times New Roman"/>
          <w:sz w:val="18"/>
          <w:szCs w:val="18"/>
          <w:color w:val="auto"/>
        </w:rPr>
        <w:t>The scarcity of approved products or an established standard of care, particularly in relapsed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 in pediatric oncology, provides multiple opportunities to bring new therapeutics to market. Passionate patient advocacy groups and investigators have the potential to accelerate the uptake of therapies, if approved.</w:t>
      </w:r>
    </w:p>
    <w:p>
      <w:pPr>
        <w:spacing w:after="0" w:line="67" w:lineRule="exact"/>
        <w:rPr>
          <w:sz w:val="20"/>
          <w:szCs w:val="20"/>
          <w:color w:val="auto"/>
        </w:rPr>
      </w:pPr>
    </w:p>
    <w:p>
      <w:pPr>
        <w:jc w:val="both"/>
        <w:ind w:right="260" w:firstLine="562"/>
        <w:spacing w:after="0" w:line="266" w:lineRule="auto"/>
        <w:rPr>
          <w:sz w:val="20"/>
          <w:szCs w:val="20"/>
          <w:color w:val="auto"/>
        </w:rPr>
      </w:pPr>
      <w:r>
        <w:rPr>
          <w:rFonts w:ascii="Times New Roman" w:cs="Times New Roman" w:eastAsia="Times New Roman" w:hAnsi="Times New Roman"/>
          <w:sz w:val="18"/>
          <w:szCs w:val="18"/>
          <w:color w:val="auto"/>
        </w:rPr>
        <w:t>Our company is uniquely positioned to deliver much-needed targeted therapeutics to pediatric oncology patients. We have extensive capabilities and experience with these patients, and our trusted relationships across all key stakeholders in the pediatric medical community enable us to effectively navigate the challenges and nuances of pediatric drug development.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21"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We seek to identify, acquire and develop products and product candidates that target high-value oncogenic drivers in cancers with high unmet need. Although our clinical development begins by leveraging our unique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8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expertise in the pediatric oncology setting, we are committed to advancing targeted therapies for adult cancer patients with equivalent intensity. The following table summarizes our product and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45720</wp:posOffset>
            </wp:positionV>
            <wp:extent cx="5349240" cy="3043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Tovorafenib</w:t>
      </w:r>
    </w:p>
    <w:p>
      <w:pPr>
        <w:spacing w:after="0" w:line="121"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Our first commercial product, tovorafenib, is an oral, brain-penetrant, highly selective type II RAF kinase inhibitor. Tovorafenib has been studied in over 325 patients, and as a monotherapy demonstrated good tolerability and encouraging anti-tumor activity in pediatric and adult populations with specific MAPK pathway-alterations. We have now fully enrolled a pivotal Phase 2 FIREFLY-1 trial of tovorafenib as a monotherapy for patients with pLGG, the most common brain tumor diagnosed in children, for which there are no approved therapies and no recognized standard of care for the majority of patients. The FIREFLY-1 trial has also been expanded to: (a) include two additional study arms to enable expanded access for eligible patients now that the primary cohort has completed enrollment, and (b) evaluate the preliminary efficacy of tovorafenib in patients aged six months to 25 years with a relapsed or progressive extracranial solid tumor with an activating RAF fusion. We reported data from the registrational arm of the Phase 2 FIREFLY-1 trial at the American Society of Clinical Oncology annual meeting in June 2023 and selected analysis at the annual meeting of the Society of Neuro-Oncology in November 2023. In April 2024, the FDA approved OJEMDA™ (tovorafenib) for the treatment of patients 6 months of age and older with relapsed or refractory pLGG harboring a BRAF fusion or rearrangement, or BRAF V600 mutation.</w:t>
      </w:r>
    </w:p>
    <w:p>
      <w:pPr>
        <w:spacing w:after="0" w:line="86"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We initiated a pivotal Phase 3 trial, or FIREFLY-2, evaluating tovorafenib as a front-line therapy in patients aged 6 months to 25 years with pLGG in June 2022. The first patient was dosed in FIREFLY-2 in March 2023. To date, patients continue to enroll in the United States, Canada, Europe, Australia and Asia, with approximately 113 sites activated. We expect to complete enrollment of FIREFLY-2 in the first half of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RAF kinase drives cell proliferation and carcinogenesis</w:t>
      </w:r>
    </w:p>
    <w:p>
      <w:pPr>
        <w:spacing w:after="0" w:line="121"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color w:val="auto"/>
        </w:rPr>
        <w:t>Cell functions such as growth, survival and differentiation are regulated by cascades of signaling events of which RAF kinase is a critical component. RAF is a protein kinase that is normally activated by RAS, a protein that transmits activating signals from extracellular receptors to RAF. Activation of RAF then leads to the activation of MEK kinase and the downstream MAPK pathway. Genetic alterations that result in overactivation of the pathway, such as RAS or RAF alterations, have long been characterized as oncogenic.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980440</wp:posOffset>
            </wp:positionV>
            <wp:extent cx="2691765" cy="2794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69176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Figure 1. RAF kinases (ARAF, BRAF, CRAF) are critical components of the MAPK pathway. BRAF V600E can signal as a monomer and is sensitive to type I and type II RAF inhibitors. Wild-type RAF dimers are only sensitive to type II RAF inhibitors. Modified from: Solit and Rosen, Cancer Discover, 2014.</w:t>
      </w:r>
    </w:p>
    <w:p>
      <w:pPr>
        <w:spacing w:after="0" w:line="68"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One of the most frequently altered genes in this pathway is BRAF, one of three RAF genes in human cells and the form of RAF most easily activated by RAS. The majority of alterations in BRAF are mutations known as V600. Mutations in V600 transform non-mutant or wild-type BRAF into a form of BRAF that has increased signaling activity and is no longer dependent on RAS for activation. The abundance of V600 mutant BRAF and its central role in tumor growth have made it a focus of historical drug discovery efforts.</w:t>
      </w:r>
    </w:p>
    <w:p>
      <w:pPr>
        <w:spacing w:after="0" w:line="72" w:lineRule="exact"/>
        <w:rPr>
          <w:sz w:val="20"/>
          <w:szCs w:val="20"/>
          <w:color w:val="auto"/>
        </w:rPr>
      </w:pPr>
    </w:p>
    <w:p>
      <w:pPr>
        <w:ind w:right="80" w:firstLine="562"/>
        <w:spacing w:after="0" w:line="254" w:lineRule="auto"/>
        <w:rPr>
          <w:sz w:val="20"/>
          <w:szCs w:val="20"/>
          <w:color w:val="auto"/>
        </w:rPr>
      </w:pPr>
      <w:r>
        <w:rPr>
          <w:rFonts w:ascii="Times New Roman" w:cs="Times New Roman" w:eastAsia="Times New Roman" w:hAnsi="Times New Roman"/>
          <w:sz w:val="18"/>
          <w:szCs w:val="18"/>
          <w:color w:val="auto"/>
        </w:rPr>
        <w:t>Another class of important oncogenic BRAF alterations are BRAF wild-type gene fusions. Gene fusions involving BRAF occur through intra- or inter-chromosomal rearrangements in which genes for unrelated proteins are physically joined together resulting in the synthesis of a chimeric protein. BRAF consists of a regulatory domain which modulates the activity of BRAF, and a catalytic kinase domain which then activates downstream signaling to promote cell growth. In BRAF fusions, the regulatory domain of BRAF is replaced with a different sequence, allowing BRAF to signal independent of RAS activation. This uncoupling of the regulatory and catalytic domains of BRAF has important consequences: the resultant novel oncogene is both aberrantly expressed and it also exhibits constitutive, or always-on, activation of the kinase domain. This kinase activity can result in the activation of downstream oncogenic signaling, exacerbating tumor growth. BRAF gene fusions have been observed in patients with prostate cancer, melanoma, radiation-induced thyroid cancer, and pLGG.</w:t>
      </w:r>
    </w:p>
    <w:p>
      <w:pPr>
        <w:spacing w:after="0" w:line="84" w:lineRule="exact"/>
        <w:rPr>
          <w:sz w:val="20"/>
          <w:szCs w:val="20"/>
          <w:color w:val="auto"/>
        </w:rPr>
      </w:pPr>
    </w:p>
    <w:p>
      <w:pPr>
        <w:ind w:right="120" w:firstLine="562"/>
        <w:spacing w:after="0" w:line="258" w:lineRule="auto"/>
        <w:rPr>
          <w:sz w:val="20"/>
          <w:szCs w:val="20"/>
          <w:color w:val="auto"/>
        </w:rPr>
      </w:pPr>
      <w:r>
        <w:rPr>
          <w:rFonts w:ascii="Times New Roman" w:cs="Times New Roman" w:eastAsia="Times New Roman" w:hAnsi="Times New Roman"/>
          <w:sz w:val="18"/>
          <w:szCs w:val="18"/>
          <w:color w:val="auto"/>
        </w:rPr>
        <w:t>Three BRAF inhibitors have been approved by the FDA for the treatment of certain solid tumors containing only BRAF V600E or V600K mutations, including melanoma, non-small cell lung cancer, anaplastic thyroid cancer, and colorectal cancer. These first-generation BRAF inhibitors, known more generally as type I RAF inhibitors, are vemurafenib, marketed as Zelboraf® by Genentech; dabrafenib, marketed as Tafinlar® by Novartis; and encorafenib, marketed as Braftovi® by Pfizer. However, despite initial clinical responses to monotherapy type 1 RAF inhibitors, most patients relapse within one year following the initiation of treatment.</w:t>
      </w:r>
    </w:p>
    <w:p>
      <w:pPr>
        <w:spacing w:after="0" w:line="75" w:lineRule="exact"/>
        <w:rPr>
          <w:sz w:val="20"/>
          <w:szCs w:val="20"/>
          <w:color w:val="auto"/>
        </w:rPr>
      </w:pPr>
    </w:p>
    <w:p>
      <w:pPr>
        <w:ind w:right="100" w:firstLine="569"/>
        <w:spacing w:after="0" w:line="261" w:lineRule="auto"/>
        <w:rPr>
          <w:sz w:val="20"/>
          <w:szCs w:val="20"/>
          <w:color w:val="auto"/>
        </w:rPr>
      </w:pPr>
      <w:r>
        <w:rPr>
          <w:rFonts w:ascii="Times New Roman" w:cs="Times New Roman" w:eastAsia="Times New Roman" w:hAnsi="Times New Roman"/>
          <w:sz w:val="18"/>
          <w:szCs w:val="18"/>
          <w:color w:val="auto"/>
        </w:rPr>
        <w:t>One way by which resistance develops to type I RAF inhibitors is related to the mechanism of normal RAF activation in cells. In contrast to the constitutively active V600E or V600K variant, which is active as a monomer, normal RAF function requires formation of dimers of RAF. Approved inhibitors of V600E/K BRAF do not block the activity of RAF dimers or other non-V600 BRAF mutations. In fact, the binding of some of these inhibitors to V600E/K BRAF can stimulate the formation of dimers, thereby causing paradoxical activation (undesired increases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MAP kinase signaling) in RAF wild-type cells – a phenomenon which could potentially lead to renewed tumor growth. Paradoxical activation of wild-type RAF also occurs in non-tumor tissue. This leads to a common adverse event associated with these agents—the development of proliferative pre-malignant and malignant skin lesions. In order to avoid resistance and paradoxical activation, in many instances type I RAF inhibitors need to be given in combination with MEK inhibitors, but again only to patients with BRAF V600E/K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262890</wp:posOffset>
            </wp:positionV>
            <wp:extent cx="3128645" cy="2794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864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firstLine="569"/>
        <w:spacing w:after="0" w:line="255" w:lineRule="auto"/>
        <w:rPr>
          <w:sz w:val="20"/>
          <w:szCs w:val="20"/>
          <w:color w:val="auto"/>
        </w:rPr>
      </w:pPr>
      <w:r>
        <w:rPr>
          <w:rFonts w:ascii="Times New Roman" w:cs="Times New Roman" w:eastAsia="Times New Roman" w:hAnsi="Times New Roman"/>
          <w:sz w:val="18"/>
          <w:szCs w:val="18"/>
          <w:color w:val="auto"/>
        </w:rPr>
        <w:t>Figure 2. Schema showing the effect of different RAF inhibitors on monomeric RAF kinases (i.e., BRAF V600E; top section) or dimeric RAF kinases (bottom section). ERK activation is strongly activated downstream of BRAF V600E, even more so than seen for dimeric RAF kinase signaling. Monomer-selective type I RAF inhibitors bind to the ATP site in BRAF monomers and inhibit downstream signaling. In RAF dimeric kinases, binding of drug inhibits the bound RAF protomer, but leads to a conformational change in the other protomer in the dimer pair and strong transactivation of this protomer, leading to overall increased ERK activation (paradoxical activation). Type II RAF inhibitors are able to bind to mutant RAF monomers and dimers at equipotent doses and therefore can inhibit mutant RAF monomers and dimers at the same dose. Adapted from Yaeger and Corcoran, Cancer Discovery, 2019.</w:t>
      </w:r>
    </w:p>
    <w:p>
      <w:pPr>
        <w:spacing w:after="0" w:line="81" w:lineRule="exact"/>
        <w:rPr>
          <w:sz w:val="20"/>
          <w:szCs w:val="20"/>
          <w:color w:val="auto"/>
        </w:rPr>
      </w:pPr>
    </w:p>
    <w:p>
      <w:pPr>
        <w:ind w:right="60" w:firstLine="562"/>
        <w:spacing w:after="0" w:line="266" w:lineRule="auto"/>
        <w:rPr>
          <w:sz w:val="20"/>
          <w:szCs w:val="20"/>
          <w:color w:val="auto"/>
        </w:rPr>
      </w:pPr>
      <w:r>
        <w:rPr>
          <w:rFonts w:ascii="Times New Roman" w:cs="Times New Roman" w:eastAsia="Times New Roman" w:hAnsi="Times New Roman"/>
          <w:sz w:val="18"/>
          <w:szCs w:val="18"/>
          <w:color w:val="auto"/>
        </w:rPr>
        <w:t>Type I RAF inhibitors that target V600E/K alterations are not able to inhibit the wild-type RAF kinase domains in KIAA1549-BRAF gene fusions and are thus unable to effectively inhibit the overactive signaling that results from this fusion. Furthermore, because of the potential for paradoxical activation, these RAF inhibitors are contraindicated in patients with BRAF gene fusions.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Tovorafenib's mechanism of action</w:t>
      </w:r>
    </w:p>
    <w:p>
      <w:pPr>
        <w:spacing w:after="0" w:line="121" w:lineRule="exact"/>
        <w:rPr>
          <w:sz w:val="20"/>
          <w:szCs w:val="20"/>
          <w:color w:val="auto"/>
        </w:rPr>
      </w:pPr>
    </w:p>
    <w:p>
      <w:pPr>
        <w:ind w:firstLine="562"/>
        <w:spacing w:after="0" w:line="281" w:lineRule="auto"/>
        <w:rPr>
          <w:sz w:val="20"/>
          <w:szCs w:val="20"/>
          <w:color w:val="auto"/>
        </w:rPr>
      </w:pPr>
      <w:r>
        <w:rPr>
          <w:rFonts w:ascii="Times New Roman" w:cs="Times New Roman" w:eastAsia="Times New Roman" w:hAnsi="Times New Roman"/>
          <w:sz w:val="17"/>
          <w:szCs w:val="17"/>
          <w:color w:val="auto"/>
        </w:rPr>
        <w:t>Tovorafenib is a selective, small molecule RAF inhibitor that can block the activity of multiple forms of RAF including wild-type RAF, BRAF and CRAF fusion proteins, and variants that function as dimers (Class II mutations), as well as variants such as BRAF V600E and non-V600E mutations that function as monomers (Class I mutations). Tovorafenib is known as a type II RAF inhibitor as it’s designed to inhibit both monomeric and dimeric RAF kinase. Tovorafenib's inhibition of both RAF monomers and dimers broadens its potential clinical application to treat an array of RAF-altered tumors.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1811020</wp:posOffset>
            </wp:positionH>
            <wp:positionV relativeFrom="page">
              <wp:posOffset>1391920</wp:posOffset>
            </wp:positionV>
            <wp:extent cx="3891915" cy="3034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389191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firstLine="562"/>
        <w:spacing w:after="0" w:line="258" w:lineRule="auto"/>
        <w:rPr>
          <w:sz w:val="20"/>
          <w:szCs w:val="20"/>
          <w:color w:val="auto"/>
        </w:rPr>
      </w:pPr>
      <w:r>
        <w:rPr>
          <w:rFonts w:ascii="Times New Roman" w:cs="Times New Roman" w:eastAsia="Times New Roman" w:hAnsi="Times New Roman"/>
          <w:sz w:val="18"/>
          <w:szCs w:val="18"/>
          <w:color w:val="auto"/>
        </w:rPr>
        <w:t>Figure 3. Signaling pathways in different classes of BRAF mutations. BRAF V600 mutations (Class I) are independent of RAS signaling and work as monomers. BRAF non-V600 Class II mutations are also independent of RAS but signal as constitutive dimers. The Class II mutations include BRAF wild-type fusions. Non-V600 Class III BRAF mutations have low or no kinase activity and depend on RAS activation acting as amplifiers of the RAS signaling pathway. Tovorafenib inhibits Class I and Class II RAF alterations, including BRAF wild-type fusions and non-V600E/K variations. Modified from Fontana and Valeri, Clinical Cancer Research, 2019.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low-grade glioma disease and treatment overview</w:t>
      </w:r>
    </w:p>
    <w:p>
      <w:pPr>
        <w:spacing w:after="0" w:line="121"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Pediatric low-grade glioma is the most common brain tumor diagnosed in children, accounting for 30%-50% of all central nervous system tumors. For the most part, these tumors are slow-growing, chronic, and relentless. While malignant transformation and dissemination of pLGGs are rare there are many long-term consequences of the disease. The growth of pLGG is highly morbid as pLGG tumors are space-occupying lesions that have the potential to compress critical neurovascular structures in the brain. Symptoms can vary from patient to patient depending on the location of the tumor and the amount of pressure it exerts on surrounding tissues. These symptoms can include headaches, nausea, vomiting, lethargy, sixth cranial nerve palsies, seizures and behavioral changes, depending on tumor location. The majority of children with pLGG are long-term survivors and live into adulthood; however, survivors of pediatric glioma often suffer long-lasting functional, neurologic, and endocrine complications from their disease and/or treatment. These patients require more effective treatment strategies that minimize long-term morbidity and treatment-associated toxicity.</w:t>
      </w:r>
    </w:p>
    <w:p>
      <w:pPr>
        <w:spacing w:after="0" w:line="84" w:lineRule="exact"/>
        <w:rPr>
          <w:sz w:val="20"/>
          <w:szCs w:val="20"/>
          <w:color w:val="auto"/>
        </w:rPr>
      </w:pPr>
    </w:p>
    <w:p>
      <w:pPr>
        <w:ind w:right="20" w:firstLine="562"/>
        <w:spacing w:after="0" w:line="255" w:lineRule="auto"/>
        <w:rPr>
          <w:sz w:val="20"/>
          <w:szCs w:val="20"/>
          <w:color w:val="auto"/>
        </w:rPr>
      </w:pPr>
      <w:r>
        <w:rPr>
          <w:rFonts w:ascii="Times New Roman" w:cs="Times New Roman" w:eastAsia="Times New Roman" w:hAnsi="Times New Roman"/>
          <w:sz w:val="18"/>
          <w:szCs w:val="18"/>
          <w:color w:val="auto"/>
        </w:rPr>
        <w:t>Patients with pLGG have historically been treated with surgery, radiation, and chemotherapy. While surgical resection of pLGG is associated with 10-year overall survival rates of 90% or more, the majority of children are unable to undergo complete resection, a procedure which can be associated in some instances with significant and long-lasting morbidity. Incompletely resected or unresectable pLGG is associated with a high rate of disease progression or recurrence. Patients with subtotal resections have a 10-year progression-free survival of only 55%. Although more modern radiation therapy modalities have been shown to lead to improvements in progression free survival, radiotherapy is historically associated with a risk of significant decline in neurocognitive outcomes in younger children, as well as the risk of endocrine dysfunction, secondary malignancy, and an increased risk of stroke. As a result, even modern radiation therapy techniques continue to be reserved for use when all other therapies have failed.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86"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Most patients with pLGG requiring initial systemic therapy are treated with combination chemotherapy such as carboplatin and vincristine or, in certain countries, vinblastine or carboplatin as single-agents. Results from the largest randomized Phase 3 study for children with newly diagnosed pLGG showed a 5-year event-free survival of 47% for vincristine/carboplatin. Outcomes for a subgroup of patients with pLGG not associated with neurofibromatosis, which included those with BRAF alterations, were inferior, showing a 5-year event-free survival of 39%. Of note, the overall response rate to chemotherapy in newly diagnosed patients with pLGG was 30%-35%. In addition to chemotherapy’s efficacy limitations, treatment-related morbidity was significant, with more than 95% of patients having experienced at least one Grade 3 or Grade 4 adverse event. A number of therapies targeting pathway have been assessed in tumor types harboring molecular alteration on the MAPK pathway, including BRAF and MEK, as further discussed below. While some of these agents have been approved for the treatment of tumors harboring BRAF V600 mutation including in children with pLGG, there is no consensual standard-of-care therapy for patients whose tumors progress following the failure of these chemotherapy regiment or targeted therapies.</w:t>
      </w:r>
    </w:p>
    <w:p>
      <w:pPr>
        <w:spacing w:after="0" w:line="86" w:lineRule="exact"/>
        <w:rPr>
          <w:sz w:val="20"/>
          <w:szCs w:val="20"/>
          <w:color w:val="auto"/>
        </w:rPr>
      </w:pPr>
    </w:p>
    <w:p>
      <w:pPr>
        <w:ind w:right="20" w:firstLine="562"/>
        <w:spacing w:after="0" w:line="266" w:lineRule="auto"/>
        <w:rPr>
          <w:sz w:val="20"/>
          <w:szCs w:val="20"/>
          <w:color w:val="auto"/>
        </w:rPr>
      </w:pPr>
      <w:r>
        <w:rPr>
          <w:rFonts w:ascii="Times New Roman" w:cs="Times New Roman" w:eastAsia="Times New Roman" w:hAnsi="Times New Roman"/>
          <w:sz w:val="18"/>
          <w:szCs w:val="18"/>
          <w:color w:val="auto"/>
        </w:rPr>
        <w:t>Because many pLGGs undergo senescence when patient ages reach their 20s, the goal of therapy is to maximize tumor control while minimizing treatment-associated toxicities from surgery, chemotherapy, and radiation. As a result, a large number of patients with pLGG will undergo multiple lines of systemic therapy over the course of their disease.</w:t>
      </w:r>
    </w:p>
    <w:p>
      <w:pPr>
        <w:spacing w:after="0" w:line="68" w:lineRule="exact"/>
        <w:rPr>
          <w:sz w:val="20"/>
          <w:szCs w:val="20"/>
          <w:color w:val="auto"/>
        </w:rPr>
      </w:pPr>
    </w:p>
    <w:p>
      <w:pPr>
        <w:ind w:right="100" w:firstLine="562"/>
        <w:spacing w:after="0" w:line="261" w:lineRule="auto"/>
        <w:rPr>
          <w:sz w:val="20"/>
          <w:szCs w:val="20"/>
          <w:color w:val="auto"/>
        </w:rPr>
      </w:pPr>
      <w:r>
        <w:rPr>
          <w:rFonts w:ascii="Times New Roman" w:cs="Times New Roman" w:eastAsia="Times New Roman" w:hAnsi="Times New Roman"/>
          <w:sz w:val="18"/>
          <w:szCs w:val="18"/>
          <w:color w:val="auto"/>
        </w:rPr>
        <w:t>Based on incidence results published in academic journals, we estimate that approximately 1,100 patients under the age of 25 are newly diagnosed with BRAF-altered pLGG every year. We partnered with an epidemiology firm to perform SEER and CBTRUS registry analysis that estimates the prevalence, as of January 1, 2017, in the United States for BRAF-altered patients with pLGG under the age of 25 to be 26,000. The estimated addressable pool of recurrent, progressive, or refractory patients with pLGG for tovorafenib is approximately between 2,000 to 3,000 per year at steady state.</w:t>
      </w:r>
    </w:p>
    <w:p>
      <w:pPr>
        <w:spacing w:after="0" w:line="72" w:lineRule="exact"/>
        <w:rPr>
          <w:sz w:val="20"/>
          <w:szCs w:val="20"/>
          <w:color w:val="auto"/>
        </w:rPr>
      </w:pPr>
    </w:p>
    <w:p>
      <w:pPr>
        <w:ind w:right="300" w:firstLine="562"/>
        <w:spacing w:after="0" w:line="261" w:lineRule="auto"/>
        <w:rPr>
          <w:sz w:val="20"/>
          <w:szCs w:val="20"/>
          <w:color w:val="auto"/>
        </w:rPr>
      </w:pPr>
      <w:r>
        <w:rPr>
          <w:rFonts w:ascii="Times New Roman" w:cs="Times New Roman" w:eastAsia="Times New Roman" w:hAnsi="Times New Roman"/>
          <w:sz w:val="18"/>
          <w:szCs w:val="18"/>
          <w:color w:val="auto"/>
        </w:rPr>
        <w:t>Over the last decade, it has been found that between 50% and 60% of pLGGs are driven by abnormal signaling due to alterations in RAF, approximately 85% to 90% of which are a gene fusion known as KIAA1549-BRAF. This gene alteration results in the expression of a wild-type BRAF catalytic domain without its normal regulatory domain, thereby rendering constitutively active BRAF activity. In addition, between 5% and 17% of children with pLGGs have tumors with a BRAF V600E activating mutation.</w:t>
      </w:r>
    </w:p>
    <w:p>
      <w:pPr>
        <w:spacing w:after="0" w:line="72" w:lineRule="exact"/>
        <w:rPr>
          <w:sz w:val="20"/>
          <w:szCs w:val="20"/>
          <w:color w:val="auto"/>
        </w:rPr>
      </w:pPr>
    </w:p>
    <w:p>
      <w:pPr>
        <w:ind w:right="40" w:firstLine="562"/>
        <w:spacing w:after="0" w:line="255" w:lineRule="auto"/>
        <w:rPr>
          <w:sz w:val="20"/>
          <w:szCs w:val="20"/>
          <w:color w:val="auto"/>
        </w:rPr>
      </w:pPr>
      <w:r>
        <w:rPr>
          <w:rFonts w:ascii="Times New Roman" w:cs="Times New Roman" w:eastAsia="Times New Roman" w:hAnsi="Times New Roman"/>
          <w:sz w:val="18"/>
          <w:szCs w:val="18"/>
          <w:color w:val="auto"/>
        </w:rPr>
        <w:t>With the exception of the combination of dabrafenib-trametinib for patients &gt;6 years of age with relapsed/progressive tumors bearing a BRAF V600E/K mutation, there have been no agents approved for use in this population and as such, are only available via clinical trials or off-label prescription. Off-label use, while common in the pediatric oncology setting, is recognized to be an inferior approach as it exposes children to potential risks without the associated safeguards that accompany comprehensive clinical development activities, such as long-term safety monitoring and pharmacovigilance activities. We believe that the intentional development of a specifically-targeted, brain-penetrant therapy for pLGG is essential to improve outcomes for these patients, particularly those with BRAF fusions, and patients with BRAF V600E mutations who are either &lt;6 years of age or who have progressed on, or cannot tolerate, combined Type I RAF/MEK inhibition.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results for pLGG</w:t>
      </w:r>
    </w:p>
    <w:p>
      <w:pPr>
        <w:spacing w:after="0" w:line="121" w:lineRule="exact"/>
        <w:rPr>
          <w:sz w:val="20"/>
          <w:szCs w:val="20"/>
          <w:color w:val="auto"/>
        </w:rPr>
      </w:pPr>
    </w:p>
    <w:p>
      <w:pPr>
        <w:ind w:right="80" w:firstLine="562"/>
        <w:spacing w:after="0" w:line="239" w:lineRule="auto"/>
        <w:rPr>
          <w:sz w:val="20"/>
          <w:szCs w:val="20"/>
          <w:color w:val="auto"/>
        </w:rPr>
      </w:pPr>
      <w:r>
        <w:rPr>
          <w:rFonts w:ascii="Times New Roman" w:cs="Times New Roman" w:eastAsia="Times New Roman" w:hAnsi="Times New Roman"/>
          <w:sz w:val="18"/>
          <w:szCs w:val="18"/>
          <w:color w:val="auto"/>
        </w:rPr>
        <w:t>Tovorafenib is currently being evaluated in an ongoing investigator-initiated, multi-center study (PNOC014, NCT03429803) in patients with relapsed or refractory gliomas (high- and low-grade) and other tumors that is being conducted by Dana-Farber Cancer Institute in collaboration with PNOC. The trial remains open but is closed to new patient accrual. As of June 2023, a total of 44 patients had been enrolled in Part B of this Phase 1 dose-escalation trial (9 patients in Part A, 35 patients in Part B), which was conducted at multiple institutions within the PNOC network. Once-weekly tovorafenib at doses as high as 420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/week were well-tolerated in patients ≥ 1.5m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while doses as high as 530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/week were found to be well-tolerated in patients &lt; 1.5m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Data was presented at the 2022 Society for Neuro-Oncology meeting for the 35 patients studied in Part B. For this group, there were two complete responses, seven partial responses, fifteen patients with stable disease and eight patients who had progressive disease. There were six dose limiting toxicities, all at 530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/week, all Grade 3, and five known side effects (two fatigue, three rash, one menorrhagia).</w:t>
      </w:r>
    </w:p>
    <w:p>
      <w:pPr>
        <w:spacing w:after="0" w:line="21" w:lineRule="exact"/>
        <w:rPr>
          <w:sz w:val="20"/>
          <w:szCs w:val="20"/>
          <w:color w:val="auto"/>
        </w:rPr>
      </w:pPr>
    </w:p>
    <w:p>
      <w:pPr>
        <w:ind w:right="100" w:firstLine="569"/>
        <w:spacing w:after="0" w:line="266" w:lineRule="auto"/>
        <w:rPr>
          <w:sz w:val="20"/>
          <w:szCs w:val="20"/>
          <w:color w:val="auto"/>
        </w:rPr>
      </w:pPr>
      <w:r>
        <w:rPr>
          <w:rFonts w:ascii="Times New Roman" w:cs="Times New Roman" w:eastAsia="Times New Roman" w:hAnsi="Times New Roman"/>
          <w:sz w:val="18"/>
          <w:szCs w:val="18"/>
          <w:color w:val="auto"/>
        </w:rPr>
        <w:t>As shown in Figure 4 below, the Phase 1 trial, which initially started in February 2018, was designed to determine maximum tolerated dose, or MTD, in pediatric patients. Part A of this trial was an initial dose-escalation of tovorafenib as monotherapy that utilized a 3+3 design. The starting dose of 280 mg/m2 was 80% of the adult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8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recommended phase 2 dose, or RP2D, of 600 mg orally once weekly, adjusted for body surface area. Patients enrolled in this trial were treated for a period of up to two years. The trial was amended in December 2019 to continue dose escalation, using an adaptive design, until either dose limiting toxicities, or DLTs, or the MTD was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260350</wp:posOffset>
            </wp:positionV>
            <wp:extent cx="3231515" cy="263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151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Figure 4. Design of the Phase 1 trial of tovorafenib in pLGG.</w:t>
      </w:r>
    </w:p>
    <w:p>
      <w:pPr>
        <w:spacing w:after="0" w:line="117" w:lineRule="exact"/>
        <w:rPr>
          <w:sz w:val="20"/>
          <w:szCs w:val="20"/>
          <w:color w:val="auto"/>
        </w:rPr>
      </w:pPr>
    </w:p>
    <w:p>
      <w:pPr>
        <w:ind w:right="140" w:firstLine="569"/>
        <w:spacing w:after="0" w:line="254" w:lineRule="auto"/>
        <w:rPr>
          <w:sz w:val="20"/>
          <w:szCs w:val="20"/>
          <w:color w:val="auto"/>
        </w:rPr>
      </w:pPr>
      <w:r>
        <w:rPr>
          <w:rFonts w:ascii="Times New Roman" w:cs="Times New Roman" w:eastAsia="Times New Roman" w:hAnsi="Times New Roman"/>
          <w:sz w:val="18"/>
          <w:szCs w:val="18"/>
          <w:color w:val="auto"/>
        </w:rPr>
        <w:t>Tovorafenib was studied in a Phase 1 investigator-initiated trial (PNOC014; NCT03429803) in which it was administered once weekly as oral immediate release tablets to patients with relapsed or refractory tumors with LGGs and other RAS/RAF/MEK/ERK pathway-activated tumors. Data from Part A of this study was presented in November 2020 in which tovorafenib was evaluated at three different dose levels: 280 mg/m2, 350 mg/m2, and 420 mg/m2, with three patients at each dose level. Tovorafenib was well tolerated at all doses tested with no dose reductions or interruptions in patients receiving doses of 420 mg/m2 or below. None of these patients experienced a DLT. The vast majority of treatment emergent adverse events, or TEAEs, were Grade 1 or 2. No ophthalmologic or cardiac adverse events were observed. The most frequently reported TEAEs across all dose cohorts in Part A were all Grade 1 or 2 in severity and included rash (89%), graying of the hair (achromotrichia) (78%), moles (nevus) (78%), anemia (67%), and itching (pruritis) (67%). One patient experienced a single Grade 3 adverse event (increased creatinine phosphokinase), and there were no Grade 4 adverse events reported. These side effects were found to be reversible and manageable.</w:t>
      </w:r>
    </w:p>
    <w:p>
      <w:pPr>
        <w:spacing w:after="0" w:line="80"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While 420 mg/m2 was initially considered the RP2D because of anti-tumor activity observed at all dose levels in Part A, dose escalation was continued in Part B of this study an attempt to determine a MTD. Upon resumption of the dose-escalation portion in Part B of this trial, the dose escalation was split between two subgroups, based on body surface area, to account for the possibility that at dose levels of 530mg/m2 or higher there might be larger children that may exceed the adult MTD at a given dose level, while smaller children may not. Data from Part B of this study was presented in November of 2022. Thirty-five additional patients were enrolled in Part B PNOC014: 21 patients with gliomas bearing a KIAA1549:BRAF fusion, nine patients with tumors bearing a BRAFV600E mutation, four with a novel RAF- and one with an FGFR1-altered tumor. Histologically, the cohort included 30 LGGs, four high grade gliomas and one soft tissue sarcoma. There were six DLTs: three in each body surface area, or BSA, subgroup, all at 530 mg/m2/dose, all Grade 3, and five known side effects (two fatigue, three rash, one menorrhagia). Across these 35 patients, oral weekly tovorafenib was well tolerated. While the TITE-BOIN continuous reassessment model recommended 530 mg/m2/dose per os, or PO, weekly for patients with BSA &lt; 1.5m2 and 420 mg/m2/dose PO weekly for patients with BSA &gt;1.5m2, the probability of a DLT for patients with 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BSA &lt; 1.5m2 was found to be nearly 20%. As such, 420 mg/m2/dose PO weekly was selected as the dose for the pivotal Phase 2 FIREFLY-1 and pivotal Phase 3 FIREFLY-2 studies.</w:t>
      </w:r>
    </w:p>
    <w:p>
      <w:pPr>
        <w:spacing w:after="0" w:line="54" w:lineRule="exact"/>
        <w:rPr>
          <w:sz w:val="20"/>
          <w:szCs w:val="20"/>
          <w:color w:val="auto"/>
        </w:rPr>
      </w:pPr>
    </w:p>
    <w:p>
      <w:pPr>
        <w:ind w:right="120" w:firstLine="569"/>
        <w:spacing w:after="0" w:line="282" w:lineRule="auto"/>
        <w:rPr>
          <w:sz w:val="20"/>
          <w:szCs w:val="20"/>
          <w:color w:val="auto"/>
        </w:rPr>
      </w:pPr>
      <w:r>
        <w:rPr>
          <w:rFonts w:ascii="Times New Roman" w:cs="Times New Roman" w:eastAsia="Times New Roman" w:hAnsi="Times New Roman"/>
          <w:sz w:val="18"/>
          <w:szCs w:val="18"/>
          <w:color w:val="auto"/>
        </w:rPr>
        <w:t>Overall, data from the now-completed Part A, where the patients received up to two years of continuous treatment, supported by data from Part B, indicate that the tolerability profile of tovorafenib at 420mg/m2 supported the potential for chronic long-term usage of tovorafenib.</w:t>
      </w:r>
    </w:p>
    <w:p>
      <w:pPr>
        <w:spacing w:after="0" w:line="54" w:lineRule="exact"/>
        <w:rPr>
          <w:sz w:val="20"/>
          <w:szCs w:val="20"/>
          <w:color w:val="auto"/>
        </w:rPr>
      </w:pPr>
    </w:p>
    <w:p>
      <w:pPr>
        <w:jc w:val="both"/>
        <w:ind w:right="20" w:firstLine="562"/>
        <w:spacing w:after="0" w:line="289" w:lineRule="auto"/>
        <w:rPr>
          <w:sz w:val="20"/>
          <w:szCs w:val="20"/>
          <w:color w:val="auto"/>
        </w:rPr>
      </w:pPr>
      <w:r>
        <w:rPr>
          <w:rFonts w:ascii="Times New Roman" w:cs="Times New Roman" w:eastAsia="Times New Roman" w:hAnsi="Times New Roman"/>
          <w:sz w:val="17"/>
          <w:szCs w:val="17"/>
          <w:color w:val="auto"/>
        </w:rPr>
        <w:t>Based on the results from Part A of PNOC014, tovorafenib was granted breakthrough therapy designation by the FDA for the treatment of pediatric patients with pLGG harboring an activating RAF alteration who require systemic therapy and who have either progressed following prior treatment or who have no satisfactory alternative treatment options. Tovorafenib also received orphan drug designation from the FDA for the treatment of malignant glioma.</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 for pLGG</w:t>
      </w:r>
    </w:p>
    <w:p>
      <w:pPr>
        <w:spacing w:after="0" w:line="121"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color w:val="auto"/>
        </w:rPr>
        <w:t>We have completed enrollment of a pivotal Phase 2 FIREFLY-1 trial of tovorafenib in pediatric patients aged six months to 25 years with relapsed or refractory pLGGs harboring an activating BRAF alteration, such as a KIAA1549-BRAF fusion or a BRAF activating mutation, such as V600E. This is an open-label, global registrational, single-arm trial of oral tovorafenib administered once weekly at a dose of 420 mg/m2. Patients are allowed to continue on tovorafenib until radiographic evidence of disease progression by RANO criteria as determined by treating investigator, unacceptable toxicity, patient withdrawal of consent, or death. The first patient was dosed in FIREFLY-1 in May 2021 and we completed enrollment in the registrational arm in May 2022. The FIREFLY-1 trial was also expanded to: (a) include two additional study arms to enable expanded access for eligible patients now that the primary cohort has completed enrollment, and (b) evaluate the preliminary efficacy of tovorafenib in patients aged six months to 25 years with a relapsed or progressive extracranial solid tumor with an activating RAF fusion. This trial generated a dataset that, in combination with the existing safety database, served as the basis for regulatory approval. The primary endpoint was overall response rate, defined as the proportion of patients with best overall confirmed response rate (complete response and partial response based on the RANO criteria), as determined by independent review. Secondary and exploratory endpoints include the overall response rate based on RAPNO and volumetric analyses, event free survival, safety, functional outcomes, and quality of life measures. In April 2024, evaluation of the data from FIREFLY-1 by FDA resulted in accelerated approval of tovorafenib in the United States for the treatment of patients 6 months of age and older with relapsed or refractory pediatric LGG harboring a BRAF fusion or rearrangement, or BRAF V600 mutation. 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67310</wp:posOffset>
            </wp:positionV>
            <wp:extent cx="5349240" cy="1268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Figure 5. Design of the Phase 2 trial of tovorafenib in pLGG.</w:t>
      </w:r>
    </w:p>
    <w:p>
      <w:pPr>
        <w:spacing w:after="0" w:line="117" w:lineRule="exact"/>
        <w:rPr>
          <w:sz w:val="20"/>
          <w:szCs w:val="20"/>
          <w:color w:val="auto"/>
        </w:rPr>
      </w:pPr>
    </w:p>
    <w:p>
      <w:pPr>
        <w:ind w:right="420" w:firstLine="562"/>
        <w:spacing w:after="0" w:line="282" w:lineRule="auto"/>
        <w:rPr>
          <w:sz w:val="20"/>
          <w:szCs w:val="20"/>
          <w:color w:val="auto"/>
        </w:rPr>
      </w:pPr>
      <w:r>
        <w:rPr>
          <w:rFonts w:ascii="Times New Roman" w:cs="Times New Roman" w:eastAsia="Times New Roman" w:hAnsi="Times New Roman"/>
          <w:sz w:val="18"/>
          <w:szCs w:val="18"/>
          <w:color w:val="auto"/>
        </w:rPr>
        <w:t>Tovorafenib is currently dosed as immediate-release tablets. We have developed a pediatric formulation suitable for oral dosing of children as young as six months of age and have dosed patients with this pediatric formulation in our pivotal Phase 2 FIREFLY-1 trial.</w:t>
      </w:r>
    </w:p>
    <w:p>
      <w:pPr>
        <w:spacing w:after="0" w:line="54" w:lineRule="exact"/>
        <w:rPr>
          <w:sz w:val="20"/>
          <w:szCs w:val="20"/>
          <w:color w:val="auto"/>
        </w:rPr>
      </w:pPr>
    </w:p>
    <w:p>
      <w:pPr>
        <w:jc w:val="both"/>
        <w:ind w:right="460" w:firstLine="562"/>
        <w:spacing w:after="0" w:line="261" w:lineRule="auto"/>
        <w:rPr>
          <w:sz w:val="20"/>
          <w:szCs w:val="20"/>
          <w:color w:val="auto"/>
        </w:rPr>
      </w:pPr>
      <w:r>
        <w:rPr>
          <w:rFonts w:ascii="Times New Roman" w:cs="Times New Roman" w:eastAsia="Times New Roman" w:hAnsi="Times New Roman"/>
          <w:sz w:val="18"/>
          <w:szCs w:val="18"/>
          <w:color w:val="auto"/>
        </w:rPr>
        <w:t>Comprehensive genomic profiling of newly diagnosed or recurrent/progressive pLGG is standard practice within pediatric neuro-oncology programs across the United States, either utilizing CLIA/College of American Pathologists, or CAP, accredited hospital laboratories or third-party commercial vendors. In addition, the 2021 revision of the WHO Classification of Tumors of the Central Nervous System now includes assessment of BRAF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mutation or fusion status as part of the diagnosis of LGGs. As a result, we expect that the vast majority of both patients with newly diagnosed and relapsed pLGG harboring a BRAF alteration will be identified. The technology platforms and solutions for the identification of the BRAF V600E mutation and BRAF wild-type fusions currently in use by individual investigators will be used to meet the clinical trial enrollment criteria, while we continue to work with regulatory authorities to ensure that any requirement for a companion diagnostic assay or device are met, for which we have entered into a collaboration with Foundation Medicine, Inc. to develop.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the FDA approved FoundationOne CDx to be used as a companion diagnostic for OJEMDA.</w:t>
      </w:r>
    </w:p>
    <w:p>
      <w:pPr>
        <w:spacing w:after="0" w:line="99"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We have initiated a pivotal Phase 3 FIREFLY-2 trial of tovorafenib as a front-line therapy in pLGG. The first patient was dosed in March 2023. We believe that treating patients before they have undergone multiple rounds of toxic chemotherapy has the potential to both improve the efficacy of tovorafenib and reduce the overall burden of therapy and associated toxicities associated with the use of currently-employed cytotoxic agents. We expect to complete enrollment of FIREFLY-2 in the first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57150</wp:posOffset>
            </wp:positionV>
            <wp:extent cx="5349240" cy="1157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Figure 6. Design of the Phase 3 trial of tovorafenib in pLGG.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market opportunity for tovorafenib in pLGG</w:t>
      </w:r>
    </w:p>
    <w:p>
      <w:pPr>
        <w:spacing w:after="0" w:line="121" w:lineRule="exact"/>
        <w:rPr>
          <w:sz w:val="20"/>
          <w:szCs w:val="20"/>
          <w:color w:val="auto"/>
        </w:rPr>
      </w:pPr>
    </w:p>
    <w:p>
      <w:pPr>
        <w:ind w:right="340" w:firstLine="569"/>
        <w:spacing w:after="0" w:line="261" w:lineRule="auto"/>
        <w:rPr>
          <w:sz w:val="20"/>
          <w:szCs w:val="20"/>
          <w:color w:val="auto"/>
        </w:rPr>
      </w:pPr>
      <w:r>
        <w:rPr>
          <w:rFonts w:ascii="Times New Roman" w:cs="Times New Roman" w:eastAsia="Times New Roman" w:hAnsi="Times New Roman"/>
          <w:sz w:val="18"/>
          <w:szCs w:val="18"/>
          <w:color w:val="auto"/>
        </w:rPr>
        <w:t>Brain tumors are the most frequently occurring solid tumors in children. While pLGG is the most common brain tumor diagnosed, representing approximately 30% of all childhood brain tumors, the annual estimated incidence of pLGG is 1.3 to 2.1 per 100,000 in the United States. Given the incidence of this disease, our team recognized the market opportunity for developing tovorafenib in this patient population based on the following rationale:</w:t>
      </w:r>
    </w:p>
    <w:p>
      <w:pPr>
        <w:spacing w:after="0" w:line="72" w:lineRule="exact"/>
        <w:rPr>
          <w:sz w:val="20"/>
          <w:szCs w:val="20"/>
          <w:color w:val="auto"/>
        </w:rPr>
      </w:pPr>
    </w:p>
    <w:p>
      <w:pPr>
        <w:ind w:left="1020" w:right="1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tovorafenib, a type-II RAF inhibitor, to be a high-impact targeted therapeutic in pLGG where approximately 70% of tumors are BRAF-altered pLGG in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reimbursement precedents for high impact therapeutics in rare diseases, oncology and pediatrics.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duration of treatment required over many years to address these slow-growing and relentless tumors.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unmet medical need with limited current treatment alternatives for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value proposition for physicians, patients and families.</w:t>
      </w:r>
    </w:p>
    <w:p>
      <w:pPr>
        <w:spacing w:after="0" w:line="117" w:lineRule="exact"/>
        <w:rPr>
          <w:sz w:val="20"/>
          <w:szCs w:val="20"/>
          <w:color w:val="auto"/>
        </w:rPr>
      </w:pPr>
    </w:p>
    <w:p>
      <w:pPr>
        <w:ind w:right="100" w:firstLine="562"/>
        <w:spacing w:after="0" w:line="258" w:lineRule="auto"/>
        <w:rPr>
          <w:sz w:val="20"/>
          <w:szCs w:val="20"/>
          <w:color w:val="auto"/>
        </w:rPr>
      </w:pPr>
      <w:r>
        <w:rPr>
          <w:rFonts w:ascii="Times New Roman" w:cs="Times New Roman" w:eastAsia="Times New Roman" w:hAnsi="Times New Roman"/>
          <w:sz w:val="18"/>
          <w:szCs w:val="18"/>
          <w:color w:val="auto"/>
        </w:rPr>
        <w:t>We believe tovorafenib, if approved, could become the standard of care for the treatment of pLGG. Due to the need for chronic administration, potentially over many years, the standard of care should be an effective, long-term therapeutic while providing a tolerability profile that minimizes long-term morbidity and treatment-associated toxicity. We believe that tovorafenib has the potential to provide long-term benefit—similar to effective therapies for more traditional chronic rare diseases—to patients with pLGG. We also believe that tovorafenib’s oral, once-weekly dosing regimen would appeal to physicians, patients and their parents.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Investigator-initiated trials of tovorafenib</w:t>
      </w:r>
    </w:p>
    <w:p>
      <w:pPr>
        <w:spacing w:after="0" w:line="121" w:lineRule="exact"/>
        <w:rPr>
          <w:sz w:val="20"/>
          <w:szCs w:val="20"/>
          <w:color w:val="auto"/>
        </w:rPr>
      </w:pPr>
    </w:p>
    <w:p>
      <w:pPr>
        <w:ind w:right="420" w:firstLine="562"/>
        <w:spacing w:after="0" w:line="266" w:lineRule="auto"/>
        <w:rPr>
          <w:sz w:val="20"/>
          <w:szCs w:val="20"/>
          <w:color w:val="auto"/>
        </w:rPr>
      </w:pPr>
      <w:r>
        <w:rPr>
          <w:rFonts w:ascii="Times New Roman" w:cs="Times New Roman" w:eastAsia="Times New Roman" w:hAnsi="Times New Roman"/>
          <w:sz w:val="18"/>
          <w:szCs w:val="18"/>
          <w:color w:val="auto"/>
        </w:rPr>
        <w:t>We intend to leverage our relationships with academic investigators and pediatric oncology cooperative groups and consortia to explore the potential for tovorafenib in other rare pediatric tumor types. The following investigator-sponsored trials are currently open to enrollment as of January 2025:</w:t>
      </w:r>
    </w:p>
    <w:p>
      <w:pPr>
        <w:spacing w:after="0" w:line="68" w:lineRule="exact"/>
        <w:rPr>
          <w:sz w:val="20"/>
          <w:szCs w:val="20"/>
          <w:color w:val="auto"/>
        </w:rPr>
      </w:pPr>
    </w:p>
    <w:p>
      <w:pPr>
        <w:ind w:right="640" w:firstLine="562"/>
        <w:spacing w:after="0" w:line="282" w:lineRule="auto"/>
        <w:rPr>
          <w:sz w:val="20"/>
          <w:szCs w:val="20"/>
          <w:color w:val="auto"/>
        </w:rPr>
      </w:pPr>
      <w:r>
        <w:rPr>
          <w:rFonts w:ascii="Times New Roman" w:cs="Times New Roman" w:eastAsia="Times New Roman" w:hAnsi="Times New Roman"/>
          <w:sz w:val="18"/>
          <w:szCs w:val="18"/>
          <w:color w:val="auto"/>
        </w:rPr>
        <w:t>A Phase 2 trial in relapsed Langerhans cell histiocytosis was initiated in March 2022 by the Children’s Oncology Group, a National Cancer Institute-supported clinical trials group and the world’s largest organization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devoted exclusively to childhood and adolescent cancer research. This study is part of a Written Request issued by the FDA, and is planned as a single-arm non-randomized trial which has an estimated enrollment of 56 participants, who will be administered tovorafenib to determine overall response rate for children and young adults with recurrent or progressive Langerhans cell histiocytosis.</w:t>
      </w:r>
    </w:p>
    <w:p>
      <w:pPr>
        <w:spacing w:after="0" w:line="68" w:lineRule="exact"/>
        <w:rPr>
          <w:sz w:val="20"/>
          <w:szCs w:val="20"/>
          <w:color w:val="auto"/>
        </w:rPr>
      </w:pPr>
    </w:p>
    <w:p>
      <w:pPr>
        <w:ind w:right="180" w:firstLine="562"/>
        <w:spacing w:after="0" w:line="258" w:lineRule="auto"/>
        <w:rPr>
          <w:sz w:val="20"/>
          <w:szCs w:val="20"/>
          <w:color w:val="auto"/>
        </w:rPr>
      </w:pPr>
      <w:r>
        <w:rPr>
          <w:rFonts w:ascii="Times New Roman" w:cs="Times New Roman" w:eastAsia="Times New Roman" w:hAnsi="Times New Roman"/>
          <w:sz w:val="18"/>
          <w:szCs w:val="18"/>
          <w:color w:val="auto"/>
        </w:rPr>
        <w:t>A second Phase 2 trial in craniopharyngioma was initiated in July 2022 by the Pacific Pediatric Neuro-Oncology Consortium. This study was originally designed as a randomized multi-arm trial, where patients would be administered nivolumab and tovorafenib in combination with nivolumab to assess the tolerability and efficacy of combination therapy with PD-1 (nivolumab) and pan-RAF-kinase (tovorafenib) inhibition for the treatment of children and young adults with craniopharyngioma, however, the study was amended in January 2025 as a single-arm study of tovorafenib only with an estimated enrollment of 57 patients.</w:t>
      </w:r>
    </w:p>
    <w:p>
      <w:pPr>
        <w:spacing w:after="0" w:line="75" w:lineRule="exact"/>
        <w:rPr>
          <w:sz w:val="20"/>
          <w:szCs w:val="20"/>
          <w:color w:val="auto"/>
        </w:rPr>
      </w:pPr>
    </w:p>
    <w:p>
      <w:pPr>
        <w:ind w:right="300" w:firstLine="562"/>
        <w:spacing w:after="0" w:line="266" w:lineRule="auto"/>
        <w:rPr>
          <w:sz w:val="20"/>
          <w:szCs w:val="20"/>
          <w:color w:val="auto"/>
        </w:rPr>
      </w:pPr>
      <w:r>
        <w:rPr>
          <w:rFonts w:ascii="Times New Roman" w:cs="Times New Roman" w:eastAsia="Times New Roman" w:hAnsi="Times New Roman"/>
          <w:sz w:val="18"/>
          <w:szCs w:val="18"/>
          <w:color w:val="auto"/>
        </w:rPr>
        <w:t>A Phase 1/2 study of tovorafenib in combination with vinblastine was initiated in 2024 by the Hospital for Sick Kids in Toronto, Canada, in collaboration with the C17 Council, in patients with relapsed/refractory pediatric low-grade glioma. The study is anticipated to enroll approximately 55 patients.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DAY301</w:t>
      </w:r>
    </w:p>
    <w:p>
      <w:pPr>
        <w:spacing w:after="0" w:line="121" w:lineRule="exact"/>
        <w:rPr>
          <w:sz w:val="20"/>
          <w:szCs w:val="20"/>
          <w:color w:val="auto"/>
        </w:rPr>
      </w:pPr>
    </w:p>
    <w:p>
      <w:pPr>
        <w:ind w:right="280" w:firstLine="562"/>
        <w:spacing w:after="0" w:line="266" w:lineRule="auto"/>
        <w:rPr>
          <w:sz w:val="20"/>
          <w:szCs w:val="20"/>
          <w:color w:val="auto"/>
        </w:rPr>
      </w:pPr>
      <w:r>
        <w:rPr>
          <w:rFonts w:ascii="Times New Roman" w:cs="Times New Roman" w:eastAsia="Times New Roman" w:hAnsi="Times New Roman"/>
          <w:sz w:val="18"/>
          <w:szCs w:val="18"/>
          <w:color w:val="auto"/>
        </w:rPr>
        <w:t>Our second product candidate, DAY301, is a PTK7-targeted ADC composed of a novel humanized anti-PTK7 immunoglobulin G1 monoclonal antibody, or mAb, (referred to as DAY301 mAb) conjugated with a topoisomerase I inhibitor (exatecan mesylate [exatecan]) via a highly stable and hydrophilic modified valine-alanine (VA) cleavable linker. DAY301 is intended for the treatment of patients with advanced solid tumors.</w:t>
      </w:r>
    </w:p>
    <w:p>
      <w:pPr>
        <w:spacing w:after="0" w:line="68" w:lineRule="exact"/>
        <w:rPr>
          <w:sz w:val="20"/>
          <w:szCs w:val="20"/>
          <w:color w:val="auto"/>
        </w:rPr>
      </w:pPr>
    </w:p>
    <w:p>
      <w:pPr>
        <w:ind w:right="100" w:firstLine="562"/>
        <w:spacing w:after="0" w:line="258" w:lineRule="auto"/>
        <w:rPr>
          <w:sz w:val="20"/>
          <w:szCs w:val="20"/>
          <w:color w:val="auto"/>
        </w:rPr>
      </w:pPr>
      <w:r>
        <w:rPr>
          <w:rFonts w:ascii="Times New Roman" w:cs="Times New Roman" w:eastAsia="Times New Roman" w:hAnsi="Times New Roman"/>
          <w:sz w:val="18"/>
          <w:szCs w:val="18"/>
          <w:color w:val="auto"/>
        </w:rPr>
        <w:t>DAY301 targets PTK7, a highly-conserved, catalytically inactive transmembrane protein that is overexpressed in multiple adult cancers. DAY301 demonstrated encouraging preclinical antitumor efficacy in relevant tumor models representing a wide range of solid tumors, including ovarian cancer, NSCLC, TNBC, SCLC, ESCC, CSCC, colorectal cancer, and esophageal adenocarcinoma. DAY301 was tolerated in non-human primate nonclinical toxicology studies with favorable pharmacokinetic and safety profiles. Collectively, the data suggest that DAY301 could potentially have a wide therapeutic window in clinical testing and therefore provide benefits for cancer patients with high unmet medical needs.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have initiated a Phase 1a/b dose-escalation and cohort expansion study to evaluate the safety and tolerability of DAY301 in patients with tumor types known to have high PTK7 expression. The objective of the Phase 1a study is to identify two recommended dose levels for further evaluation based on safety and anti-tumor activity. Once the two recommended doses are established, a minimum of two cohorts of patients selected based on PTK7 expression clinical trial assay will be enrolled in the Phase 1b dose expansion and optimization portion of this trial. The objective of the Phase 1b study is to define an optimized dose and to define clinical activity in one or more histologically defined tumor types for a potential single-arm registrational trial for accelerated approval or randomized trial. The primary endpoint for the Phase 1a/b study is safety. In January 2025, we cleared the first cohort (a single-patient accelerated titration cohort) in the Phase 1a portion of the DAY301 Phase 1a/b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131445</wp:posOffset>
            </wp:positionV>
            <wp:extent cx="5349240" cy="13373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Figure 7. Design of the Phase 1a and Phase 1b trials of DAY301.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60" w:firstLine="562"/>
        <w:spacing w:after="0" w:line="282"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our product candidates for clinical testing, as well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 w:name="page19"/>
    <w:bookmarkEnd w:id="18"/>
    <w:p>
      <w:pPr>
        <w:spacing w:after="0" w:line="8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as for commercial manufacturing. We also rely, and expect to continue to rely, on third parties to package, label, store and distribute our investigational product candidates, as well as our commercial products.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72" w:lineRule="exact"/>
        <w:rPr>
          <w:sz w:val="20"/>
          <w:szCs w:val="20"/>
          <w:color w:val="auto"/>
        </w:rPr>
      </w:pPr>
    </w:p>
    <w:p>
      <w:pPr>
        <w:ind w:right="40" w:firstLine="562"/>
        <w:spacing w:after="0" w:line="255" w:lineRule="auto"/>
        <w:rPr>
          <w:sz w:val="20"/>
          <w:szCs w:val="20"/>
          <w:color w:val="auto"/>
        </w:rPr>
      </w:pPr>
      <w:r>
        <w:rPr>
          <w:rFonts w:ascii="Times New Roman" w:cs="Times New Roman" w:eastAsia="Times New Roman" w:hAnsi="Times New Roman"/>
          <w:sz w:val="18"/>
          <w:szCs w:val="18"/>
          <w:color w:val="auto"/>
        </w:rPr>
        <w:t>To date, for tovorafenib, we have contracted to obtain active pharmaceutical ingredients, or API, drug product, and packaging services for our product candidates from STA Pharmaceutical Hong Kong Limited, Quotient Sciences – Philadelphia, LLC, Experic, LLC and Sharp Packaging Services, LLC, respectively, upon whom we currently rely as single-source contract manufacturing organizations, or CMOs. We have agreements under which third-party CMOs will generally provide us with necessary quantities of API, drug product and packaged product on an order by order basis, based on our development needs. For commercial supply of tovorafenib, we have negotiated supply agreements to meet the anticipated commercial demand of the product. As we advance our product candidates through development, we will explore adding backup suppliers for the API, drug product, packaging and formulation for each of our product candidates to protect against any potential supply disruptions.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generally expect to rely on third parties for the manufacture of any companion diagnostics we may develop.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ind w:right="60" w:firstLine="562"/>
        <w:spacing w:after="0" w:line="254" w:lineRule="auto"/>
        <w:rPr>
          <w:sz w:val="20"/>
          <w:szCs w:val="20"/>
          <w:color w:val="auto"/>
        </w:rPr>
      </w:pPr>
      <w:r>
        <w:rPr>
          <w:rFonts w:ascii="Times New Roman" w:cs="Times New Roman" w:eastAsia="Times New Roman" w:hAnsi="Times New Roman"/>
          <w:sz w:val="18"/>
          <w:szCs w:val="18"/>
          <w:color w:val="auto"/>
        </w:rPr>
        <w:t>In order to deliver the best outcomes for patients of all ages, we aim to identify and develop first-in-class or best-in-class medicines for childhood and adult diseases with equal intensity. To deliver these medicines to prescribers and patients, we have spent years taking a measured approach to building our commercial capabilities in the United States in preparation for the launch of our first product, OJEMDA. Our commercial team consists of experts in access and distribution, marketing and sales. Our access team engages with managed care, government payers, hospital systems, specialty distributors and specialty pharmacies to ensure the effective distribution and coverage for our product. The marketing team sets the strategy for the brand and delivers the materials needed to engage physicians and patients and provide information about our product. In the United States, pLGG is treated by a focused group of specialists, which has enabled us to build a very efficient sales organization with 18 representatives calling on the approximately 200 accounts that treat over 90% of pLGG patients.</w:t>
      </w:r>
    </w:p>
    <w:p>
      <w:pPr>
        <w:spacing w:after="0" w:line="84" w:lineRule="exact"/>
        <w:rPr>
          <w:sz w:val="20"/>
          <w:szCs w:val="20"/>
          <w:color w:val="auto"/>
        </w:rPr>
      </w:pPr>
    </w:p>
    <w:p>
      <w:pPr>
        <w:ind w:right="180" w:firstLine="562"/>
        <w:spacing w:after="0" w:line="266" w:lineRule="auto"/>
        <w:rPr>
          <w:sz w:val="20"/>
          <w:szCs w:val="20"/>
          <w:color w:val="auto"/>
        </w:rPr>
      </w:pPr>
      <w:r>
        <w:rPr>
          <w:rFonts w:ascii="Times New Roman" w:cs="Times New Roman" w:eastAsia="Times New Roman" w:hAnsi="Times New Roman"/>
          <w:sz w:val="18"/>
          <w:szCs w:val="18"/>
          <w:color w:val="auto"/>
        </w:rPr>
        <w:t>Outside of the United States, we have entered into a collaboration agreement with Ipsen to distribute and commercialize OJEMDA, leveraging a company with established teams and deep expertise in these markets instead of building these capabilities internally. For future molecules, each molecule will be individually assessed to determine our strategy in key markets.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products. While we believe that our technology, the expertise of our team, and our development experience and scientific knowledge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75" w:lineRule="exact"/>
        <w:rPr>
          <w:sz w:val="20"/>
          <w:szCs w:val="20"/>
          <w:color w:val="auto"/>
        </w:rPr>
      </w:pPr>
    </w:p>
    <w:p>
      <w:pPr>
        <w:ind w:right="80" w:firstLine="562"/>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Additional mergers and acquisitions may result in even more resources being concentrated in our competitors.</w:t>
      </w:r>
    </w:p>
    <w:p>
      <w:pPr>
        <w:spacing w:after="0" w:line="79" w:lineRule="exact"/>
        <w:rPr>
          <w:sz w:val="20"/>
          <w:szCs w:val="20"/>
          <w:color w:val="auto"/>
        </w:rPr>
      </w:pPr>
    </w:p>
    <w:p>
      <w:pPr>
        <w:ind w:right="20" w:firstLine="562"/>
        <w:spacing w:after="0" w:line="266"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safer or more effective, have fewer or less severe side effects, and are more convenient or less expensive than products that we may develop. Our competitors also may obtain FDA or other regulatory approval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their products more rapidly than we can, which could result in our competitors establishing a strong market position before we are able to enter the market or could otherwise make our development more complicated. We believe the key competitive factors affecting the success of all of our programs are likely to be efficacy, safety and patient convenience.</w:t>
      </w:r>
    </w:p>
    <w:p>
      <w:pPr>
        <w:spacing w:after="0" w:line="68" w:lineRule="exact"/>
        <w:rPr>
          <w:sz w:val="20"/>
          <w:szCs w:val="20"/>
          <w:color w:val="auto"/>
        </w:rPr>
      </w:pPr>
    </w:p>
    <w:p>
      <w:pPr>
        <w:ind w:right="20" w:firstLine="562"/>
        <w:spacing w:after="0" w:line="256" w:lineRule="auto"/>
        <w:rPr>
          <w:sz w:val="20"/>
          <w:szCs w:val="20"/>
          <w:color w:val="auto"/>
        </w:rPr>
      </w:pPr>
      <w:r>
        <w:rPr>
          <w:rFonts w:ascii="Times New Roman" w:cs="Times New Roman" w:eastAsia="Times New Roman" w:hAnsi="Times New Roman"/>
          <w:sz w:val="18"/>
          <w:szCs w:val="18"/>
          <w:color w:val="auto"/>
        </w:rPr>
        <w:t>Three BRAF inhibitors have been approved by the FDA for the treatment of tumors containing V600E or V600K mutations. These first-generation BRAF inhibitors, known more generally as type I RAF inhibitors, are vemurafenib, marketed as Zelboraf® by Genentech; dabrafenib, marketed as Tafinlar® by Novartis; and encorafenib, marketed as Braftovi® by Pfizer. Dabrafinib,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(approximately 10%-20%) of the greater RAF-altered pLGG clinical scope of the tovorafenib development program.</w:t>
      </w:r>
    </w:p>
    <w:p>
      <w:pPr>
        <w:spacing w:after="0" w:line="79" w:lineRule="exact"/>
        <w:rPr>
          <w:sz w:val="20"/>
          <w:szCs w:val="20"/>
          <w:color w:val="auto"/>
        </w:rPr>
      </w:pPr>
    </w:p>
    <w:p>
      <w:pPr>
        <w:ind w:right="80" w:firstLine="562"/>
        <w:spacing w:after="0" w:line="258" w:lineRule="auto"/>
        <w:rPr>
          <w:sz w:val="20"/>
          <w:szCs w:val="20"/>
          <w:color w:val="auto"/>
        </w:rPr>
      </w:pPr>
      <w:r>
        <w:rPr>
          <w:rFonts w:ascii="Times New Roman" w:cs="Times New Roman" w:eastAsia="Times New Roman" w:hAnsi="Times New Roman"/>
          <w:sz w:val="18"/>
          <w:szCs w:val="18"/>
          <w:color w:val="auto"/>
        </w:rPr>
        <w:t>Five MEK inhibitors have been approved by the FDA. Three have been approved for the treatment of tumors containing BRAF V600E or V600K mutations, including cobimetinib, marketed as Cotellic® by Genentech; trametinib, marketed as Mekinist® by Novartis; and binimetinib, marketed as Mektovi® by Pfizer. Two have been approved for the treatment of pediatric patients, 2 years of age and older, with neurofibromatosis type 1, or NF1, who have symptomatic plexiform neurofibromas not amenable to complete resection, including selumetinib, marketed as Koselugo® by AstraZeneca and mirdametinib, marketed as Gomekli® by SpringWorks.</w:t>
      </w:r>
    </w:p>
    <w:p>
      <w:pPr>
        <w:spacing w:after="0" w:line="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There are a number of next-generation BRAF inhibitors in clinical development. BeiGene has two next-generation BRAF programs: Lifirafenib (BGB-283), which is currently in a Phase 1/2 trial in combination with mirdametinib, and BGB-3245 which is currently in a single agent in Phase 1 dose escalation study as well as in combination studies with mirdametinib and panitumumab. Fore Biotherapeutics (formerly NovellusDx) is developing the RAF dimer breaker plixorafenib (formerly FORE8394 or PLX-8394) in a Phase 2 trial in combination with cobicistat in patients with cancers harboring BRAF alterations. Black Diamond Therapeutics have the next-generation BRAF inhibitor BDTX-4933 in Phase 1 clinical trials in adult solid tumors (KRAS-mutant NSCLC and solid tumors with RAF/RAS-mutations). Jazz Pharmaceuticals and Redx have announced that the pan-RAF inhibitor JZP815 has entered clinical development in a Phase 1 trial. Erasca recently announced that it has entered into an exclusive worldwide license agreement with Novartis for naporafenib, a pan-RAF inhibitor with a potential first-in-class and best-in-class profile in NRAS mutant melanoma and other RAS/MAPK pathway-driven tumors. Naporafenib, in combination with trametinib, is being studied in a Phase 3 clinical trial in patients with NRAS-mutant melanoma. Nested Therapeutics has advanced NST-628, a pan-RAF/MEK “molecular glue” into a Phase 1 clinical trial. Pfizer’s PF-07799933 (ARRY-440) is a brain-penetrant BRAF-selective monomer/dimer inhibitor that spares ARAF and CRAF, that is currently being evaluated in a phase 1 trial in adults with solid tumors.</w:t>
      </w:r>
    </w:p>
    <w:p>
      <w:pPr>
        <w:spacing w:after="0" w:line="82"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With regard to the treatment of pLGG, dabrafenib, in combination with trametinib, has been evaluated in a Novartis-sponsored randomized Phase 2 clinical trial in newly diagnosed patients with BRAF V600 mutant pLGG. Novartis received full approval of the dabrafenib-trametinib combination in that indication in March 2023.</w:t>
      </w:r>
    </w:p>
    <w:p>
      <w:pPr>
        <w:spacing w:after="0" w:line="68" w:lineRule="exact"/>
        <w:rPr>
          <w:sz w:val="20"/>
          <w:szCs w:val="20"/>
          <w:color w:val="auto"/>
        </w:rPr>
      </w:pPr>
    </w:p>
    <w:p>
      <w:pPr>
        <w:jc w:val="both"/>
        <w:ind w:right="360" w:firstLine="562"/>
        <w:spacing w:after="0" w:line="266" w:lineRule="auto"/>
        <w:rPr>
          <w:sz w:val="20"/>
          <w:szCs w:val="20"/>
          <w:color w:val="auto"/>
        </w:rPr>
      </w:pPr>
      <w:r>
        <w:rPr>
          <w:rFonts w:ascii="Times New Roman" w:cs="Times New Roman" w:eastAsia="Times New Roman" w:hAnsi="Times New Roman"/>
          <w:sz w:val="18"/>
          <w:szCs w:val="18"/>
          <w:color w:val="auto"/>
        </w:rPr>
        <w:t>Further, some MEK inhibitors and some type I RAF inhibitors and other targeted therapies are being studied in academic investigator-initiated clinical trials, and in some regions may be being used in an off-label manner. These agents may represent competition for OJEMDA when it enters the market.</w:t>
      </w:r>
    </w:p>
    <w:p>
      <w:pPr>
        <w:spacing w:after="0" w:line="6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Pursuant to the MabCare License Agreement, we have the exclusive right to develop, manufacture and commercialize DAY301, a novel ADC targeting PTK7, worldwide, excluding Greater China. In January 2025, we cleared the first cohort (a single-patient accelerated titration cohort) in the Phase 1a portion of the DAY301 Phase 1a/b clinical trial. There are a few ADCs targeting PTK7 in development. In February 2024, Profound Bio dosed its first patient in a Phase 1/2 Clinical Trial of PRO1107, a PTK7-targetted ADC with an auristatin payload. Profound Bio was acquired by Genmab A/S in May of 2024 and the program was renamed to GEN1107. Eli Lilly and Company anticipates an IND submission in 2025 for LY4175408, a PTK-7 targeted ADC with an exatecan payload.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asset purchase agreement</w:t>
      </w:r>
    </w:p>
    <w:p>
      <w:pPr>
        <w:spacing w:after="0" w:line="121" w:lineRule="exact"/>
        <w:rPr>
          <w:sz w:val="20"/>
          <w:szCs w:val="20"/>
          <w:color w:val="auto"/>
        </w:rPr>
      </w:pPr>
    </w:p>
    <w:p>
      <w:pPr>
        <w:ind w:right="20" w:firstLine="562"/>
        <w:spacing w:after="0" w:line="266" w:lineRule="auto"/>
        <w:rPr>
          <w:sz w:val="20"/>
          <w:szCs w:val="20"/>
          <w:color w:val="auto"/>
        </w:rPr>
      </w:pPr>
      <w:r>
        <w:rPr>
          <w:rFonts w:ascii="Times New Roman" w:cs="Times New Roman" w:eastAsia="Times New Roman" w:hAnsi="Times New Roman"/>
          <w:sz w:val="18"/>
          <w:szCs w:val="18"/>
          <w:color w:val="auto"/>
        </w:rPr>
        <w:t>On December 16, 2019, our subsidiary entered into an asset purchase agreement, or the Takeda Asset Agreement, with Millennium Pharmaceuticals, Inc., a related party and an affiliate of Takeda Pharmaceutical Company Limited, or Takeda. Effective December 31, 2021, the subsidiary was merged with and into our company,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with our company being the surviving corporation and assuming the subsidiary’s obligations under the Takeda Asset Agreement. Pursuant to the Takeda Asset Agreement, we purchased certain technology rights and know-how related to TAK-580 (which is now OJEMDA) that provides a new approach for treating patients with primary brain tumors or brain metastases of solid tumors. Takeda also assigned us its exclusive license agreement, or the Viracta License Agreement, with Viracta. Takeda also granted us a worldwide, sublicensable exclusive license under specified patents and know-how and non-exclusive license under other patents and know-how generated by Takeda under the Takeda Asset Agreement. We also granted Takeda a grant back license, as defined in the Takeda Asset Agreement, which is terminable either automatically or by us in the event Takeda does not achieve specified development milestones within the applicable timeframes set forth under the Takeda Asset Agreement. This grant back license to Takeda was terminated at the time of conversion of the company from an LLC to a corporation in connection with the Millennium Stock Exchange Agreement.</w:t>
      </w:r>
    </w:p>
    <w:p>
      <w:pPr>
        <w:spacing w:after="0" w:line="84" w:lineRule="exact"/>
        <w:rPr>
          <w:sz w:val="20"/>
          <w:szCs w:val="20"/>
          <w:color w:val="auto"/>
        </w:rPr>
      </w:pPr>
    </w:p>
    <w:p>
      <w:pPr>
        <w:ind w:right="40" w:firstLine="562"/>
        <w:spacing w:after="0" w:line="255" w:lineRule="auto"/>
        <w:rPr>
          <w:sz w:val="20"/>
          <w:szCs w:val="20"/>
          <w:color w:val="auto"/>
        </w:rPr>
      </w:pPr>
      <w:r>
        <w:rPr>
          <w:rFonts w:ascii="Times New Roman" w:cs="Times New Roman" w:eastAsia="Times New Roman" w:hAnsi="Times New Roman"/>
          <w:sz w:val="18"/>
          <w:szCs w:val="18"/>
          <w:color w:val="auto"/>
        </w:rPr>
        <w:t>The term of the Takeda Asset Agreement will expire on a country-by-country basis upon expiration of all assigned patent rights and all licensed patent rights in such country. Takeda may terminate the Takeda Asset Agreement prior to our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81"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In consideration for the sale and assignment of assets and the grant of the license under the Takeda Asset Agreement, we made an upfront payment of $1.0 million in cash and issued 9,857,143 shares of our Series A redeemable convertible preferred stock in our subsidiary in December 2019. Based on the terms of the Millennium Stock Exchange Agreement, Takeda exchanged the 9,857,143 shares of Series A redeemable convertible preferred stock of our subsidiary for 6,470,382 shares of our common stock upon the effectiveness of the conversion of the company from an LLC to a corporation, on May 26, 2021.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Viracta</w:t>
      </w:r>
    </w:p>
    <w:p>
      <w:pPr>
        <w:spacing w:after="0" w:line="121" w:lineRule="exact"/>
        <w:rPr>
          <w:sz w:val="20"/>
          <w:szCs w:val="20"/>
          <w:color w:val="auto"/>
        </w:rPr>
      </w:pPr>
    </w:p>
    <w:p>
      <w:pPr>
        <w:ind w:right="40" w:firstLine="562"/>
        <w:spacing w:after="0" w:line="258" w:lineRule="auto"/>
        <w:rPr>
          <w:sz w:val="20"/>
          <w:szCs w:val="20"/>
          <w:color w:val="auto"/>
        </w:rPr>
      </w:pPr>
      <w:r>
        <w:rPr>
          <w:rFonts w:ascii="Times New Roman" w:cs="Times New Roman" w:eastAsia="Times New Roman" w:hAnsi="Times New Roman"/>
          <w:sz w:val="18"/>
          <w:szCs w:val="18"/>
          <w:color w:val="auto"/>
        </w:rPr>
        <w:t>On December 16, 2019, our subsidiary amended and restated the Viracta License Agreement that was assigned pursuant to the Takeda Asset Agreement. Effective December 31, 2021, our subsidiary was merged with and into our company, with our company being the surviving corporation and assuming our subsidiary’s obligations under Viracta License Agreement. Under the Viracta License Agreement, we received a worldwide exclusive license under specified patent rights and know-how to develop, use, manufacture, and commercialize products containing compounds binding the RAF protein family. We paid $2.0 million upfront in cash to Viracta.</w:t>
      </w:r>
    </w:p>
    <w:p>
      <w:pPr>
        <w:spacing w:after="0" w:line="75" w:lineRule="exact"/>
        <w:rPr>
          <w:sz w:val="20"/>
          <w:szCs w:val="20"/>
          <w:color w:val="auto"/>
        </w:rPr>
      </w:pPr>
    </w:p>
    <w:p>
      <w:pPr>
        <w:ind w:right="60" w:firstLine="562"/>
        <w:spacing w:after="0" w:line="266" w:lineRule="auto"/>
        <w:rPr>
          <w:sz w:val="20"/>
          <w:szCs w:val="20"/>
          <w:color w:val="auto"/>
        </w:rPr>
      </w:pPr>
      <w:r>
        <w:rPr>
          <w:rFonts w:ascii="Times New Roman" w:cs="Times New Roman" w:eastAsia="Times New Roman" w:hAnsi="Times New Roman"/>
          <w:sz w:val="18"/>
          <w:szCs w:val="18"/>
          <w:color w:val="auto"/>
        </w:rPr>
        <w:t>The term of the Viracta License Agreement will expire on a licensed product-by-licensed product and country-by-country basis upon the expiration of our obligation to pay royalties to Viracta with respect to such product in such country. We have the right to terminate the Viracta License Agreement with respect to any or all of the licensed products at will upon a specified notice period.</w:t>
      </w:r>
    </w:p>
    <w:p>
      <w:pPr>
        <w:spacing w:after="0" w:line="68" w:lineRule="exact"/>
        <w:rPr>
          <w:sz w:val="20"/>
          <w:szCs w:val="20"/>
          <w:color w:val="auto"/>
        </w:rPr>
      </w:pPr>
    </w:p>
    <w:p>
      <w:pPr>
        <w:ind w:right="40" w:firstLine="562"/>
        <w:spacing w:after="0" w:line="266" w:lineRule="auto"/>
        <w:rPr>
          <w:sz w:val="20"/>
          <w:szCs w:val="20"/>
          <w:color w:val="auto"/>
        </w:rPr>
      </w:pPr>
      <w:r>
        <w:rPr>
          <w:rFonts w:ascii="Times New Roman" w:cs="Times New Roman" w:eastAsia="Times New Roman" w:hAnsi="Times New Roman"/>
          <w:sz w:val="18"/>
          <w:szCs w:val="18"/>
          <w:color w:val="auto"/>
        </w:rPr>
        <w:t>On March 4, 2024, we entered into an amendment to the Viracta License Agreement. As part of the amendment, we made a one-time payment in March 2024 to Viracta of $5.0 million in exchange for reduced future payment obligations related to the future sale or use of the rare pediatric disease PRV received.</w:t>
      </w:r>
    </w:p>
    <w:p>
      <w:pPr>
        <w:spacing w:after="0" w:line="68"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PRV from the FDA. We made a $9.0 million milestone payment to Viracta in May 2024 for the achievement of this milestone.</w:t>
      </w:r>
    </w:p>
    <w:p>
      <w:pPr>
        <w:spacing w:after="0" w:line="72" w:lineRule="exact"/>
        <w:rPr>
          <w:sz w:val="20"/>
          <w:szCs w:val="20"/>
          <w:color w:val="auto"/>
        </w:rPr>
      </w:pPr>
    </w:p>
    <w:p>
      <w:pPr>
        <w:ind w:right="60" w:firstLine="562"/>
        <w:spacing w:after="0" w:line="266" w:lineRule="auto"/>
        <w:rPr>
          <w:sz w:val="20"/>
          <w:szCs w:val="20"/>
          <w:color w:val="auto"/>
        </w:rPr>
      </w:pPr>
      <w:r>
        <w:rPr>
          <w:rFonts w:ascii="Times New Roman" w:cs="Times New Roman" w:eastAsia="Times New Roman" w:hAnsi="Times New Roman"/>
          <w:sz w:val="18"/>
          <w:szCs w:val="18"/>
          <w:color w:val="auto"/>
        </w:rPr>
        <w:t>On May 29, 2024, we sold our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w:t>
      </w:r>
    </w:p>
    <w:p>
      <w:pPr>
        <w:spacing w:after="0" w:line="68" w:lineRule="exact"/>
        <w:rPr>
          <w:sz w:val="20"/>
          <w:szCs w:val="20"/>
          <w:color w:val="auto"/>
        </w:rPr>
      </w:pPr>
    </w:p>
    <w:p>
      <w:pPr>
        <w:ind w:right="160" w:firstLine="562"/>
        <w:spacing w:after="0" w:line="266" w:lineRule="auto"/>
        <w:rPr>
          <w:sz w:val="20"/>
          <w:szCs w:val="20"/>
          <w:color w:val="auto"/>
        </w:rPr>
      </w:pPr>
      <w:r>
        <w:rPr>
          <w:rFonts w:ascii="Times New Roman" w:cs="Times New Roman" w:eastAsia="Times New Roman" w:hAnsi="Times New Roman"/>
          <w:sz w:val="18"/>
          <w:szCs w:val="18"/>
          <w:color w:val="auto"/>
        </w:rPr>
        <w:t>On December 3, 2024, Viracta assigned the Viracta License Agreement to XOMA (US) LLC, or XOMA, pursuant to a Royalty Purchase Agreement dated March 22, 2021, between Viracta and XOMA, whereby Viracta sold its right, title, and interest in and to the Viracta License Agreement to XOMA. We have agreed to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assignment and novation of the Viracta License Agreement to XOMA as successor party, now XOMA License Agreement. No material terms of the XOMA License Agreement have been amended or modified in relation to the same.</w:t>
      </w:r>
    </w:p>
    <w:p>
      <w:pPr>
        <w:spacing w:after="0" w:line="54"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As of December 31, 2024, we could be required to make additional milestone payments of up to $40.0 million upon achievement of specified development and regulatory milestones for each licensed product in two indications. Commencing with the first commercial sale of OJEMDA in a country, we are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us covering the use or sale of such product in such country, (ii) the expiration of the last statutory exclusivity pertaining to such product in such country or (iii) the tenth anniversary of the first commercial sale of such product in such country.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Merck KGaA, Darmstadt, Germany</w:t>
      </w:r>
    </w:p>
    <w:p>
      <w:pPr>
        <w:spacing w:after="0" w:line="121" w:lineRule="exact"/>
        <w:rPr>
          <w:sz w:val="20"/>
          <w:szCs w:val="20"/>
          <w:color w:val="auto"/>
        </w:rPr>
      </w:pPr>
    </w:p>
    <w:p>
      <w:pPr>
        <w:ind w:right="40" w:firstLine="464"/>
        <w:spacing w:after="0" w:line="255" w:lineRule="auto"/>
        <w:rPr>
          <w:sz w:val="20"/>
          <w:szCs w:val="20"/>
          <w:color w:val="auto"/>
        </w:rPr>
      </w:pPr>
      <w:r>
        <w:rPr>
          <w:rFonts w:ascii="Times New Roman" w:cs="Times New Roman" w:eastAsia="Times New Roman" w:hAnsi="Times New Roman"/>
          <w:sz w:val="18"/>
          <w:szCs w:val="18"/>
          <w:color w:val="auto"/>
        </w:rPr>
        <w:t>On February 10, 2021, our subsidiary entered into a license agreement, or the MRKDG License Agreement, with Merck KGaA, Darmstadt, Germany, a pharmaceutical corporation located in Darmstadt, Germany. Effective December 31, 2021, the subsidiary was merged with and into our company, with our company being the surviving corporation and assuming the subsidiary’s obligations under the MRKDG License Agreement.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Under the MRKDG License Agreement, we have obligations to use commercially reasonable efforts to develop and commercialize at least two licensed products in at least two specified major market countries by the year 2029.</w:t>
      </w:r>
    </w:p>
    <w:p>
      <w:pPr>
        <w:spacing w:after="0" w:line="81" w:lineRule="exact"/>
        <w:rPr>
          <w:sz w:val="20"/>
          <w:szCs w:val="20"/>
          <w:color w:val="auto"/>
        </w:rPr>
      </w:pPr>
    </w:p>
    <w:p>
      <w:pPr>
        <w:ind w:right="20" w:firstLine="464"/>
        <w:spacing w:after="0" w:line="266" w:lineRule="auto"/>
        <w:rPr>
          <w:sz w:val="20"/>
          <w:szCs w:val="20"/>
          <w:color w:val="auto"/>
        </w:rPr>
      </w:pPr>
      <w:r>
        <w:rPr>
          <w:rFonts w:ascii="Times New Roman" w:cs="Times New Roman" w:eastAsia="Times New Roman" w:hAnsi="Times New Roman"/>
          <w:sz w:val="18"/>
          <w:szCs w:val="18"/>
          <w:color w:val="auto"/>
        </w:rPr>
        <w:t>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with respect to all licensed products and all countries under the MRKDG License Agreement.</w:t>
      </w:r>
    </w:p>
    <w:p>
      <w:pPr>
        <w:spacing w:after="0" w:line="68" w:lineRule="exact"/>
        <w:rPr>
          <w:sz w:val="20"/>
          <w:szCs w:val="20"/>
          <w:color w:val="auto"/>
        </w:rPr>
      </w:pPr>
    </w:p>
    <w:p>
      <w:pPr>
        <w:ind w:right="40" w:firstLine="464"/>
        <w:spacing w:after="0" w:line="266" w:lineRule="auto"/>
        <w:rPr>
          <w:sz w:val="20"/>
          <w:szCs w:val="20"/>
          <w:color w:val="auto"/>
        </w:rPr>
      </w:pPr>
      <w:r>
        <w:rPr>
          <w:rFonts w:ascii="Times New Roman" w:cs="Times New Roman" w:eastAsia="Times New Roman" w:hAnsi="Times New Roman"/>
          <w:sz w:val="18"/>
          <w:szCs w:val="18"/>
          <w:color w:val="auto"/>
        </w:rPr>
        <w:t>In consideration for the rights granted under the MRKDG License Agreement and clinical supplies, we made an upfront payment of $8.0 million. As of December 31, 2024, we could be required to make additional payments of up to $364.5 million based upon the achievement of specified development, regulatory, and commercial milestones, as well a high, single-digit royalty percentage on future net sales of licensed products, if any.</w:t>
      </w:r>
    </w:p>
    <w:p>
      <w:pPr>
        <w:spacing w:after="0" w:line="68" w:lineRule="exact"/>
        <w:rPr>
          <w:sz w:val="20"/>
          <w:szCs w:val="20"/>
          <w:color w:val="auto"/>
        </w:rPr>
      </w:pPr>
    </w:p>
    <w:p>
      <w:pPr>
        <w:jc w:val="both"/>
        <w:ind w:right="20" w:firstLine="464"/>
        <w:spacing w:after="0" w:line="266" w:lineRule="auto"/>
        <w:rPr>
          <w:sz w:val="20"/>
          <w:szCs w:val="20"/>
          <w:color w:val="auto"/>
        </w:rPr>
      </w:pPr>
      <w:r>
        <w:rPr>
          <w:rFonts w:ascii="Times New Roman" w:cs="Times New Roman" w:eastAsia="Times New Roman" w:hAnsi="Times New Roman"/>
          <w:sz w:val="18"/>
          <w:szCs w:val="18"/>
          <w:color w:val="auto"/>
        </w:rPr>
        <w:t>In November 2023, we discontinued our monotherapy substudy due to a limited duration of response in this rare patient population despite observing responses with a generally well tolerated therapy. In July 2024, we decided to close the program because we determined that the benefit/risk profile, as well as the market opportunity, did not justify the significant investment required to continue the trial despite observing some clinical responses.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Sprint Bioscience AB</w:t>
      </w:r>
    </w:p>
    <w:p>
      <w:pPr>
        <w:spacing w:after="0" w:line="121" w:lineRule="exact"/>
        <w:rPr>
          <w:sz w:val="20"/>
          <w:szCs w:val="20"/>
          <w:color w:val="auto"/>
        </w:rPr>
      </w:pPr>
    </w:p>
    <w:p>
      <w:pPr>
        <w:ind w:right="500" w:firstLine="464"/>
        <w:spacing w:after="0" w:line="266" w:lineRule="auto"/>
        <w:rPr>
          <w:sz w:val="20"/>
          <w:szCs w:val="20"/>
          <w:color w:val="auto"/>
        </w:rPr>
      </w:pPr>
      <w:r>
        <w:rPr>
          <w:rFonts w:ascii="Times New Roman" w:cs="Times New Roman" w:eastAsia="Times New Roman" w:hAnsi="Times New Roman"/>
          <w:sz w:val="18"/>
          <w:szCs w:val="18"/>
          <w:color w:val="auto"/>
        </w:rPr>
        <w:t>On August 15, 2023, we entered into the Sprint License Agreement.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an inhibitor targeting VRK1.</w:t>
      </w:r>
    </w:p>
    <w:p>
      <w:pPr>
        <w:spacing w:after="0" w:line="68" w:lineRule="exact"/>
        <w:rPr>
          <w:sz w:val="20"/>
          <w:szCs w:val="20"/>
          <w:color w:val="auto"/>
        </w:rPr>
      </w:pPr>
    </w:p>
    <w:p>
      <w:pPr>
        <w:ind w:right="80" w:firstLine="464"/>
        <w:spacing w:after="0" w:line="266" w:lineRule="auto"/>
        <w:rPr>
          <w:sz w:val="20"/>
          <w:szCs w:val="20"/>
          <w:color w:val="auto"/>
        </w:rPr>
      </w:pPr>
      <w:r>
        <w:rPr>
          <w:rFonts w:ascii="Times New Roman" w:cs="Times New Roman" w:eastAsia="Times New Roman" w:hAnsi="Times New Roman"/>
          <w:sz w:val="18"/>
          <w:szCs w:val="18"/>
          <w:color w:val="auto"/>
        </w:rPr>
        <w:t>The term of the Sprint License Agreement will expire on a licensed product and country basis upon the expiration of the royalty term with respect to such licensed product and such country, unless terminated earlier. We have the right to terminate the Sprint License Agreement in its entirety, or on a licensed product-by-licensed product basis, at will upon a specified notice period.</w:t>
      </w:r>
    </w:p>
    <w:p>
      <w:pPr>
        <w:spacing w:after="0" w:line="68" w:lineRule="exact"/>
        <w:rPr>
          <w:sz w:val="20"/>
          <w:szCs w:val="20"/>
          <w:color w:val="auto"/>
        </w:rPr>
      </w:pPr>
    </w:p>
    <w:p>
      <w:pPr>
        <w:jc w:val="both"/>
        <w:ind w:right="80" w:firstLine="464"/>
        <w:spacing w:after="0" w:line="266" w:lineRule="auto"/>
        <w:rPr>
          <w:sz w:val="20"/>
          <w:szCs w:val="20"/>
          <w:color w:val="auto"/>
        </w:rPr>
      </w:pPr>
      <w:r>
        <w:rPr>
          <w:rFonts w:ascii="Times New Roman" w:cs="Times New Roman" w:eastAsia="Times New Roman" w:hAnsi="Times New Roman"/>
          <w:sz w:val="18"/>
          <w:szCs w:val="18"/>
          <w:color w:val="auto"/>
        </w:rPr>
        <w:t>We paid $3.0 million upfront in cash to Sprint. As of December 31, 2024, we could be required to make milestone payments of up to $309.0 million based upon achievement of specified development, regulatory, and commercial milestones for each licensed product, as well as tiered royalties ranging in the single-digit percentages on future net sales of licensed products, if 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MabCare Therapeutics</w:t>
      </w:r>
    </w:p>
    <w:p>
      <w:pPr>
        <w:spacing w:after="0" w:line="121" w:lineRule="exact"/>
        <w:rPr>
          <w:sz w:val="20"/>
          <w:szCs w:val="20"/>
          <w:color w:val="auto"/>
        </w:rPr>
      </w:pPr>
    </w:p>
    <w:p>
      <w:pPr>
        <w:ind w:right="240" w:firstLine="464"/>
        <w:spacing w:after="0" w:line="282" w:lineRule="auto"/>
        <w:rPr>
          <w:sz w:val="20"/>
          <w:szCs w:val="20"/>
          <w:color w:val="auto"/>
        </w:rPr>
      </w:pPr>
      <w:r>
        <w:rPr>
          <w:rFonts w:ascii="Times New Roman" w:cs="Times New Roman" w:eastAsia="Times New Roman" w:hAnsi="Times New Roman"/>
          <w:sz w:val="18"/>
          <w:szCs w:val="18"/>
          <w:color w:val="auto"/>
        </w:rPr>
        <w:t>On June 17, 2024, we entered into the MabCare License Agreement. Under the MabCare License Agreement, MabCare granted to us an exclusive worldwide license, excluding Greater China, with the right to grant sublicenses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through multiple tiers, under specified patent rights and know-how for us to develop, manufacture and commercialize DAY301, a novel ADC targeting PTK7. Under the MabCare License Agreement, we have obligations to use commercially reasonable efforts to develop, obtain regulatory approval for, and commercialize at least one licensed product in one indication in each of the United States, Japan, and three European countries.</w:t>
      </w:r>
    </w:p>
    <w:p>
      <w:pPr>
        <w:spacing w:after="0" w:line="68"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8"/>
          <w:szCs w:val="18"/>
          <w:color w:val="auto"/>
        </w:rPr>
        <w:t>The term of the MabCare License Agreement will expire in its entirety upon the expiration of the last to expire royalty term with respect to all licensed products in our territory, unless terminated earlier. Following the expiration of the royalty term for a licensed product in a country, the license granted to us shall become non-exclusive, fully paid-up, royalty-free, perpetual, and irrevocable for such licensed product in such country. Upon the expiration of the term, the license granted to us shall become non-exclusive, transferable, sublicensable, fully paid, royalty free, perpetual, and irrevocable in its entirety.</w:t>
      </w:r>
    </w:p>
    <w:p>
      <w:pPr>
        <w:spacing w:after="0" w:line="75" w:lineRule="exact"/>
        <w:rPr>
          <w:sz w:val="20"/>
          <w:szCs w:val="20"/>
          <w:color w:val="auto"/>
        </w:rPr>
      </w:pPr>
    </w:p>
    <w:p>
      <w:pPr>
        <w:ind w:right="200" w:firstLine="464"/>
        <w:spacing w:after="0" w:line="266" w:lineRule="auto"/>
        <w:rPr>
          <w:sz w:val="20"/>
          <w:szCs w:val="20"/>
          <w:color w:val="auto"/>
        </w:rPr>
      </w:pPr>
      <w:r>
        <w:rPr>
          <w:rFonts w:ascii="Times New Roman" w:cs="Times New Roman" w:eastAsia="Times New Roman" w:hAnsi="Times New Roman"/>
          <w:sz w:val="18"/>
          <w:szCs w:val="18"/>
          <w:color w:val="auto"/>
        </w:rPr>
        <w:t>In consideration for the rights granted under the MabCare License Agreement, we made an upfront payment of $55.0 million. As of December 31, 2024, we could be required to make additional payments of $1,152.0 million based upon the achievement of specified development, regulatory, and commercial success-based milestones plus low-to-mid single-digit royalties on net sales outside of Greater China.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Ipsen Pharma SAS</w:t>
      </w:r>
    </w:p>
    <w:p>
      <w:pPr>
        <w:spacing w:after="0" w:line="121" w:lineRule="exact"/>
        <w:rPr>
          <w:sz w:val="20"/>
          <w:szCs w:val="20"/>
          <w:color w:val="auto"/>
        </w:rPr>
      </w:pPr>
    </w:p>
    <w:p>
      <w:pPr>
        <w:ind w:right="160" w:firstLine="464"/>
        <w:spacing w:after="0" w:line="266" w:lineRule="auto"/>
        <w:rPr>
          <w:sz w:val="20"/>
          <w:szCs w:val="20"/>
          <w:color w:val="auto"/>
        </w:rPr>
      </w:pPr>
      <w:r>
        <w:rPr>
          <w:rFonts w:ascii="Times New Roman" w:cs="Times New Roman" w:eastAsia="Times New Roman" w:hAnsi="Times New Roman"/>
          <w:sz w:val="18"/>
          <w:szCs w:val="18"/>
          <w:color w:val="auto"/>
        </w:rPr>
        <w:t>On July 23, 2024, we entered into the Ipsen License Agreement, pursuant to which, we licensed to Ipsen, on an exclusive basis, the right to commercialize tovorafenib in all territories outside the United States and agreed to provide certain research and development and manufacturing services. Ipsen shall have the right to grant sublicenses to third-parties.</w:t>
      </w:r>
    </w:p>
    <w:p>
      <w:pPr>
        <w:spacing w:after="0" w:line="68" w:lineRule="exact"/>
        <w:rPr>
          <w:sz w:val="20"/>
          <w:szCs w:val="20"/>
          <w:color w:val="auto"/>
        </w:rPr>
      </w:pPr>
    </w:p>
    <w:p>
      <w:pPr>
        <w:ind w:right="60" w:firstLine="464"/>
        <w:spacing w:after="0" w:line="258" w:lineRule="auto"/>
        <w:rPr>
          <w:sz w:val="20"/>
          <w:szCs w:val="20"/>
          <w:color w:val="auto"/>
        </w:rPr>
      </w:pPr>
      <w:r>
        <w:rPr>
          <w:rFonts w:ascii="Times New Roman" w:cs="Times New Roman" w:eastAsia="Times New Roman" w:hAnsi="Times New Roman"/>
          <w:sz w:val="18"/>
          <w:szCs w:val="18"/>
          <w:color w:val="auto"/>
        </w:rPr>
        <w:t>Under the terms of the Ipsen License Agreement, (i) Ipsen paid us an upfront license fee in the amount of $70.8 million and (ii) the Investor, a fully-owned United States affiliate of Ipsen, purchased 2,341,495 shares of our common stock in a private placement for $40.0 million, at a price per share representing a 17.0% premium to the VWAP of our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us and the Investor dated July 23, 2024.</w:t>
      </w:r>
    </w:p>
    <w:p>
      <w:pPr>
        <w:spacing w:after="0" w:line="75"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8"/>
          <w:szCs w:val="18"/>
          <w:color w:val="auto"/>
        </w:rPr>
        <w:t>As of December 31, 2024, we are also eligible to receive up to approximately $330.0 million based on exchange rates as of the reporting date in additional commercial launch and sales-based milestone payments, as well as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spacing w:after="0" w:line="75" w:lineRule="exact"/>
        <w:rPr>
          <w:sz w:val="20"/>
          <w:szCs w:val="20"/>
          <w:color w:val="auto"/>
        </w:rPr>
      </w:pPr>
    </w:p>
    <w:p>
      <w:pPr>
        <w:ind w:right="120" w:firstLine="464"/>
        <w:spacing w:after="0" w:line="266" w:lineRule="auto"/>
        <w:rPr>
          <w:sz w:val="20"/>
          <w:szCs w:val="20"/>
          <w:color w:val="auto"/>
        </w:rPr>
      </w:pPr>
      <w:r>
        <w:rPr>
          <w:rFonts w:ascii="Times New Roman" w:cs="Times New Roman" w:eastAsia="Times New Roman" w:hAnsi="Times New Roman"/>
          <w:sz w:val="18"/>
          <w:szCs w:val="18"/>
          <w:color w:val="auto"/>
        </w:rPr>
        <w:t>In addition, the Ipsen License Agreement provides that we will supply to Ipsen, and Ipsen will purchase from us, all required quantities of tovorafenib for all territories outside the United States in accordance with a supply agreement to be entered into by and between us and Ipsen, or the Ipsen Supply Agreement.</w:t>
      </w:r>
    </w:p>
    <w:p>
      <w:pPr>
        <w:spacing w:after="0" w:line="68" w:lineRule="exact"/>
        <w:rPr>
          <w:sz w:val="20"/>
          <w:szCs w:val="20"/>
          <w:color w:val="auto"/>
        </w:rPr>
      </w:pPr>
    </w:p>
    <w:p>
      <w:pPr>
        <w:ind w:right="120" w:firstLine="464"/>
        <w:spacing w:after="0" w:line="258" w:lineRule="auto"/>
        <w:rPr>
          <w:sz w:val="20"/>
          <w:szCs w:val="20"/>
          <w:color w:val="auto"/>
        </w:rPr>
      </w:pPr>
      <w:r>
        <w:rPr>
          <w:rFonts w:ascii="Times New Roman" w:cs="Times New Roman" w:eastAsia="Times New Roman" w:hAnsi="Times New Roman"/>
          <w:sz w:val="18"/>
          <w:szCs w:val="18"/>
          <w:color w:val="auto"/>
        </w:rPr>
        <w:t>Following the two-year anniversary of July 23, 2024, the effective date of the Ipsen License Agreement, Ipsen may terminate the Ipsen License Agreement for convenience with six months’ prior written notice or for certain other specified reasons. We may terminate the Ipsen License Agreement if Ipsen or any of its affiliates challenge the validity of any patents controlled by us that are licensed under the Ipsen License Agreement. Both we and Ipsen may terminate the Ipsen License Agreement (i) for material breach by the other party and a failure to cure such breach within the time period specified in the Ipsen License Agreement or (ii) the other party’s bankruptcy event.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for our drug candidates, technology and know-how, to operate without infringing the proprietary or intellectual property rights of others and to prevent others from infringing our proprietary or intellectual property rights. We expect that we will seek to protect our proprietary and intellectual property position by, among other methods, pursuing and obtaining patent protection in the United States and in jurisdictions outside of the United States related to our proprietary technology, inventions, improvements and drug candidates that are important to the development and implementation of our business. We also rely on trade secrets, know-how, trademarks, continuing technological innovation and licensing opportunities to develop and maintain our proprietary and intellectual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position. Presently, our patent portfolio includes issued patents and pending patent applications that are in-licensed, owned and/or co-owned by us.</w:t>
      </w:r>
    </w:p>
    <w:p>
      <w:pPr>
        <w:spacing w:after="0" w:line="117" w:lineRule="exact"/>
        <w:rPr>
          <w:sz w:val="20"/>
          <w:szCs w:val="20"/>
          <w:color w:val="auto"/>
        </w:rPr>
      </w:pPr>
    </w:p>
    <w:p>
      <w:pPr>
        <w:ind w:right="160" w:firstLine="562"/>
        <w:spacing w:after="0" w:line="261" w:lineRule="auto"/>
        <w:rPr>
          <w:sz w:val="20"/>
          <w:szCs w:val="20"/>
          <w:color w:val="auto"/>
        </w:rPr>
      </w:pPr>
      <w:r>
        <w:rPr>
          <w:rFonts w:ascii="Times New Roman" w:cs="Times New Roman" w:eastAsia="Times New Roman" w:hAnsi="Times New Roman"/>
          <w:sz w:val="18"/>
          <w:szCs w:val="18"/>
          <w:color w:val="auto"/>
        </w:rPr>
        <w:t>We currently, and expect that we will continue to, own, co-own or in-license patent applications and issued patents related to our drug candidates, as well as their use in the treatment of various diseases such as pediatric cancers. For our drug candidates, we generally pursue multilayered patent protection covering compositions of matter, methods of use and methods of manufacture. We intend to strengthen the patent protection of our drug candidates and technologies through additional patent application filings.</w:t>
      </w:r>
    </w:p>
    <w:p>
      <w:pPr>
        <w:spacing w:after="0" w:line="72"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As of January 1, 2025, we owned or co-owned a patent portfolio consisting of eleven patent families, non-exclusively in-licensed one patent family from Takeda Pharmaceutical Company Limited, exclusively in-licensed one patent family from MabCare Therapeutics and non-exclusively in-licensed three patent families from MabCare Therapeutics. Our owned or co-owned patent families include patent families that cover compositions of matter, pharmaceutical compositions, methods of synthesis, synthetic intermediates, methods of treatment and combination therapies related to tovorafenib. Certain patents and patent applications of our owned or co-owned patent portfolio have been out-licensed to Ipsen Pharma SAS, on an exclusive basis, with the right to commercialize tovorafenib in all territories outside the United States (see License agreement with Ipsen Pharma SAS, herein). The non-exclusively in-licensed patent family from Takeda Pharmaceutical Company Limited covers a catalyst that may be used in a preparation of our product candidate tovorafenib. The patent families in-licensed from MabCare Therapeutics cover the composition of matter, linker, and methods for use of our product candidate, DAY301. Patent terms for our owned, co-owned or licensed patents discussed herein exclude any patent term extension that may be awarded.</w:t>
      </w:r>
    </w:p>
    <w:p>
      <w:pPr>
        <w:spacing w:after="0" w:line="86"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Our owned or co-owned patent portfolio, as of January 1, 2025, includes a co-owned patent family that is directed to the compositions of matter and methods of use of tovorafenib with four issued U.S. patents and multiple foreign patents and applications including granted patents in Germany, France, United Kingdom, Belgium, Switzerland, Denmark, Spain, Ireland, Italy, Netherlands, Australia, Brazil, Canada, China, India, Japan, Korea, Mexico, Russia, Singapore, South Africa, Taiwan, and Hong Kong, which are expected to expire between 2028 and 2031.</w:t>
      </w:r>
    </w:p>
    <w:p>
      <w:pPr>
        <w:spacing w:after="0" w:line="72" w:lineRule="exact"/>
        <w:rPr>
          <w:sz w:val="20"/>
          <w:szCs w:val="20"/>
          <w:color w:val="auto"/>
        </w:rPr>
      </w:pPr>
    </w:p>
    <w:p>
      <w:pPr>
        <w:ind w:right="20" w:firstLine="562"/>
        <w:spacing w:after="0" w:line="252" w:lineRule="auto"/>
        <w:rPr>
          <w:sz w:val="20"/>
          <w:szCs w:val="20"/>
          <w:color w:val="auto"/>
        </w:rPr>
      </w:pPr>
      <w:r>
        <w:rPr>
          <w:rFonts w:ascii="Times New Roman" w:cs="Times New Roman" w:eastAsia="Times New Roman" w:hAnsi="Times New Roman"/>
          <w:sz w:val="18"/>
          <w:szCs w:val="18"/>
          <w:color w:val="auto"/>
        </w:rPr>
        <w:t>Our owned or co-owned patent portfolio includes a patent family that is directed to pharmaceutical formulations of tovorafenib with an issued U.S. patent and multiple foreign patents and applications including granted patents in Germany, France, United Kingdom, Belgium, Brazil, Canada, Switzerland, Spain, India, Ireland, Italy, Luxembourg, Monaco, Japan, and China, which are expected to expire in 2035. Our owned or co-owned patent portfolio includes an additional pharmaceutical formulation patent family that is directed to formulations of tovorafenib including pending applications in the United States, Europe, China, Hong Kong, and Japan that, if issued, are expected to expire in 2040. Our owned or co-owned patent portfolio includes a patent family directed to additional formulations of tovorafenib with pending applications in the United States, Australia, Brazil, Canada, China, Europe, Israel, Japan, Korea, Kuwait, Mexico, Russia, Saudi Arabia, and the United Arab Emirates, that, if issued, are expected to expire in 2043. Our owned or co-owned patent portfolio also includes a patent family directed to methods of synthesizing tovorafenib including two issued U.S. patents, and granted patents in Australia, Eurasia, Europe, Spain, United Kingdom,,Israel, Japan, India, China, Hong Kong, Singapore, and Mexico which are expected to expire in 2038 as well as pending applications in China, Brazil, Korea, Europe, Canada, Hong Kong, and Singapore that, if issued, are expected to expire in 2038. Our owned or co-owned patent portfolio further includes a patent family directed to methods of treating cancer using tovorafenib in combination with docetaxel with multiple foreign patents including granted patents in China, Germany, France, United Kingdom, Belgium, Switzerland, Spain, Ireland, Italy, Luxembourg, and Monaco that are expected to expire in 2035. Our owned or co-owned patent portfolio includes a patent family directed to methods of treating pLGG including pending applications in the United States, Singapore, Mexico, Korea, Japan, Hong Kong, Europe, China, Canada, and Australia that, if issued, are expected to expire in 2041. Our owned or co-owned patent portfolio includes a patent family directed to methods of treating cancer using tovorafenib in combination with a MEK inhibitor including pending applications in the United States, South Africa, Singapore, New Zealand, Mexico, Korea, Japan, Israel, Europe, China, Canada, Brazil, and Australia that, if issued, are expected to expire in 2042. Our owned or co-owned patent portfolio includes a patent family directed to methods of selecting patients for treatment with tovorafenib with pending applications in the United States and Europe, that, if issued, are expected to expire in 2042. Our owned or co-owned patent portfolio includes a patent family with one U.S. provisional application directed to methods of treatment with a MEK inhibitor that, if converted to a non-provisional application and issued, is expected to expire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2045. Our owned or co-owned patent portfolio further includes an additional patent family with a pending PCT application directed to methods of treating pLGG that, if nationalized and issued, is expected to expire in 2044.</w:t>
      </w:r>
    </w:p>
    <w:p>
      <w:pPr>
        <w:spacing w:after="0" w:line="54" w:lineRule="exact"/>
        <w:rPr>
          <w:sz w:val="20"/>
          <w:szCs w:val="20"/>
          <w:color w:val="auto"/>
        </w:rPr>
      </w:pPr>
    </w:p>
    <w:p>
      <w:pPr>
        <w:ind w:right="180" w:firstLine="562"/>
        <w:spacing w:after="0" w:line="256" w:lineRule="auto"/>
        <w:rPr>
          <w:sz w:val="20"/>
          <w:szCs w:val="20"/>
          <w:color w:val="auto"/>
        </w:rPr>
      </w:pPr>
      <w:r>
        <w:rPr>
          <w:rFonts w:ascii="Times New Roman" w:cs="Times New Roman" w:eastAsia="Times New Roman" w:hAnsi="Times New Roman"/>
          <w:sz w:val="18"/>
          <w:szCs w:val="18"/>
          <w:color w:val="auto"/>
        </w:rPr>
        <w:t>Our patent portfolio, as of January 1, 2025, includes patent families in-licensed from Mabcare Therapeutics that cover composition of matter, methods of use, and synthetic intermediates of DAY301. One patent family includes a pending PCT and pending Taiwanese application directed to the composition of matter and use of DAY301, that if nationalized and issued, is expected to expire in 2044. The MabCare in-licensed portfolio also includes three patent families directed to an ADC linker used in DAY301 and includes pending applications in U.S. and foreign jurisdictions that, if issued, are expected to expire in 2042. Details of the terms of the license agreement with Mabcare Therapeutics are discussed under the heading License agreement with MabCare Therapeutics herein.</w:t>
      </w:r>
    </w:p>
    <w:p>
      <w:pPr>
        <w:spacing w:after="0" w:line="79"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 which we file, the patent term is generally 20 years from the earliest date of filing a non-provisional patent application. In the United States, the patent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 Additionally, the Drug Price Competition and Patent Term Restoration Act of 1984, or the Hatch-Waxman Act, permits patent term extension of up to five years beyond the expiration date of a U.S. patent as partial compensation for the length of time a drug is under regulatory review while a patent that covers the drug is in force. The length of the patent term extension is related to the length of time the drug is under regulatory review.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86"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Similar provisions are available in the European Union and certain other foreign jurisdictions to extend the term of a patent that covers an approved drug. In the future, if and when our future drug candidates receive approval by the FDA or foreign regulatory authorities, we expect to apply for patent term extensions on issued patents covering those products, if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the section titled “Risk Factors–Risks Related to Our Intellectual Property.”</w:t>
      </w:r>
    </w:p>
    <w:p>
      <w:pPr>
        <w:spacing w:after="0" w:line="75" w:lineRule="exact"/>
        <w:rPr>
          <w:sz w:val="20"/>
          <w:szCs w:val="20"/>
          <w:color w:val="auto"/>
        </w:rPr>
      </w:pPr>
    </w:p>
    <w:p>
      <w:pPr>
        <w:ind w:right="160" w:firstLine="562"/>
        <w:spacing w:after="0" w:line="255" w:lineRule="auto"/>
        <w:rPr>
          <w:sz w:val="20"/>
          <w:szCs w:val="20"/>
          <w:color w:val="auto"/>
        </w:rPr>
      </w:pPr>
      <w:r>
        <w:rPr>
          <w:rFonts w:ascii="Times New Roman" w:cs="Times New Roman" w:eastAsia="Times New Roman" w:hAnsi="Times New Roman"/>
          <w:sz w:val="18"/>
          <w:szCs w:val="18"/>
          <w:color w:val="auto"/>
        </w:rPr>
        <w:t>The patent positions of biopharmaceutical companies like ours are generally uncertain and involve complex legal, scientific and factual questions. Our commercial success will also depend in part on not infringing upon the proprietary rights of third parties. It is uncertain whether the issuance of any third-party patent would require us to alter our development or commercial strategies, alter our drugs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the section titled “Risk Factors–Risks Related to Our Intellectual Property.”</w:t>
      </w:r>
    </w:p>
    <w:p>
      <w:pPr>
        <w:spacing w:after="0" w:line="81" w:lineRule="exact"/>
        <w:rPr>
          <w:sz w:val="20"/>
          <w:szCs w:val="20"/>
          <w:color w:val="auto"/>
        </w:rPr>
      </w:pPr>
    </w:p>
    <w:p>
      <w:pPr>
        <w:ind w:right="60" w:firstLine="562"/>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trade secrets, know-how, trademarks, other proprietary information and continuing technological innovation to develop and maintain our competitive position. Our trademark portfolio currently contains applications and/or registrations for Day One and Day One Biopharmaceuticals in the United States as well as applications for OJEMDA, the marketing name for tovorafenib, in the United States, Canada, the European Union, Iceland, Liechtenstein, Norway, Switzerland and the United Kingdom.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For more information regarding the risks related to our intellectual property, see “Risk Factors—Risks Related to Our Intellectual Property.”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337"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extensively regulate, among other things, the research, development, testing, manufacture, quality, approval, packaging, storage, recordkeeping, labeling, advertising, promotion, marketing, distribution, post-approval monitoring, studies, and reporting, sampling,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21" w:lineRule="exact"/>
        <w:rPr>
          <w:sz w:val="20"/>
          <w:szCs w:val="20"/>
          <w:color w:val="auto"/>
        </w:rPr>
      </w:pPr>
    </w:p>
    <w:p>
      <w:pPr>
        <w:ind w:right="220" w:firstLine="562"/>
        <w:spacing w:after="0" w:line="255"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pursuant to the Federal Food, Drug, and Cosmetic Act, or FD&amp;C Act, and other federal and state statutes and regulations that govern, among other things, the research, development, testing, manufacture, quality, approval, packaging, storage, recordkeeping, labeling, advertising, promotion, marketing, distribution, post-approval monitoring, studies, and reporting, sampling, and import and export of pharmaceutical products. Failure to comply with applicable U.S. requirements may subject a company to a variety of administrative or judicial sanctions, such as clinical holds, FDA refusal to accept new marketing applications or approve pending applications, warning or untitled letters, product recalls, product seizures, total or partial suspension of production or distribution, injunctions, fines, civil monetary penalties, and criminal prosecution, penalties and fines.</w:t>
      </w:r>
    </w:p>
    <w:p>
      <w:pPr>
        <w:spacing w:after="0" w:line="81" w:lineRule="exact"/>
        <w:rPr>
          <w:sz w:val="20"/>
          <w:szCs w:val="20"/>
          <w:color w:val="auto"/>
        </w:rPr>
      </w:pPr>
    </w:p>
    <w:p>
      <w:pPr>
        <w:ind w:right="20" w:firstLine="562"/>
        <w:spacing w:after="0" w:line="256" w:lineRule="auto"/>
        <w:rPr>
          <w:sz w:val="20"/>
          <w:szCs w:val="20"/>
          <w:color w:val="auto"/>
        </w:rPr>
      </w:pPr>
      <w:r>
        <w:rPr>
          <w:rFonts w:ascii="Times New Roman" w:cs="Times New Roman" w:eastAsia="Times New Roman" w:hAnsi="Times New Roman"/>
          <w:sz w:val="18"/>
          <w:szCs w:val="18"/>
          <w:color w:val="auto"/>
        </w:rPr>
        <w:t>Pharmaceutical product development for a new product or certain changes to an approved product in the United States typically involves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The FDA holds broad discretion under the FDCA and other statutes to interpret the conditions and evidence necessary for timely approval of our drugs. Satisfaction of FDA pre-approval requirements typically takes many years and the actual time required may vary substantially based upon the type, complexity and novelty of the product or disease.</w:t>
      </w:r>
    </w:p>
    <w:p>
      <w:pPr>
        <w:spacing w:after="0" w:line="79" w:lineRule="exact"/>
        <w:rPr>
          <w:sz w:val="20"/>
          <w:szCs w:val="20"/>
          <w:color w:val="auto"/>
        </w:rPr>
      </w:pPr>
    </w:p>
    <w:p>
      <w:pPr>
        <w:ind w:right="40" w:firstLine="562"/>
        <w:spacing w:after="0" w:line="253"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must be conducted: (i) in compliance with federal statutory requirements and regulations; (ii) in compliance with Good Clinical Practices, or GCPs, international standards meant to protect the rights and health of study subjects and to define the roles of clinical trial sponsors, administrators and monitors; as well as (iii) under protocols detailing the objectives of the trial, the parameters to be used in monitoring safety, and the effectiveness criteria to be evaluated. Each protocol involving human clinical testing in the United States and subsequent protocol amendments must be submitted to the FDA as part of the IND.</w:t>
      </w:r>
    </w:p>
    <w:p>
      <w:pPr>
        <w:spacing w:after="0" w:line="84" w:lineRule="exact"/>
        <w:rPr>
          <w:sz w:val="20"/>
          <w:szCs w:val="20"/>
          <w:color w:val="auto"/>
        </w:rPr>
      </w:pPr>
    </w:p>
    <w:p>
      <w:pPr>
        <w:ind w:right="160" w:firstLine="562"/>
        <w:spacing w:after="0" w:line="256"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study subjects. Imposition of a clinical hold may be full or partial. The study protocol and informed consent information for subjects in clinical trials must also be submitted to an institutional review board, or IRB, for approval. The IRB will also monitor the clinical trial until completed. An IRB may also require the clinical trial at the site to be halted, either temporarily or permanently, for failure to comply with the IRB’s requirements or if the study presents an unacceptable risk to patients, or may impose other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conditions. Additionally, certain clinical trials are overseen by an independent group of qualified experts organized by the clinical trial sponsor, known as Data Safety and Monitoring Boards or Data Monitoring Committees. These groups conduct safety assessments and make recommendations regarding whether a trial may move forward at designated checkpoints based on access to certain data from the trial.</w:t>
      </w:r>
    </w:p>
    <w:p>
      <w:pPr>
        <w:spacing w:after="0" w:line="68"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in some instances, early evidence of effectiveness. If the safety profile of the drug in the Phase 1 study is supportive, Phase two studies may be initiated.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well-controlled Phase 3 clinical trials to demonstrate the efficacy of the drug. A single trial may be sufficient in rare instances, including (1)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when in conjunction with other confirmatory evidence.</w:t>
      </w:r>
    </w:p>
    <w:p>
      <w:pPr>
        <w:spacing w:after="0" w:line="82"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These Phases may overlap or be combined. For example, a Phase 1/2 clinical trial may contain both a dose- 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 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w:t>
      </w:r>
    </w:p>
    <w:p>
      <w:pPr>
        <w:spacing w:after="0" w:line="75" w:lineRule="exact"/>
        <w:rPr>
          <w:sz w:val="20"/>
          <w:szCs w:val="20"/>
          <w:color w:val="auto"/>
        </w:rPr>
      </w:pPr>
    </w:p>
    <w:p>
      <w:pPr>
        <w:ind w:right="320" w:firstLine="562"/>
        <w:spacing w:after="0" w:line="282" w:lineRule="auto"/>
        <w:rPr>
          <w:sz w:val="20"/>
          <w:szCs w:val="20"/>
          <w:color w:val="auto"/>
        </w:rPr>
      </w:pPr>
      <w:r>
        <w:rPr>
          <w:rFonts w:ascii="Times New Roman" w:cs="Times New Roman" w:eastAsia="Times New Roman" w:hAnsi="Times New Roman"/>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54" w:lineRule="exact"/>
        <w:rPr>
          <w:sz w:val="20"/>
          <w:szCs w:val="20"/>
          <w:color w:val="auto"/>
        </w:rPr>
      </w:pPr>
    </w:p>
    <w:p>
      <w:pPr>
        <w:ind w:firstLine="562"/>
        <w:spacing w:after="0" w:line="266"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the FDA. The FDA approval of the NDA is required before marketing of the product may begin in the United States. The NDA must include the results of all preclinical, clinical and other testing and a compilation of data relating to the product’s pharmacology, chemistry, manufacture and controls.</w:t>
      </w:r>
    </w:p>
    <w:p>
      <w:pPr>
        <w:spacing w:after="0" w:line="68" w:lineRule="exact"/>
        <w:rPr>
          <w:sz w:val="20"/>
          <w:szCs w:val="20"/>
          <w:color w:val="auto"/>
        </w:rPr>
      </w:pPr>
    </w:p>
    <w:p>
      <w:pPr>
        <w:ind w:right="100" w:firstLine="562"/>
        <w:spacing w:after="0" w:line="261" w:lineRule="auto"/>
        <w:rPr>
          <w:sz w:val="20"/>
          <w:szCs w:val="20"/>
          <w:color w:val="auto"/>
        </w:rPr>
      </w:pPr>
      <w:r>
        <w:rPr>
          <w:rFonts w:ascii="Times New Roman" w:cs="Times New Roman" w:eastAsia="Times New Roman" w:hAnsi="Times New Roman"/>
          <w:sz w:val="18"/>
          <w:szCs w:val="18"/>
          <w:color w:val="auto"/>
        </w:rPr>
        <w:t>The cost of preparing and submitting an NDA is substantial. The submission of most NDAs is additionally subject to a substantial application user fee. Additionally, no user fees are assessed on NDAs for products designated as orphan drugs, unless the product also includes a non-orphan indication. The applicant under an approved NDA is also subject to annual program fees. The FDA adjusts the user fees on an annual basis, and the fees typically increase annually.</w:t>
      </w:r>
    </w:p>
    <w:p>
      <w:pPr>
        <w:spacing w:after="0" w:line="72"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The FDA reviews each submitted NDA before it determines whether to file it, based on the agency’s threshold determination that it is sufficiently complete to permit substantive review, and the FDA may request additional information. The FDA must make a decision on whether to file an NDA within 60 days of receipt, and such decision could include a refusal to file by the FDA. If the submission is filed, the FDA begins an in-depth review of the NDA. The FDA has agreed to certain non-binding performance goals in the review of NDAs. Most applications for standard review drug products are reviewed within 10 to 12 months; most applications for priority review drugs are reviewed in six to eight months. Priority review can be applied to drugs that the FDA determines offer major advances in treatment or provide a treatment where no adequate therapy exists. The review process for both standard and priority review may be extended by the FDA for three additional months to consider certain late-submitted information, or information intended to clarify information already provided in the submission. The FDA does not always meet its goal dates for standard and priority NDAs, and the review process can be extended by FDA requests for additional information or clarification.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86" w:lineRule="exact"/>
        <w:rPr>
          <w:sz w:val="20"/>
          <w:szCs w:val="20"/>
          <w:color w:val="auto"/>
        </w:rPr>
      </w:pPr>
    </w:p>
    <w:p>
      <w:pPr>
        <w:ind w:right="40" w:firstLine="562"/>
        <w:spacing w:after="0" w:line="261" w:lineRule="auto"/>
        <w:rPr>
          <w:sz w:val="20"/>
          <w:szCs w:val="20"/>
          <w:color w:val="auto"/>
        </w:rPr>
      </w:pPr>
      <w:r>
        <w:rPr>
          <w:rFonts w:ascii="Times New Roman" w:cs="Times New Roman" w:eastAsia="Times New Roman" w:hAnsi="Times New Roman"/>
          <w:sz w:val="18"/>
          <w:szCs w:val="18"/>
          <w:color w:val="auto"/>
        </w:rPr>
        <w:t>The FDA may also refer applications for novel drug products, or drug products that present difficult questions of safety or efficacy, to an advisory committee—typically a panel that includes clinicians and other experts—for review, evaluation and a recommendation as to whether the application should be approved and under what conditions, if any. The FDA is not bound by the recommendation of an advisory committee, but it generally follows such recommendations.</w:t>
      </w:r>
    </w:p>
    <w:p>
      <w:pPr>
        <w:spacing w:after="0" w:line="72" w:lineRule="exact"/>
        <w:rPr>
          <w:sz w:val="20"/>
          <w:szCs w:val="20"/>
          <w:color w:val="auto"/>
        </w:rPr>
      </w:pPr>
    </w:p>
    <w:p>
      <w:pPr>
        <w:ind w:right="260" w:firstLine="562"/>
        <w:spacing w:after="0" w:line="258" w:lineRule="auto"/>
        <w:rPr>
          <w:sz w:val="20"/>
          <w:szCs w:val="20"/>
          <w:color w:val="auto"/>
        </w:rPr>
      </w:pPr>
      <w:r>
        <w:rPr>
          <w:rFonts w:ascii="Times New Roman" w:cs="Times New Roman" w:eastAsia="Times New Roman" w:hAnsi="Times New Roman"/>
          <w:sz w:val="18"/>
          <w:szCs w:val="18"/>
          <w:color w:val="auto"/>
        </w:rPr>
        <w:t>Before approving an NDA, the FDA will conduct a pre-approval inspection of the manufacturing facilities for the new product to determine whether they comply with current Good Manufacturing Practices, or cGMPs. The FDA will not approve the product unless it determines that the manufacturing processes and facilities are in compliance with cGMP requirements and adequate to assure consistent production of the product within required specifications. The FDA also typically inspects one or more clinical trial sites to ensure compliance with GCP requirements and the integrity of the data supporting safety and efficacy.</w:t>
      </w:r>
    </w:p>
    <w:p>
      <w:pPr>
        <w:spacing w:after="0" w:line="75"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After the FDA evaluates the NDA and the manufacturing facilities, it issues either an approval letter or a complete response letter, or CRL. A CRL generally outlines the deficiencies in the submission and may require substantial additional testing, or information, in order for the FDA to reconsider the application, such as additional clinical data, additional pivotal clinical trial(s), and/or other significant and time-consuming requirements related to clinical trials, preclinical studies or manufacturing. If a CRL is issued, the applicant may resubmit the NDA addressing all of the deficiencies identified in the letter, withdraw the application, engage in formal dispute resolution, or request an opportunity for a hearing. The FDA has committed to reviewing resubmissions in two or six months depending on the type of information included. Even if such data and information are submitted, the FDA may decide that the NDA does not satisfy the criteria for approval.</w:t>
      </w:r>
    </w:p>
    <w:p>
      <w:pPr>
        <w:spacing w:after="0" w:line="81"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If, or when, the deficiencies identified in the CRL have been addressed to the FDA’s satisfaction in a resubmission of the NDA, the FDA will issue an approval letter. An approval letter authorizes commercial marketing of the drug with specific prescribing information for specific indications. As a condition of NDA approval, the FDA may require a risk evaluation and mitigation strategy, or REMS, to help ensure that the benefits of the drug outweigh the potential risks to patients.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for and profitability of the drug. Moreover, product approval may require substantial post-approval testing and surveillance to monitor the drug’s safety or efficacy. Once granted, product approvals may be withdrawn if the FDA determines that the drug is not safe and effective under the approved conditions of use or if the sponsor fails to comply with certain regulatory requirements.</w:t>
      </w:r>
    </w:p>
    <w:p>
      <w:pPr>
        <w:spacing w:after="0" w:line="80"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an NDA supplement or, in some cases, a new NDA,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121" w:lineRule="exact"/>
        <w:rPr>
          <w:sz w:val="20"/>
          <w:szCs w:val="20"/>
          <w:color w:val="auto"/>
        </w:rPr>
      </w:pPr>
    </w:p>
    <w:p>
      <w:pPr>
        <w:ind w:right="20" w:firstLine="562"/>
        <w:spacing w:after="0" w:line="256" w:lineRule="auto"/>
        <w:rPr>
          <w:sz w:val="20"/>
          <w:szCs w:val="20"/>
          <w:color w:val="auto"/>
        </w:rPr>
      </w:pPr>
      <w:r>
        <w:rPr>
          <w:rFonts w:ascii="Times New Roman" w:cs="Times New Roman" w:eastAsia="Times New Roman" w:hAnsi="Times New Roman"/>
          <w:sz w:val="18"/>
          <w:szCs w:val="18"/>
          <w:color w:val="auto"/>
        </w:rPr>
        <w:t>Sponsors of certain clinical trials of FDA-regulated products, including drugs, are required to register and disclose certain clinical trial information on clinicaltrials.gov. Information related to the intervention (e.g., drug product), patient population, phase of investigation, study sites and investigators, and other aspects of the clinical trial, is then made public as part of the registration. Sponsors are also required to submit the results of their clinical trials no later than one year after the primary completion date of the trial. Disclosure of the results of these trials can be delayed in certain circumstances upon timely submission of a certification, but results must be submitted not later than 2 years after the certification’s submission. Extensions may be available for good cause. Competitors may use this publicly available information to gain knowledge regarding the progress of development programs.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60" w:firstLine="562"/>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the disease or condition will be recovered from sales of the product in the United States.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ind w:right="40" w:firstLine="562"/>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pacing w:after="0" w:line="68" w:lineRule="exact"/>
        <w:rPr>
          <w:sz w:val="20"/>
          <w:szCs w:val="20"/>
          <w:color w:val="auto"/>
        </w:rPr>
      </w:pPr>
    </w:p>
    <w:p>
      <w:pPr>
        <w:ind w:right="100" w:firstLine="562"/>
        <w:spacing w:after="0" w:line="254" w:lineRule="auto"/>
        <w:rPr>
          <w:sz w:val="20"/>
          <w:szCs w:val="20"/>
          <w:color w:val="auto"/>
        </w:rPr>
      </w:pPr>
      <w:r>
        <w:rPr>
          <w:rFonts w:ascii="Times New Roman" w:cs="Times New Roman" w:eastAsia="Times New Roman" w:hAnsi="Times New Roman"/>
          <w:sz w:val="18"/>
          <w:szCs w:val="18"/>
          <w:color w:val="auto"/>
        </w:rPr>
        <w:t>The first NDA applicant to receive FDA approval for a particular active moiety to treat a rare disease for which the FDA has granted orphan designation is entitled to a seven-year exclusivity period in the United States for the specific product and the specific indication for which orphan designation was granted. During the seven-year exclusivity period, the FDA may not approve any other sponsor’s application to market the same drug for the same indication, except in limited circumstances, such as a showing of clinical superiority to the product with orphan drug exclusivity by means of greater effectiveness, greater safety, or providing a major contribution to patient care, or in instances of drug supply issues or consent by the exclusivity holder. Orphan drug exclusivity does not prevent the FDA from approving a different drug for the same indication, or the same drug for a different indication. Other benefits of orphan drug designation include tax credits for certain research and an exemption from the user fee required to submit an NDA, as long as the NDA does not seek approval of an indication that has not received orphan drug designation.</w:t>
      </w:r>
    </w:p>
    <w:p>
      <w:pPr>
        <w:spacing w:after="0" w:line="82"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2021, the U.S. Court of Appeals for the Eleventh Circuit held in </w:t>
      </w:r>
      <w:r>
        <w:rPr>
          <w:rFonts w:ascii="Times New Roman" w:cs="Times New Roman" w:eastAsia="Times New Roman" w:hAnsi="Times New Roman"/>
          <w:sz w:val="18"/>
          <w:szCs w:val="18"/>
          <w:i w:val="1"/>
          <w:iCs w:val="1"/>
          <w:color w:val="auto"/>
        </w:rPr>
        <w:t>Catalyst Pharmaceuticals, Inc. v. Becerra</w:t>
      </w:r>
      <w:r>
        <w:rPr>
          <w:rFonts w:ascii="Times New Roman" w:cs="Times New Roman" w:eastAsia="Times New Roman" w:hAnsi="Times New Roman"/>
          <w:sz w:val="18"/>
          <w:szCs w:val="18"/>
          <w:color w:val="auto"/>
        </w:rPr>
        <w:t xml:space="preserve"> that the FDA had erred by limiting the scope of orphan drug exclusivity for FIRDAPSE® (amifampridine) to the product’s approved indication, an action that the FDA took in accordance with its regulations interpreting the Orphan Drug Act. The court held that under the Orphan Drug Act, FIRDAPSE®’s orphan drug exclusivity instead protected the rare disease or condition that received orphan drug designation. Following this court decision in the Catalyst case, the FDA announced in January 2023 that it would continue to apply the FDA’s regulations limiting the scope of orphan drug exclusivity to a product’s approved uses or indications. As a result of the FDA’s announcement, the scope of orphan drug exclusivity and other issues relating to the FDA’s implementation of the Orphan Drug Act with respect to previously approved and future products may be the subject of further litigation or legislation.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Breakthrough therapy designation</w:t>
      </w:r>
    </w:p>
    <w:p>
      <w:pPr>
        <w:spacing w:after="0" w:line="121" w:lineRule="exact"/>
        <w:rPr>
          <w:sz w:val="20"/>
          <w:szCs w:val="20"/>
          <w:color w:val="auto"/>
        </w:rPr>
      </w:pPr>
    </w:p>
    <w:p>
      <w:pPr>
        <w:ind w:right="160" w:firstLine="562"/>
        <w:spacing w:after="0" w:line="254" w:lineRule="auto"/>
        <w:rPr>
          <w:sz w:val="20"/>
          <w:szCs w:val="20"/>
          <w:color w:val="auto"/>
        </w:rPr>
      </w:pPr>
      <w:r>
        <w:rPr>
          <w:rFonts w:ascii="Times New Roman" w:cs="Times New Roman" w:eastAsia="Times New Roman" w:hAnsi="Times New Roman"/>
          <w:sz w:val="18"/>
          <w:szCs w:val="18"/>
          <w:color w:val="auto"/>
        </w:rPr>
        <w:t>The FDA is also required to expedite the development and review of applications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the FDA designate the product candidate for a specific indication as a breakthrough therapy concurrent with, or after, the filing of the IND for the product candidate. The FDA must determine if the product candidate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w:t>
      </w:r>
    </w:p>
    <w:p>
      <w:pPr>
        <w:spacing w:after="0" w:line="121"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Accelerated approval of an NDA may be granted for a product that is intended to treat a serious or life-threatening disease or condition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Drugs granted accelerated approval generally provide a meaningful therapeutic advantage to patients over existing treatments.</w:t>
      </w:r>
    </w:p>
    <w:p>
      <w:pPr>
        <w:spacing w:after="0" w:line="75" w:lineRule="exact"/>
        <w:rPr>
          <w:sz w:val="20"/>
          <w:szCs w:val="20"/>
          <w:color w:val="auto"/>
        </w:rPr>
      </w:pPr>
    </w:p>
    <w:p>
      <w:pPr>
        <w:ind w:right="320" w:firstLine="562"/>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often used in settings in which the course of a disease is relatively long, and an extended period of time is required to measure the intended clinical benefit of a product, even if the effect on the surrogate or intermediate clinical endpoint occurs rapidly. Accelerated approval is frequently used in the development and approval of products for treatment of a variety of cancers in which the ultimate goal of therapy is to improve overall survival or decrease serious long-term morbidity and the duration of the typical disease course requires lengthy and sometimes large studies to demonstrate a survival or long-term clinical benefit.</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9" w:name="page30"/>
    <w:bookmarkEnd w:id="29"/>
    <w:p>
      <w:pPr>
        <w:spacing w:after="0" w:line="86" w:lineRule="exact"/>
        <w:rPr>
          <w:sz w:val="20"/>
          <w:szCs w:val="20"/>
          <w:color w:val="auto"/>
        </w:rPr>
      </w:pPr>
    </w:p>
    <w:p>
      <w:pPr>
        <w:ind w:right="40" w:firstLine="562"/>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generally requires a sponsor’s agreement to conduct an additional post-approval confirmatory study or studies to verify and describe the product’s clinical benefit. Any such confirmatory trial must be completed with due diligence and the FDA may require that the trial be underway prior to approval. Failure to conduct such required post-approval studies with due diligence, or to confirm a clinical benefit during such studies, would allow the FDA to withdraw the product from the market on an expedited basis. In addition, the FDA currently requires, as a condition of accelerated approval, the pre-submission of promotional materials, which can adversely impact the timing of the commercial launch of a product. The accelerated approval pathway does not always lead to a faster development or regulatory review or approval process, and receiving accelerated approval does not provide assurance of ultimate full FDA approval.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121" w:lineRule="exact"/>
        <w:rPr>
          <w:sz w:val="20"/>
          <w:szCs w:val="20"/>
          <w:color w:val="auto"/>
        </w:rPr>
      </w:pPr>
    </w:p>
    <w:p>
      <w:pPr>
        <w:ind w:right="100" w:firstLine="562"/>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or PREA, NDAs or supplements to NDAs must contain data adequate to assess the safety and effectiveness of the drug for the claimed indications in all relevant pediatric subpopulations and to support dosing and administration for each pediatric subpopulation for which the drug is safe and effective. Alternatively, for an original NDA for a new active ingredient, the application could instead be required to include reports on a molecularly targeted pediatric cancer investigation, if the drug is intended for the treatment of an adult cancer and directed at a molecular target that the FDA determines to be substantially relevant to the growth or progression of a pediatric cancer. The FDA may grant full or partial waivers, or deferrals, for either requirement. Unless otherwise required by regulation, PREA does not apply to any drug for an indication for which orphan designation has been granted. This exemption does not apply to an original NDA for a new active ingredient for an indication that is orphan-designated if the NDA is subject to the molecularly targeted pediatric cancer investigation requirement.</w:t>
      </w:r>
    </w:p>
    <w:p>
      <w:pPr>
        <w:spacing w:after="0" w:line="84" w:lineRule="exact"/>
        <w:rPr>
          <w:sz w:val="20"/>
          <w:szCs w:val="20"/>
          <w:color w:val="auto"/>
        </w:rPr>
      </w:pPr>
    </w:p>
    <w:p>
      <w:pPr>
        <w:ind w:right="60" w:firstLine="562"/>
        <w:spacing w:after="0" w:line="255" w:lineRule="auto"/>
        <w:rPr>
          <w:sz w:val="20"/>
          <w:szCs w:val="20"/>
          <w:color w:val="auto"/>
        </w:rPr>
      </w:pPr>
      <w:r>
        <w:rPr>
          <w:rFonts w:ascii="Times New Roman" w:cs="Times New Roman" w:eastAsia="Times New Roman" w:hAnsi="Times New Roman"/>
          <w:sz w:val="18"/>
          <w:szCs w:val="18"/>
          <w:color w:val="auto"/>
        </w:rPr>
        <w:t>The Best Pharmaceuticals for Children Act, or BPCA, provides a six-month extension of unexpired exclusivity if certain conditions are met. For NDAs, pediatric exclusivity will attach to unexpired nonpatent and patent exclusivity listed in the Approved Drug Products With Therapeutic Equivalence Evaluations for any drug containing same active moiety as the drug studied. Conditions for earning pediatric exclusivity include the FDA’s determination that information relating to the use of a new drug in the pediatric population may produce health benefits in that population, FDA making a written request for pediatric studies, the applicant agreeing to perform and completing those studies, and the applicant reporting on the requested studies within the statutory timeframe for pediatric exclusivity to be granted. Applications and supplements proposing a labeling change as a result of a pediatric study conducted under the BPCA are treated as priority applications, with all of the benefits that designation confers.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60" w:firstLine="562"/>
        <w:spacing w:after="0" w:line="261" w:lineRule="auto"/>
        <w:rPr>
          <w:sz w:val="20"/>
          <w:szCs w:val="20"/>
          <w:color w:val="auto"/>
        </w:rPr>
      </w:pPr>
      <w:r>
        <w:rPr>
          <w:rFonts w:ascii="Times New Roman" w:cs="Times New Roman" w:eastAsia="Times New Roman" w:hAnsi="Times New Roman"/>
          <w:sz w:val="18"/>
          <w:szCs w:val="18"/>
          <w:color w:val="auto"/>
        </w:rPr>
        <w:t>Once an NDA is approved, a product will be subject to certain post-approval requirements. For instance, the FDA closely regulates the advertising, promotion, marketing, and communications relating to approved drugs, including direct-to-consumer advertising, off-label promotion, industry-sponsored scientific and educational activities, and communications on social media and on the Internet. Drugs may be marketed only for their approved indications and in a manner consistent with the FDA-approved labeling.</w:t>
      </w:r>
    </w:p>
    <w:p>
      <w:pPr>
        <w:spacing w:after="0" w:line="72"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an NDA. The FDA also may require, or ask the sponsor to commit to, certain post-marketing surveillance, studies, and/or testing. These post-approval obligations are known as post-marketing requirements or post-marketing commitments depending on the authorities under which they are imposed. The FDA also may require enhanced safety surveillance to monitor potential adverse events relating to the approved product or impose a REMS to ensure that the benefits of the product outweigh the risks. Depending on the severity of the safety concern, a REMS may place conditions restricting the distribution or use of the product.</w:t>
      </w:r>
    </w:p>
    <w:p>
      <w:pPr>
        <w:spacing w:after="0" w:line="75" w:lineRule="exact"/>
        <w:rPr>
          <w:sz w:val="20"/>
          <w:szCs w:val="20"/>
          <w:color w:val="auto"/>
        </w:rPr>
      </w:pPr>
    </w:p>
    <w:p>
      <w:pPr>
        <w:ind w:right="220" w:firstLine="562"/>
        <w:spacing w:after="0" w:line="258" w:lineRule="auto"/>
        <w:rPr>
          <w:sz w:val="20"/>
          <w:szCs w:val="20"/>
          <w:color w:val="auto"/>
        </w:rPr>
      </w:pPr>
      <w:r>
        <w:rPr>
          <w:rFonts w:ascii="Times New Roman" w:cs="Times New Roman" w:eastAsia="Times New Roman" w:hAnsi="Times New Roman"/>
          <w:sz w:val="18"/>
          <w:szCs w:val="18"/>
          <w:color w:val="auto"/>
        </w:rPr>
        <w:t>Further, FDA extensively regulates all aspects of manufacturing quality for pharmaceuticals under their cGMP regulations. Quality control, drug manufacture, packaging and labeling procedures must continue to conform to cGMPs after approval. Drug manufacturers and certain subcontractors are required to register their establishments with the FDA and certain state agencies. Registration with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6" w:lineRule="exact"/>
        <w:rPr>
          <w:sz w:val="20"/>
          <w:szCs w:val="20"/>
          <w:color w:val="auto"/>
        </w:rPr>
      </w:pPr>
    </w:p>
    <w:p>
      <w:pPr>
        <w:ind w:right="160" w:firstLine="562"/>
        <w:spacing w:after="0" w:line="261" w:lineRule="auto"/>
        <w:rPr>
          <w:sz w:val="20"/>
          <w:szCs w:val="20"/>
          <w:color w:val="auto"/>
        </w:rPr>
      </w:pPr>
      <w:r>
        <w:rPr>
          <w:rFonts w:ascii="Times New Roman" w:cs="Times New Roman" w:eastAsia="Times New Roman" w:hAnsi="Times New Roman"/>
          <w:sz w:val="18"/>
          <w:szCs w:val="18"/>
          <w:color w:val="auto"/>
        </w:rPr>
        <w:t>Manufacturing quality and other post-approval regulatory compliance is heavily scrutinized by FDA and may result in government investigations, regulatory and legal actions, product recalls and seizures, product approval withdrawals, fines and penalties, interruption of production leading to product shortages, import bans or denials of import certifications, delays or denials in new product approvals or line extensions or supplemental approvals of current products pending resolution of any issues, any of which have and could adversely affect our business and reputation.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121"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Under the Rare Pediatric Disease Priority Review Voucher Program, the FDA may award a priority review voucher to the sponsor of an approved marketing application for a product that treats or prevents a rare pediatric disease. A rare pediatric disease is a serious or life-threatening disease or condition that affects less than 200,000 persons in the United States; affects more than 200,000 persons in the United States with no reasonable expectation of recovering the cost of developing and making the drug available in the United States; or is an orphan subset of a disease or condition that otherwise affects 200,000 or more persons in the United States. A voucher may be awarded only upon approval of a rare pediatric disease product application. A rare pediatric disease product application is a marketing application that meets the following criteria: the application is for a product that treats or prevents a rare pediatric disease; the application must be deemed eligible for priority review; the application must not seek approval for an adult indication; the product must not contain an active moiety or ingredient (as applicable) that has been previously approved by the FDA; the application must be submitted under section 505(b)(1) of the FD&amp;C Act; and the application must rely on clinical data derived from studies examining a pediatric population and dosages of the drug intended for that population such that the approved product can be adequately labeled for the pediatric population. At a sponsor’s request, the FDA may designate a product as a product for a rare pediatric disease and the application for the new product as a rare pediatric disease product application.</w:t>
      </w:r>
    </w:p>
    <w:p>
      <w:pPr>
        <w:spacing w:after="0" w:line="84" w:lineRule="exact"/>
        <w:rPr>
          <w:sz w:val="20"/>
          <w:szCs w:val="20"/>
          <w:color w:val="auto"/>
        </w:rPr>
      </w:pPr>
    </w:p>
    <w:p>
      <w:pPr>
        <w:ind w:right="20" w:firstLine="562"/>
        <w:spacing w:after="0" w:line="256" w:lineRule="auto"/>
        <w:rPr>
          <w:sz w:val="20"/>
          <w:szCs w:val="20"/>
          <w:color w:val="auto"/>
        </w:rPr>
      </w:pPr>
      <w:r>
        <w:rPr>
          <w:rFonts w:ascii="Times New Roman" w:cs="Times New Roman" w:eastAsia="Times New Roman" w:hAnsi="Times New Roman"/>
          <w:sz w:val="18"/>
          <w:szCs w:val="18"/>
          <w:color w:val="auto"/>
        </w:rPr>
        <w:t>A sponsor must notify the FDA, upon submission of the rare pediatric disease application, of its intent to request a voucher. The FDA may revoke a rare pediatric disease priority review voucher if the product for which it was awarded is not marketed in the United States within 365 days of the product’s approval. The voucher, which is transferable to another sponsor, may be submitted with a subsequent application and entitles the holder to priority review of that application. The sponsor using a rare pediatric disease priority review voucher must notify FDA of its intent to submit the voucher with the NDA at least 90 days prior to submission of the application and must pay a priority review user fee determined by the FDA in addition to any other required user fee. Under the FDA’s current performance goals, the FDA’s goal is to take action on a priority review application within six months.</w:t>
      </w:r>
    </w:p>
    <w:p>
      <w:pPr>
        <w:spacing w:after="0" w:line="79" w:lineRule="exact"/>
        <w:rPr>
          <w:sz w:val="20"/>
          <w:szCs w:val="20"/>
          <w:color w:val="auto"/>
        </w:rPr>
      </w:pPr>
    </w:p>
    <w:p>
      <w:pPr>
        <w:ind w:right="80" w:firstLine="562"/>
        <w:spacing w:after="0" w:line="261" w:lineRule="auto"/>
        <w:rPr>
          <w:sz w:val="20"/>
          <w:szCs w:val="20"/>
          <w:color w:val="auto"/>
        </w:rPr>
      </w:pPr>
      <w:r>
        <w:rPr>
          <w:rFonts w:ascii="Times New Roman" w:cs="Times New Roman" w:eastAsia="Times New Roman" w:hAnsi="Times New Roman"/>
          <w:sz w:val="18"/>
          <w:szCs w:val="18"/>
          <w:color w:val="auto"/>
        </w:rPr>
        <w:t>In December 2020, Congress reauthorized the rare pediatric disease priority review voucher program. Under the terms of that reauthorization, after September 30, 2024, the FDA will be able to award vouchers only if the designations were granted on or before that date, although in September 2024 this date was extended by Congress to December 20, 2024. Under current law, the FDA may not award rare pediatric disease priority review vouchers after September 30,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amendments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commonly referred to as the HatchWaxman Amendments or Hatch-Waxman, NDA applicants are required to submit to the FDA information about each patent for which a patent infringement claim could reasonably be asserted if a person not licensed by the patent owner engaged in the manufacture, use, or sale of the drug, and that claims the applicant’s drug (i.e., and is a drug substance or drug product patent), or that claims a method of using the drug, or listing requirements, based on the proposed labeling. Upon approval of a drug, the applicant must again submit patent information to the FDA based on the approved labeling in a timely fashion regarding patents that satisfy the listing requirements for the drug, and information about each of these patents is then published in the FDA’s Approved Drug Products with Therapeutic Equivalence Evaluations, commonly known as the Orange Book.</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 drug listed in the Orange Book potentially may be identified by a generic manufacturer as a reference listed drug in an abbreviated new drug application, or ANDA. An ANDA provides for marketing of a drug product that has the same active ingredient(s), strength, route of administration, dosage form, and labeling as the reference listed drug, subject to certain exceptions, and is bioequivalent to the reference listed drug. An approved ANDA product generally is considered to be therapeutically equivalent to the reference listed drug. Other than any data submitted to show bioequivalence, ANDA applicants are not required to conduct, or submit results of, preclinical or clinical tests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to prove the safety or effectiveness of their drug product. Drugs approved under the ANDA pathway are commonly referred to as “generic equivalents” to the reference listed drug and can often be substituted by pharmacists under prescriptions written for the reference listed drug pursuant to each state’s laws on drug substitution.</w:t>
      </w:r>
    </w:p>
    <w:p>
      <w:pPr>
        <w:spacing w:after="0" w:line="6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ANDA applicant is required to submit an appropriate certification or statement to the FDA concerning each patent identified in connection with the reference listed drug in the Orange Book. Specifically, the applicant may make one of the following four patent certifications: (i) the required patent information has not been filed; (ii) the listed patent has expired; (iii) the listed patent has not expired but will expire on a particular date and approval is sought after patent expiration; or (iv) the listed patent is invalid, unenforceable, or will not be infringed by the manufacture, use, or sale of the proposed product (a type of certification known as a Paragraph IV certification). For listed patents that claim an approved method of use, under certain circumstances the ANDA applicant may elect to submit a section viii statement, instead of a patent certification, certifying that the proposed ANDA labeling does not contain (or carves out)an indication or other condition of use that is covered by the method-of-use patent. By carving out relevant portions of the drug’s labeling, an ANDA applicant can avoid patent litigation with respect to the method-of-use patent, and the patent will not impact the ANDA applicant’s ability to secure FDA approval for its generic product. Otherwise, if the applicant does not challenge the listed patents through a Paragraph IV certification, the ANDA will not be eligible for approval until all the listed patents for the reference listed drug have expired. If the ANDA applicant has submitted a Paragraph IV certification to the FDA, the applicant must also send notice of the Paragraph IV certification to the NDA 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if certain requirements are met, prevents the FDA from approving the ANDA until the earlier of 30 months from the date the notice letter is received, expiration of the patent, the date a settlement order or consent decree is signed and entered by the court stating that the patent that is the subject of the Paragraph IV certification is invalid or not infringed, or a decision in the patent litigation that the patent is invalid or not infringed.</w:t>
      </w:r>
    </w:p>
    <w:p>
      <w:pPr>
        <w:spacing w:after="0" w:line="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ANDA application also will not be approved until any applicable non-patent exclusivity listed in the Orange Book for the reference listed drug has expired. In some instances, an ANDA applicant may receive approval prior to expiration of certain non-patent exclusivity if the applicant seeks, and the FDA permits, the omission of the exclusivity-protected information from the ANDA prescribing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Upon NDA approval of a new chemical entity, or NCE, which is a drug that contains no active moiety that has been approved by the FDA in any other NDA, that drug receives five years of exclusivity during which the FDA cannot receive any ANDA seeking approval of a generic version of that drug unless the application contains a Paragraph IV certification, in which case an ANDA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Certain changes to an approved drug for which new clinical investigations conducted or sponsored by the applicant are essential to approval, which may include, among other changes, the approval of a new indication, the approval of a new strength, or the approval of a new condition of use, are associated with a three-year period of exclusivity from the date of approval during which the FDA cannot approve an ANDA for a generic drug that includes the change. In some instances, an ANDA applicant may receive approval prior to expiration of the three-year exclusivity if the applicant seeks, and the FDA permits, the omission of such exclusivity-protected information from the ANDA prescribing information.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119" w:lineRule="exact"/>
        <w:rPr>
          <w:sz w:val="20"/>
          <w:szCs w:val="20"/>
          <w:color w:val="auto"/>
        </w:rPr>
      </w:pPr>
    </w:p>
    <w:p>
      <w:pPr>
        <w:ind w:right="40" w:firstLine="562"/>
        <w:spacing w:after="0" w:line="256" w:lineRule="auto"/>
        <w:rPr>
          <w:sz w:val="20"/>
          <w:szCs w:val="20"/>
          <w:color w:val="auto"/>
        </w:rPr>
      </w:pPr>
      <w:r>
        <w:rPr>
          <w:rFonts w:ascii="Times New Roman" w:cs="Times New Roman" w:eastAsia="Times New Roman" w:hAnsi="Times New Roman"/>
          <w:sz w:val="18"/>
          <w:szCs w:val="18"/>
          <w:color w:val="auto"/>
        </w:rPr>
        <w:t>Hatch-Waxman permits the extension of one patent further to the approval of a product as compensation for patent term lost during the FDA regulatory review process pertaining to that drug. Patent term extension, however, cannot extend the term of a patent beyond a date that provides the patent with 14 years of effective patent life from the product’s approval date. One or more patent term extension applications may be filed after NDA approval, but ultimately only one patent can be extended. The allowable patent term extension is calculated based on the post-patent issuance period that includes half of the drug’s testing phase (from the date the IND application became effective up to NDA submission) and all of the review phase (the time between NDA submission and approval), up</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maximum of five years. The time can be reduced for any time the FDA determines that the applicant did not pursue approval with due diligence.</w:t>
      </w:r>
    </w:p>
    <w:p>
      <w:pPr>
        <w:spacing w:after="0" w:line="117" w:lineRule="exact"/>
        <w:rPr>
          <w:sz w:val="20"/>
          <w:szCs w:val="20"/>
          <w:color w:val="auto"/>
        </w:rPr>
      </w:pPr>
    </w:p>
    <w:p>
      <w:pPr>
        <w:ind w:right="160" w:firstLine="562"/>
        <w:spacing w:after="0" w:line="266" w:lineRule="auto"/>
        <w:rPr>
          <w:sz w:val="20"/>
          <w:szCs w:val="20"/>
          <w:color w:val="auto"/>
        </w:rPr>
      </w:pPr>
      <w:r>
        <w:rPr>
          <w:rFonts w:ascii="Times New Roman" w:cs="Times New Roman" w:eastAsia="Times New Roman" w:hAnsi="Times New Roman"/>
          <w:sz w:val="18"/>
          <w:szCs w:val="18"/>
          <w:color w:val="auto"/>
        </w:rPr>
        <w:t>The USPTO, in consultation with the FDA, reviews and approves the application for any patent term extension or restoration. However, the USPTO may decide not to grant an extension because of a failure to satisfy applicable requirements. Moreover, the applicable time period or the scope of patent protection afforded could be less than requested.</w:t>
      </w:r>
    </w:p>
    <w:p>
      <w:pPr>
        <w:spacing w:after="0" w:line="68" w:lineRule="exact"/>
        <w:rPr>
          <w:sz w:val="20"/>
          <w:szCs w:val="20"/>
          <w:color w:val="auto"/>
        </w:rPr>
      </w:pPr>
    </w:p>
    <w:p>
      <w:pPr>
        <w:ind w:right="80" w:firstLine="562"/>
        <w:spacing w:after="0" w:line="258" w:lineRule="auto"/>
        <w:rPr>
          <w:sz w:val="20"/>
          <w:szCs w:val="20"/>
          <w:color w:val="auto"/>
        </w:rPr>
      </w:pPr>
      <w:r>
        <w:rPr>
          <w:rFonts w:ascii="Times New Roman" w:cs="Times New Roman" w:eastAsia="Times New Roman" w:hAnsi="Times New Roman"/>
          <w:sz w:val="18"/>
          <w:szCs w:val="18"/>
          <w:color w:val="auto"/>
        </w:rPr>
        <w:t>The application for the extension must be submitted prior to the expiration of the patent, and for patents that might expire during the application phase, the patent owner may request an interim patent extension. If granted, an interim patent extension will increase the patent term by up to one year and may be renewed up to four times, depending on the amount of extension to which an applicant is entitled. Interim patent extensions are also available as to patents that may expire prior to NDA approval; however, such interim patent extension will only apply if an application for product approval has been submitted to the FDA.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companion diagnostics</w:t>
      </w:r>
    </w:p>
    <w:p>
      <w:pPr>
        <w:spacing w:after="0" w:line="121" w:lineRule="exact"/>
        <w:rPr>
          <w:sz w:val="20"/>
          <w:szCs w:val="20"/>
          <w:color w:val="auto"/>
        </w:rPr>
      </w:pPr>
    </w:p>
    <w:p>
      <w:pPr>
        <w:ind w:right="40" w:firstLine="562"/>
        <w:spacing w:after="0" w:line="255" w:lineRule="auto"/>
        <w:rPr>
          <w:sz w:val="20"/>
          <w:szCs w:val="20"/>
          <w:color w:val="auto"/>
        </w:rPr>
      </w:pPr>
      <w:r>
        <w:rPr>
          <w:rFonts w:ascii="Times New Roman" w:cs="Times New Roman" w:eastAsia="Times New Roman" w:hAnsi="Times New Roman"/>
          <w:sz w:val="18"/>
          <w:szCs w:val="18"/>
          <w:color w:val="auto"/>
        </w:rPr>
        <w:t>If use of an in vitro diagnostic is essential to safe and effective use of a drug product, then the FDA generally will require approval or clearance of the diagnostic, known as a companion diagnostic, at the same time that the FDA approves the drug product. With respect to cancer drugs specifically, the FDA has generally required companion diagnostics intended to select the patients who are likely to respond to a particular cancer treatment to obtain a pre-market approval, or PMA, simultaneously with approval of the drug, except in limited circumstances. The review of these companion diagnostics in conjunction with the review of a cancer therapeutic involves coordination of review by the FDA’s Center for Drug Evaluation and Research and by the FDA’s Center for Devices and Radiological Health. Approval of the drug and corresponding approval or clearance of a companion diagnostic also requires a high level of coordination between the drug manufacturer and device manufacturer, if different companies.</w:t>
      </w:r>
    </w:p>
    <w:p>
      <w:pPr>
        <w:spacing w:after="0" w:line="81" w:lineRule="exact"/>
        <w:rPr>
          <w:sz w:val="20"/>
          <w:szCs w:val="20"/>
          <w:color w:val="auto"/>
        </w:rPr>
      </w:pPr>
    </w:p>
    <w:p>
      <w:pPr>
        <w:ind w:right="160" w:firstLine="562"/>
        <w:spacing w:after="0" w:line="261" w:lineRule="auto"/>
        <w:rPr>
          <w:sz w:val="20"/>
          <w:szCs w:val="20"/>
          <w:color w:val="auto"/>
        </w:rPr>
      </w:pPr>
      <w:r>
        <w:rPr>
          <w:rFonts w:ascii="Times New Roman" w:cs="Times New Roman" w:eastAsia="Times New Roman" w:hAnsi="Times New Roman"/>
          <w:sz w:val="18"/>
          <w:szCs w:val="18"/>
          <w:color w:val="auto"/>
        </w:rPr>
        <w:t>The PMA process, including the gathering of preclinical and 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 substantial application fee, which is typically increased annually.</w:t>
      </w:r>
    </w:p>
    <w:p>
      <w:pPr>
        <w:spacing w:after="0" w:line="72" w:lineRule="exact"/>
        <w:rPr>
          <w:sz w:val="20"/>
          <w:szCs w:val="20"/>
          <w:color w:val="auto"/>
        </w:rPr>
      </w:pPr>
    </w:p>
    <w:p>
      <w:pPr>
        <w:ind w:right="40" w:firstLine="562"/>
        <w:spacing w:after="0" w:line="256" w:lineRule="auto"/>
        <w:rPr>
          <w:sz w:val="20"/>
          <w:szCs w:val="20"/>
          <w:color w:val="auto"/>
        </w:rPr>
      </w:pPr>
      <w:r>
        <w:rPr>
          <w:rFonts w:ascii="Times New Roman" w:cs="Times New Roman" w:eastAsia="Times New Roman" w:hAnsi="Times New Roman"/>
          <w:sz w:val="18"/>
          <w:szCs w:val="18"/>
          <w:color w:val="auto"/>
        </w:rPr>
        <w:t>In addition, PMAs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79"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may issue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81" w:lineRule="exact"/>
        <w:rPr>
          <w:sz w:val="20"/>
          <w:szCs w:val="20"/>
          <w:color w:val="auto"/>
        </w:rPr>
      </w:pPr>
    </w:p>
    <w:p>
      <w:pPr>
        <w:ind w:right="20" w:firstLine="562"/>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register their establishment(s), including payment of an annual establishment registration fee, and list their device(s) with the FDA. A medical device manufacturer’s manufacturing processes and those of any contract manufacturers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8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periodic unscheduled inspections by the FDA. The FDA also may inspect foreign facilities that export products to the United States. Medical device manufacturers are also subject to requirements for reporting certain adverse events and malfunction associated with the device and for reporting certain corrections and removals of their devices.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420" w:firstLine="562"/>
        <w:spacing w:after="0" w:line="266" w:lineRule="auto"/>
        <w:rPr>
          <w:sz w:val="20"/>
          <w:szCs w:val="20"/>
          <w:color w:val="auto"/>
        </w:rPr>
      </w:pPr>
      <w:r>
        <w:rPr>
          <w:rFonts w:ascii="Times New Roman" w:cs="Times New Roman" w:eastAsia="Times New Roman" w:hAnsi="Times New Roman"/>
          <w:sz w:val="18"/>
          <w:szCs w:val="18"/>
          <w:color w:val="auto"/>
        </w:rPr>
        <w:t>In addition to FDA regulation of pharmaceutical products, several other types of state and federal laws govern certain general business and marketing practices in the pharmaceutical industry. These laws include anti-kickback, false claims, transparency, health information privacy laws, and other healthcare laws and regulations.</w:t>
      </w:r>
    </w:p>
    <w:p>
      <w:pPr>
        <w:spacing w:after="0" w:line="68"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federal Anti-Kickback Statute has been broadly interpreted by the courts. The Patient Protection and Affordable Care Act as amended by the Health Care and Education Reconciliation Act, collectively, the ACA, amended the intent element of the federal Anti-Kickback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Additionally, the ACA amended the federal Anti-Kickback Statute such that a violation of that statute can serve as a basis for liability under the federal civil False Claims Act.</w:t>
      </w:r>
    </w:p>
    <w:p>
      <w:pPr>
        <w:spacing w:after="0" w:line="84"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80" w:lineRule="exact"/>
        <w:rPr>
          <w:sz w:val="20"/>
          <w:szCs w:val="20"/>
          <w:color w:val="auto"/>
        </w:rPr>
      </w:pPr>
    </w:p>
    <w:p>
      <w:pPr>
        <w:ind w:right="40" w:firstLine="562"/>
        <w:spacing w:after="0" w:line="255"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beneficiary’s selection of a provider, practitioner, or supplier of items or services reimbursed by these programs, and the additional federal criminal statutes created by the Health Insurance Portability and Accountability Act of 1996, or HIPAA, which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81" w:lineRule="exact"/>
        <w:rPr>
          <w:sz w:val="20"/>
          <w:szCs w:val="20"/>
          <w:color w:val="auto"/>
        </w:rPr>
      </w:pPr>
    </w:p>
    <w:p>
      <w:pPr>
        <w:ind w:right="80" w:firstLine="562"/>
        <w:spacing w:after="0" w:line="255" w:lineRule="auto"/>
        <w:rPr>
          <w:sz w:val="20"/>
          <w:szCs w:val="20"/>
          <w:color w:val="auto"/>
        </w:rPr>
      </w:pPr>
      <w:r>
        <w:rPr>
          <w:rFonts w:ascii="Times New Roman" w:cs="Times New Roman" w:eastAsia="Times New Roman" w:hAnsi="Times New Roman"/>
          <w:sz w:val="18"/>
          <w:szCs w:val="18"/>
          <w:color w:val="auto"/>
        </w:rPr>
        <w:t>In addition, HIPAA, as amended by the Health Information Technology for Economic and Clinical Health Act of 2009, or HITECH, and their respective implementing regulations, impose obligations on certain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In addition, many state laws govern the privacy and security of health information in certain circumstances, many of which differ from each other in significant ways and may not have the same effect, and often are not preempted by HIPAA.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Further, pursuant to the ACA, the Centers for Medicare &amp; Medicaid Services, or CMS, requires certain manufacturers of prescription drugs to collect and annually report information on certain payments or transfers of value to certain prescribers and teaching hospitals, as well as ownership and investment interests held by physicians and their immediate family members. The reported data is made available in searchable form on a public website on an annual basis, which can be accessed by competitors and regulators. Failure to submit required information may result in civil monetary penalties.</w:t>
      </w:r>
    </w:p>
    <w:p>
      <w:pPr>
        <w:spacing w:after="0" w:line="72"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We may also be subject to analogous state and foreign anti-kickback and false claims laws that may apply to sales or marketing arrangements and claims involving healthcare items or services reimbursed by non-governmental third-party payors, including private insurers, or that apply regardless of payor. In addition, several states require prescription drug companies to report certain expenses relating to the marketing and promotion of drug products and to report gifts and payments to individual healthcare practitioners in those states. Other states prohibit various marketing-related activities, such as the provision of certain kinds of gifts or meals. Some states require the reporting of certain drug pricing information, including information pertaining to and justifying price increases. In addition, certain states require pharmaceutical companies to implement compliance programs and/or marketing codes. Several additional states are considering similar proposals. Certain states and local jurisdictions also require the registration of pharmaceutical sales representatives. Additionally, we may also be subject to state and foreign laws governing the privacy and security of health information in some circumstances, many of which differ from each other in significant ways and often are not preempted by HIPAA, thus complicating compliance efforts.</w:t>
      </w:r>
    </w:p>
    <w:p>
      <w:pPr>
        <w:spacing w:after="0" w:line="80"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state, federal, and foreign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21" w:lineRule="exact"/>
        <w:rPr>
          <w:sz w:val="20"/>
          <w:szCs w:val="20"/>
          <w:color w:val="auto"/>
        </w:rPr>
      </w:pPr>
    </w:p>
    <w:p>
      <w:pPr>
        <w:ind w:right="80" w:firstLine="562"/>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w:t>
      </w:r>
    </w:p>
    <w:p>
      <w:pPr>
        <w:spacing w:after="0" w:line="81"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U.S. federal government agencies also currently face potentially significant spending reductions, which may further impact healthcare expenditures. On August 2, 2011, the Budget Control Act of 2011, among other things, created measures for spending reductions, which triggered a 2% reduction in payments under certain government programs, including Medicare. This reduction will remain in effect for Medicare spending through fiscal year 2032.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ind w:right="180" w:firstLine="562"/>
        <w:spacing w:after="0" w:line="254"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FDA also released a final rule on September 24, 2020 providing guidance for states to build and submit importation plans for drugs from Canada. The Biden and Trump administrations both issued executive orders intended to favor government procurement from domestic manufacturers. In addition, the first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w:t>
      </w:r>
    </w:p>
    <w:p>
      <w:pPr>
        <w:spacing w:after="0" w:line="84"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Further, on November 20, 2020, the U.S Department of Health and Human Services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This deadline was pushed back to January 1, 2027 by the Bipartisan Safer Communities Act. The Inflation Reduction Act of 2022, or the IRA, further delayed implementation of this rule to January 1, 2032.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pacing w:after="0" w:line="80" w:lineRule="exact"/>
        <w:rPr>
          <w:sz w:val="20"/>
          <w:szCs w:val="20"/>
          <w:color w:val="auto"/>
        </w:rPr>
      </w:pPr>
    </w:p>
    <w:p>
      <w:pPr>
        <w:ind w:right="40" w:firstLine="562"/>
        <w:spacing w:after="0" w:line="252" w:lineRule="auto"/>
        <w:rPr>
          <w:sz w:val="20"/>
          <w:szCs w:val="20"/>
          <w:color w:val="auto"/>
        </w:rPr>
      </w:pPr>
      <w:r>
        <w:rPr>
          <w:rFonts w:ascii="Times New Roman" w:cs="Times New Roman" w:eastAsia="Times New Roman" w:hAnsi="Times New Roman"/>
          <w:sz w:val="18"/>
          <w:szCs w:val="18"/>
          <w:color w:val="auto"/>
        </w:rPr>
        <w:t>Most recently, in August 2022, President Biden signed into law the IRA, which, among other things, directs the U.S. Department of Health and Human Services, or HHS, to engage in price-capped negotiation for certain drugs and biologics that CMS reimburses under Medicare Part B and Part D. Specifically, the IRA’s Price Negotiation Program will apply to high-expenditure single-source drugs and biologics that have been approved for at least seven and 11 years, respectively, among other negotiation criteria, beginning with ten high-cost drugs paid for by Medicare Part D starting in 2026, followed by 15 Part D drugs in 2027, 15 Part B or Part D drugs in 2028, and 20 Part B or Part D drugs in 2029 and beyond. The negotiated prices will be capped at a statutory ceiling price. There are certain statutory exemptions from the IRA’s Price Negotiation Program, such as for a drug that has only a single orphan drug designation and is approved only for an indication or indications within the scope of such designation. The IRA’s Price Negotiation Program is currently the subject of legal challenges, although to date those challenges have not been successful. Beginning in October 2023,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Failure to comply with the IRA may be subject to various penalties, including civil monetary penalties, which could be significant.</w:t>
      </w:r>
    </w:p>
    <w:p>
      <w:pPr>
        <w:spacing w:after="0" w:line="87" w:lineRule="exact"/>
        <w:rPr>
          <w:sz w:val="20"/>
          <w:szCs w:val="20"/>
          <w:color w:val="auto"/>
        </w:rPr>
      </w:pPr>
    </w:p>
    <w:p>
      <w:pPr>
        <w:ind w:right="120" w:firstLine="562"/>
        <w:spacing w:after="0" w:line="256" w:lineRule="auto"/>
        <w:rPr>
          <w:sz w:val="20"/>
          <w:szCs w:val="20"/>
          <w:color w:val="auto"/>
        </w:rPr>
      </w:pPr>
      <w:r>
        <w:rPr>
          <w:rFonts w:ascii="Times New Roman" w:cs="Times New Roman" w:eastAsia="Times New Roman" w:hAnsi="Times New Roman"/>
          <w:sz w:val="18"/>
          <w:szCs w:val="18"/>
          <w:color w:val="auto"/>
        </w:rPr>
        <w:t>At the state level, governments have and continue to consider and pass legislation and implement regulations designed to control pharmaceutical and biological product pricing. Some of these measures include restricting price, reimbursement, discounts, product access, and marketing; imposing drug price, cost, and marketing disclosure and transparency requirements; permitting importation from other countries; and encouraging bulk purchasing. Furthermore, a growing number of state attorneys general are filing legal challenges (including use of state antitrust laws) related to drug pricing and reimbursement against various supply chain entities such as pharmacy benefit managers, and such litigation could involve drug manufacturers to a greater degree in the future.</w:t>
      </w:r>
    </w:p>
    <w:p>
      <w:pPr>
        <w:spacing w:after="0" w:line="79" w:lineRule="exact"/>
        <w:rPr>
          <w:sz w:val="20"/>
          <w:szCs w:val="20"/>
          <w:color w:val="auto"/>
        </w:rPr>
      </w:pPr>
    </w:p>
    <w:p>
      <w:pPr>
        <w:ind w:right="1000" w:firstLine="562"/>
        <w:spacing w:after="0" w:line="282"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The effect of reducing prices and reimbursement for our products would significantly impact our business and consolidated results of operations.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Patients in the United States and elsewhere generally rely on third-party payors to reimburse part or all of the costs associated with their prescription drugs. Accordingly, market acceptance of our drug products is dependent on the extent to which third-party coverage and reimbursement is available from government health administration authorities (including in connection with government healthcare programs, such as Medicare and Medicaid in the United States), private healthcare insurers and other healthcare funding organizations. Significant uncertainty exists as to the coverage and reimbursement status of any drug products for which we may obtain regulatory approval. Coverage decisions may not favor new drug products, particularly if more established or lower-cost therapeutic alternatives are available. Patients are unlikely to use our products unless reimbursement is adequate to cover all or a significant portion of the cost of our drug products.</w:t>
      </w:r>
    </w:p>
    <w:p>
      <w:pPr>
        <w:spacing w:after="0" w:line="81"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for determining coverage and reimbursement is often time-consuming and costly—including requiring us to provide scientific, clinical, and economic support for the use of our products to each payor separately—with no assurance that coverage or adequate reimbursement will be obtained. It is difficult to predict at this time what government authorities and third-party payors will decide with respect to coverage and reimbursement for our future drug products. 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w:t>
      </w:r>
    </w:p>
    <w:p>
      <w:pPr>
        <w:spacing w:after="0" w:line="84" w:lineRule="exact"/>
        <w:rPr>
          <w:sz w:val="20"/>
          <w:szCs w:val="20"/>
          <w:color w:val="auto"/>
        </w:rPr>
      </w:pPr>
    </w:p>
    <w:p>
      <w:pPr>
        <w:ind w:right="140" w:firstLine="562"/>
        <w:spacing w:after="0" w:line="261" w:lineRule="auto"/>
        <w:rPr>
          <w:sz w:val="20"/>
          <w:szCs w:val="20"/>
          <w:color w:val="auto"/>
        </w:rPr>
      </w:pPr>
      <w:r>
        <w:rPr>
          <w:rFonts w:ascii="Times New Roman" w:cs="Times New Roman" w:eastAsia="Times New Roman" w:hAnsi="Times New Roman"/>
          <w:sz w:val="18"/>
          <w:szCs w:val="18"/>
          <w:color w:val="auto"/>
        </w:rPr>
        <w:t>The market for our product candidates will depend significantly on access to third-party payors’ drug formularies or lists of medications for which third-party payors provide coverage and reimbursement. Competition to be included in such formularies often leads to downward pricing pressures. In particular, third-party payors may refuse to include a drug on their formularies or otherwise restrict patient access to a drug when a less costly generic equivalent or other alternative is available.</w:t>
      </w:r>
    </w:p>
    <w:p>
      <w:pPr>
        <w:spacing w:after="0" w:line="72" w:lineRule="exact"/>
        <w:rPr>
          <w:sz w:val="20"/>
          <w:szCs w:val="20"/>
          <w:color w:val="auto"/>
        </w:rPr>
      </w:pPr>
    </w:p>
    <w:p>
      <w:pPr>
        <w:ind w:right="140" w:firstLine="562"/>
        <w:spacing w:after="0" w:line="261"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and implementation of government controls and measures could exclude or limit our products from coverage and limit payments for pharmaceuticals.</w:t>
      </w:r>
    </w:p>
    <w:p>
      <w:pPr>
        <w:spacing w:after="0" w:line="72" w:lineRule="exact"/>
        <w:rPr>
          <w:sz w:val="20"/>
          <w:szCs w:val="20"/>
          <w:color w:val="auto"/>
        </w:rPr>
      </w:pPr>
    </w:p>
    <w:p>
      <w:pPr>
        <w:ind w:right="180" w:firstLine="562"/>
        <w:spacing w:after="0" w:line="261" w:lineRule="auto"/>
        <w:rPr>
          <w:sz w:val="20"/>
          <w:szCs w:val="20"/>
          <w:color w:val="auto"/>
        </w:rPr>
      </w:pPr>
      <w:r>
        <w:rPr>
          <w:rFonts w:ascii="Times New Roman" w:cs="Times New Roman" w:eastAsia="Times New Roman" w:hAnsi="Times New Roman"/>
          <w:sz w:val="18"/>
          <w:szCs w:val="18"/>
          <w:color w:val="auto"/>
        </w:rPr>
        <w:t>In addition, we expect that the increased emphasis on managed care and cost containment measures in the United States by third-party payors and government authorities will continue and will place pressure on pharmaceutical pricing and coverage. Coverage policies and third-party reimbursement rates may change at any time. Even if favorable coverage and reimbursement status is attained for one or more drug products for which we receive regulatory approval, less favorable coverage policies and reimbursement rates may be implemented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31" w:lineRule="exact"/>
        <w:rPr>
          <w:sz w:val="20"/>
          <w:szCs w:val="20"/>
          <w:color w:val="auto"/>
        </w:rPr>
      </w:pPr>
    </w:p>
    <w:p>
      <w:pPr>
        <w:ind w:right="380" w:firstLine="749"/>
        <w:spacing w:after="0" w:line="255" w:lineRule="auto"/>
        <w:rPr>
          <w:sz w:val="20"/>
          <w:szCs w:val="20"/>
          <w:color w:val="auto"/>
        </w:rPr>
      </w:pPr>
      <w:r>
        <w:rPr>
          <w:rFonts w:ascii="Times New Roman" w:cs="Times New Roman" w:eastAsia="Times New Roman" w:hAnsi="Times New Roman"/>
          <w:sz w:val="18"/>
          <w:szCs w:val="18"/>
          <w:color w:val="auto"/>
        </w:rPr>
        <w:t>We view our operations and manage our business as one operating segment, which includes all activities related to the identification, development and commercialization of first- or best-in-class medicines for childhood and adult diseases with equal intensity. For financial information related to our one operating segment, see our Financial Statements and related notes.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100" w:firstLine="562"/>
        <w:spacing w:after="0" w:line="261" w:lineRule="auto"/>
        <w:rPr>
          <w:sz w:val="20"/>
          <w:szCs w:val="20"/>
          <w:color w:val="auto"/>
        </w:rPr>
      </w:pPr>
      <w:r>
        <w:rPr>
          <w:rFonts w:ascii="Times New Roman" w:cs="Times New Roman" w:eastAsia="Times New Roman" w:hAnsi="Times New Roman"/>
          <w:sz w:val="18"/>
          <w:szCs w:val="18"/>
          <w:color w:val="auto"/>
        </w:rPr>
        <w:t>We are committed to creating and maintaining a diverse, inclusive and safe work environment where our employees can bring their best selves to work each day. Our commitment to diversity extends through our recruitment, retention, learning and engagement and community partnerships. As part of our diversity, equity, inclusion and belonging strategy, we made an active decision to pursue opportunities for learning and engagement that bring people from different backgrounds together into conversation.</w:t>
      </w:r>
    </w:p>
    <w:p>
      <w:pPr>
        <w:spacing w:after="0" w:line="72" w:lineRule="exact"/>
        <w:rPr>
          <w:sz w:val="20"/>
          <w:szCs w:val="20"/>
          <w:color w:val="auto"/>
        </w:rPr>
      </w:pPr>
    </w:p>
    <w:p>
      <w:pPr>
        <w:ind w:right="20" w:firstLine="562"/>
        <w:spacing w:after="0" w:line="282" w:lineRule="auto"/>
        <w:rPr>
          <w:sz w:val="20"/>
          <w:szCs w:val="20"/>
          <w:color w:val="auto"/>
        </w:rPr>
      </w:pPr>
      <w:r>
        <w:rPr>
          <w:rFonts w:ascii="Times New Roman" w:cs="Times New Roman" w:eastAsia="Times New Roman" w:hAnsi="Times New Roman"/>
          <w:sz w:val="18"/>
          <w:szCs w:val="18"/>
          <w:color w:val="auto"/>
        </w:rPr>
        <w:t>As of December 31, 2024, we had 181 full-time employees. Of these employees, 48 held Ph.D., Pharm.D. or M.D. degrees, and 57 were engaged in research, development and technical operations. From time to time, we also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retain independent contractors to support our organization. Approximately 22.7% of our employees are based at our headquarters in Brisbane, California, with the remaining others working remotely. We have never experienced a work stoppage, none of our employees are represented by a labor union or covered by collective bargaining agreements, and we strive to attract and retain qualified employees in order to foster long-term working relationships.</w:t>
      </w:r>
    </w:p>
    <w:p>
      <w:pPr>
        <w:spacing w:after="0" w:line="50" w:lineRule="exact"/>
        <w:rPr>
          <w:sz w:val="20"/>
          <w:szCs w:val="20"/>
          <w:color w:val="auto"/>
        </w:rPr>
      </w:pPr>
    </w:p>
    <w:p>
      <w:pPr>
        <w:ind w:right="40" w:firstLine="562"/>
        <w:spacing w:after="0" w:line="261" w:lineRule="auto"/>
        <w:rPr>
          <w:sz w:val="20"/>
          <w:szCs w:val="20"/>
          <w:color w:val="auto"/>
        </w:rPr>
      </w:pPr>
      <w:r>
        <w:rPr>
          <w:rFonts w:ascii="Times New Roman" w:cs="Times New Roman" w:eastAsia="Times New Roman" w:hAnsi="Times New Roman"/>
          <w:sz w:val="18"/>
          <w:szCs w:val="18"/>
          <w:color w:val="auto"/>
        </w:rPr>
        <w:t>We focus on employee development, engagement, and diversity and inclusion to identify, hire, develop, and retain the best talent. The principal purpose of our incentive share plan is to attract, retain and motivate selected employees, consultants and directors through the granting of incentive share-based compensation awards and cash-based performance bonus awards. We provide competitive compensation and benefits that are tailored specifically to the needs and requests of our employees and are designed to help us achieve our goals of attracting, hiring and retaining qualified personnel.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in Brisbane, California, where we lease approximately 19,000 square feet of office space. The lease expires in January 2032. There is no option to extend the lease term nor is there an option to terminate the lease prior to its expiration. We believe these facilities are sufficient to meet our ongoing needs and that, if we require additional space, we will be able to obtain additional facilities on commercially reasonable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337" w:lineRule="exact"/>
        <w:rPr>
          <w:sz w:val="20"/>
          <w:szCs w:val="20"/>
          <w:color w:val="auto"/>
        </w:rPr>
      </w:pPr>
    </w:p>
    <w:p>
      <w:pPr>
        <w:ind w:right="120" w:firstLine="562"/>
        <w:spacing w:after="0" w:line="258" w:lineRule="auto"/>
        <w:rPr>
          <w:sz w:val="20"/>
          <w:szCs w:val="20"/>
          <w:color w:val="auto"/>
        </w:rPr>
      </w:pPr>
      <w:r>
        <w:rPr>
          <w:rFonts w:ascii="Times New Roman" w:cs="Times New Roman" w:eastAsia="Times New Roman" w:hAnsi="Times New Roman"/>
          <w:sz w:val="18"/>
          <w:szCs w:val="18"/>
          <w:color w:val="auto"/>
        </w:rPr>
        <w:t>We were formed as a limited liability company under the laws of the State of Delaware in November 2018, under the name Hero Therapeutics Holding Company, LLC. We subsequently changed our name to Day One Therapeutics Holding Company, LLC in December 2018 and to Day One Biopharmaceuticals Holding Company, LLC in March 2020. In connection with our initial public offering, we converted from a Delaware limited liability company to a Delaware corporation and changed our name to Day One Biopharmaceuticals, Inc. Our principal executive offices are located at 1800 Sierra Point Parkway, Suite 200, Brisbane, CA 94005, and our telephone number is (650) 484-0899. Our website address is www.dayonebio.com.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337" w:lineRule="exact"/>
        <w:rPr>
          <w:sz w:val="20"/>
          <w:szCs w:val="20"/>
          <w:color w:val="auto"/>
        </w:rPr>
      </w:pPr>
    </w:p>
    <w:p>
      <w:pPr>
        <w:ind w:right="100" w:firstLine="562"/>
        <w:spacing w:after="0" w:line="261" w:lineRule="auto"/>
        <w:rPr>
          <w:sz w:val="20"/>
          <w:szCs w:val="20"/>
          <w:color w:val="auto"/>
        </w:rPr>
      </w:pPr>
      <w:r>
        <w:rPr>
          <w:rFonts w:ascii="Times New Roman" w:cs="Times New Roman" w:eastAsia="Times New Roman" w:hAnsi="Times New Roman"/>
          <w:sz w:val="18"/>
          <w:szCs w:val="18"/>
          <w:color w:val="auto"/>
        </w:rPr>
        <w:t>Our Internet website address is http://www.dayonebio.com. On our website, we make available, free of charge, our annual, quarterly, proxy statements and current reports, including amendments to such reports, as soon as reasonably practicable after we electronically file such material with, or furnish such material to, the Securities and Exchange Commission, or the SEC. The SEC maintains a website at www.sec.gov that contains reports as well as other information regarding us and other companies that file materials with the SEC electronically.</w:t>
      </w:r>
    </w:p>
    <w:p>
      <w:pPr>
        <w:spacing w:after="0" w:line="72" w:lineRule="exact"/>
        <w:rPr>
          <w:sz w:val="20"/>
          <w:szCs w:val="20"/>
          <w:color w:val="auto"/>
        </w:rPr>
      </w:pPr>
    </w:p>
    <w:p>
      <w:pPr>
        <w:ind w:right="60" w:firstLine="562"/>
        <w:spacing w:after="0" w:line="261" w:lineRule="auto"/>
        <w:rPr>
          <w:sz w:val="20"/>
          <w:szCs w:val="20"/>
          <w:color w:val="auto"/>
        </w:rPr>
      </w:pPr>
      <w:r>
        <w:rPr>
          <w:rFonts w:ascii="Times New Roman" w:cs="Times New Roman" w:eastAsia="Times New Roman" w:hAnsi="Times New Roman"/>
          <w:sz w:val="18"/>
          <w:szCs w:val="18"/>
          <w:color w:val="auto"/>
        </w:rPr>
        <w:t>Also available on our website is information relating to corporate governance at Day One and our board of directors, including our Corporate Governance Guidelines; our Code of Business Conduct and Ethics (for our directors, officers and employees), and our Board Committee Charters. We will provide any of the foregoing information without charge upon written request to our Corporate Secretary, Day One Biopharmaceuticals, Inc., 1800 Sierra Point Parkway, Suite 200, Brisbane, CA 94005.</w:t>
      </w:r>
    </w:p>
    <w:p>
      <w:pPr>
        <w:spacing w:after="0" w:line="72" w:lineRule="exact"/>
        <w:rPr>
          <w:sz w:val="20"/>
          <w:szCs w:val="20"/>
          <w:color w:val="auto"/>
        </w:rPr>
      </w:pPr>
    </w:p>
    <w:p>
      <w:pPr>
        <w:ind w:right="160" w:firstLine="562"/>
        <w:spacing w:after="0" w:line="261" w:lineRule="auto"/>
        <w:rPr>
          <w:sz w:val="20"/>
          <w:szCs w:val="20"/>
          <w:color w:val="auto"/>
        </w:rPr>
      </w:pPr>
      <w:r>
        <w:rPr>
          <w:rFonts w:ascii="Times New Roman" w:cs="Times New Roman" w:eastAsia="Times New Roman" w:hAnsi="Times New Roman"/>
          <w:sz w:val="18"/>
          <w:szCs w:val="18"/>
          <w:color w:val="auto"/>
        </w:rPr>
        <w:t>We use our Investor Relations website (http://ir.dayonebio.com) as a means of disclosing material non-public information and for complying with our disclosure obligations under Regulation FD promulgated by the SEC. These disclosures are included in the “Press Releases” and “Events and Presentations” sections of our website. Accordingly, investors should monitor these portions of our website, in addition to following our press releases, SEC filings and public conference calls and webcasts.</w:t>
      </w:r>
    </w:p>
    <w:p>
      <w:pPr>
        <w:spacing w:after="0" w:line="72" w:lineRule="exact"/>
        <w:rPr>
          <w:sz w:val="20"/>
          <w:szCs w:val="20"/>
          <w:color w:val="auto"/>
        </w:rPr>
      </w:pPr>
    </w:p>
    <w:p>
      <w:pPr>
        <w:ind w:right="80" w:firstLine="562"/>
        <w:spacing w:after="0" w:line="282" w:lineRule="auto"/>
        <w:rPr>
          <w:sz w:val="20"/>
          <w:szCs w:val="20"/>
          <w:color w:val="auto"/>
        </w:rPr>
      </w:pPr>
      <w:r>
        <w:rPr>
          <w:rFonts w:ascii="Times New Roman" w:cs="Times New Roman" w:eastAsia="Times New Roman" w:hAnsi="Times New Roman"/>
          <w:sz w:val="18"/>
          <w:szCs w:val="18"/>
          <w:color w:val="auto"/>
        </w:rPr>
        <w:t>The information contained on our website does not constitute, and shall not be deemed to constitute, a part of this Annual Report on Form 10-K, or any other report we file with, or furnish to, the SEC. Our references to the URLs for websites are intended to be inactive textual references only.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annual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ind w:left="5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commercial stage biopharmaceutical company with a limited operating history in the initial stages of the commercialization of our product, OJEMDA, which may make it difficult for investors to evaluate our current business and likelihood of success and viability.</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We expect to incur continued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520" w:right="60" w:hanging="512"/>
        <w:spacing w:after="0" w:line="26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w:t>
      </w:r>
    </w:p>
    <w:p>
      <w:pPr>
        <w:spacing w:after="0" w:line="71"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several objectives relating to the discovery or identification, development and commercialization of OJEMDA and our product candidates.</w:t>
      </w:r>
    </w:p>
    <w:p>
      <w:pPr>
        <w:spacing w:after="0" w:line="53" w:lineRule="exact"/>
        <w:rPr>
          <w:rFonts w:ascii="Times New Roman" w:cs="Times New Roman" w:eastAsia="Times New Roman" w:hAnsi="Times New Roman"/>
          <w:sz w:val="18"/>
          <w:szCs w:val="18"/>
          <w:color w:val="auto"/>
        </w:rPr>
      </w:pPr>
    </w:p>
    <w:p>
      <w:pPr>
        <w:ind w:left="520" w:right="46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67" w:lineRule="exact"/>
        <w:rPr>
          <w:rFonts w:ascii="Times New Roman" w:cs="Times New Roman" w:eastAsia="Times New Roman" w:hAnsi="Times New Roman"/>
          <w:sz w:val="18"/>
          <w:szCs w:val="18"/>
          <w:color w:val="auto"/>
        </w:rPr>
      </w:pPr>
    </w:p>
    <w:p>
      <w:pPr>
        <w:ind w:left="520" w:right="100" w:hanging="512"/>
        <w:spacing w:after="0" w:line="26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or receive marketing authorization. If we fail to demonstrate the safety and effectiveness of our product candidates, our reputation may be harmed and our business will suffer.</w:t>
      </w:r>
    </w:p>
    <w:p>
      <w:pPr>
        <w:spacing w:after="0" w:line="71" w:lineRule="exact"/>
        <w:rPr>
          <w:rFonts w:ascii="Times New Roman" w:cs="Times New Roman" w:eastAsia="Times New Roman" w:hAnsi="Times New Roman"/>
          <w:sz w:val="18"/>
          <w:szCs w:val="18"/>
          <w:color w:val="auto"/>
        </w:rPr>
      </w:pPr>
    </w:p>
    <w:p>
      <w:pPr>
        <w:ind w:left="520" w:right="68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data from investigator-initiated studies, as we did for the Phase 1 clinical trial, and we do not control the trial operations or reporting of the results of such trials.</w:t>
      </w:r>
    </w:p>
    <w:p>
      <w:pPr>
        <w:spacing w:after="0" w:line="53" w:lineRule="exact"/>
        <w:rPr>
          <w:rFonts w:ascii="Times New Roman" w:cs="Times New Roman" w:eastAsia="Times New Roman" w:hAnsi="Times New Roman"/>
          <w:sz w:val="18"/>
          <w:szCs w:val="18"/>
          <w:color w:val="auto"/>
        </w:rPr>
      </w:pPr>
    </w:p>
    <w:p>
      <w:pPr>
        <w:ind w:left="520" w:right="74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commercialization of pharmaceutical products are subject to extensive regulation, and we may not obtain marketing authorizations for DAY301, VRK1 or any future product candidates, on a timely basis or at all.</w:t>
      </w:r>
    </w:p>
    <w:p>
      <w:pPr>
        <w:spacing w:after="0" w:line="53" w:lineRule="exact"/>
        <w:rPr>
          <w:rFonts w:ascii="Times New Roman" w:cs="Times New Roman" w:eastAsia="Times New Roman" w:hAnsi="Times New Roman"/>
          <w:sz w:val="18"/>
          <w:szCs w:val="18"/>
          <w:color w:val="auto"/>
        </w:rPr>
      </w:pPr>
    </w:p>
    <w:p>
      <w:pPr>
        <w:ind w:left="520" w:right="1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pharmaceutical products, including OJEMDA and our product candidates, including DAY301 and VRK1, is complex. Our third-party manufacturers may encounter difficulties in production, which could delay or entirely halt their ability to supply our product candidates for clinical trials or, if approved, our products for commercial sale.</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executive officers and key employees and to attract, retain and motivate qualified personnel and manage our human capital.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86"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the size and capabilities of our organization, and we may experience difficulties in managing this growth.</w:t>
      </w:r>
    </w:p>
    <w:p>
      <w:pPr>
        <w:spacing w:after="0" w:line="117" w:lineRule="exact"/>
        <w:rPr>
          <w:rFonts w:ascii="Times New Roman" w:cs="Times New Roman" w:eastAsia="Times New Roman" w:hAnsi="Times New Roman"/>
          <w:sz w:val="18"/>
          <w:szCs w:val="18"/>
          <w:color w:val="auto"/>
        </w:rPr>
      </w:pPr>
    </w:p>
    <w:p>
      <w:pPr>
        <w:ind w:left="520" w:right="20" w:hanging="512"/>
        <w:spacing w:after="0" w:line="26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commercial stage biopharmaceutical company with a limited operating history in the initial stages of the commercialization our product OJEMDA, which may make it difficult for investors to evaluate our current business and likelihood of success and viability.</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 commercial-stage biopharmaceutical company with a limited operating history upon which you can evaluate our business and prospects. Investment in drug development is a highly speculative undertaking and involves a substantial degree of risk. We commenced operations in 2018, and, to date, we have devoted substantially all of our resources to identifying, acquiring and developing OJEMDA and our product candidates, including DAY 301, which we licensed from MabCare Therapeutics in June 2024, building our pipeline, organizing and staffing our company, business planning, building a commercial organization, establishing and maintaining our intellectual property portfolio, establishing arrangements with third parties for the manufacture of our product candidates, raising capital and providing selling, general and administrative support for these operations.</w:t>
      </w:r>
    </w:p>
    <w:p>
      <w:pPr>
        <w:spacing w:after="0" w:line="7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December 31, 2024, we have generated approximately $57.2 million of net revenue from product sales of OJEMDA and we have financed our operations primarily through the sale and issuance of redeemable convertible preferred shares, the completion of our initial public offering, or IPO, and follow-on public offerings of our common stock.</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continuing to transition from a company with a research and development focus to a company capable of supporting commercial activities and we may not be successful in such transition. We are still at the early stages of demonstrating our ability to manufacture at commercial scale, or arrange for a third party to do so on our behalf, or conduct sales, marketing and distribution activities necessary for successful product commercialization. As a result, it may be more difficult for you to accurately predict our likelihood of success and viability than it could be if we had a longer operating history.</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biopharmaceutical companies in rapidly evolving fields and with recently approved therapies. If we do not adequately address these risks and difficulties or successfully make a commercial transition, our business will suffer.</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We expect to incur continued losses for the foreseeable future and may never achieve or maintain profitability.</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incurred significant net losses in each reporting period since our inception, and as of December 31, 2024, we have generated approximately $57.2 million of revenue from product sales of OJEMDA. We have financed our operations principally through the sale and issuance of redeemable convertible preferred shares, the completion of our initial public offering, or IPO, and follow-on public offerings of our common stock. For the years ended December 31, 2024, 2023, and 2022, we reported a net loss of $95.5 million, $188.9 million and $142.2 million, respectively. We had an accumulated deficit of $554.1 million as of December 31, 2024. We expect to incur increasing levels of operating losses for the foreseeable future, particularly as we advance tovorafenib, DAY301 and VRK1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product and product candidates, including our ongoing pivotal Phase 3 FIREFLY-2 trial of tovorafenib as a potential front-line therapy in pLGG, our post-marketing commitments and requirements for OJEMDA, our Phase 1a/b trial of DAY301 targeting PTK7 and development of and subsequent Investigational New Drug Applications, or INDs, for any future product candidates we may choose to pursue. In October 2023, the U.S. Food and Drug</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0" w:name="page41"/>
    <w:bookmarkEnd w:id="40"/>
    <w:p>
      <w:pPr>
        <w:spacing w:after="0" w:line="8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Administration, or FDA, accepted our New Drug Applications, or NDAs, and granted priority review for OJEMDA as a monotherapy in relapsed or refractory pLGG. On April 23, 2024, the FDA approved the NDAs for OJEMDA for use in the treatment of patients 6 months of age and older with relapsed or refractory pLGG harboring a BRAF fusion or rearrangement, or BRAF V600 mutation. We will incur significant sales, marketing and outsourced manufacturing expenses in connection with the commercialization of OJEMDA, or our product candidates, including DAY301 and VRK1, if marketing authorization is received. We have also incurred, and will continue to incur, additional costs associated with operating as a public company.</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28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success is highly dependent on our ability to timely complete successful clinical trials, obtain marketing authorization for, and then successfully commercialize, OJEMDA and our product candidates. OJEMDA is our only drug that has been approved for sale and it has only been approved for the treatment of patients 6 months of age and older with relapsed or refractory pLGG harboring a BRAF fusion or rearrangement, or BRAF V600 mutation. Prior to OJEMDA, we have not, as an organization, launched or commercialized a product, and there is no guarantee that we will be able to do so successfully with OJEMDA. There are numerous examples of unsuccessful product launches and failures to meet high expectations of market potential. We are focusing a significant portion of our activities and resources on OJEMDA, and we believe our near-term revenues are highly dependent on, and a meaningful portion of the value of our company relates to, our ability to successfully commercialize OJEMDA in the United States. If the launch or commercialization of OJEMDA is unsuccessful or perceived as disappointing, our stock price could decline significantly and the long-term success of the product and our company could be harmed.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OJEMDA will depend on several factors, including the following:</w:t>
      </w:r>
    </w:p>
    <w:p>
      <w:pPr>
        <w:spacing w:after="0" w:line="117" w:lineRule="exact"/>
        <w:rPr>
          <w:sz w:val="20"/>
          <w:szCs w:val="20"/>
          <w:color w:val="auto"/>
        </w:rPr>
      </w:pPr>
    </w:p>
    <w:p>
      <w:pPr>
        <w:ind w:left="520" w:right="54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OJEMDA and ensuring a resilient, effective supply chain that produces supply that outpaces demand;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marketing, pricing and reimbursement strategies, as well as adequate demand forecasts for supply and sales planning;</w:t>
      </w:r>
    </w:p>
    <w:p>
      <w:pPr>
        <w:spacing w:after="0" w:line="117" w:lineRule="exact"/>
        <w:rPr>
          <w:rFonts w:ascii="Times New Roman" w:cs="Times New Roman" w:eastAsia="Times New Roman" w:hAnsi="Times New Roman"/>
          <w:sz w:val="18"/>
          <w:szCs w:val="18"/>
          <w:color w:val="auto"/>
        </w:rPr>
      </w:pPr>
    </w:p>
    <w:p>
      <w:pPr>
        <w:ind w:left="520" w:right="360" w:hanging="512"/>
        <w:spacing w:after="0" w:line="312" w:lineRule="auto"/>
        <w:tabs>
          <w:tab w:leader="none" w:pos="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sales, marketing and distribution capabilities for OJEMDA, whether alone or in collaboration with others in a market where promotional sales approaches are rapidly moving to digital platforms and access of sales representatives to major institutions remains uncertain;</w:t>
      </w:r>
    </w:p>
    <w:p>
      <w:pPr>
        <w:spacing w:after="0" w:line="31" w:lineRule="exact"/>
        <w:rPr>
          <w:rFonts w:ascii="Times New Roman" w:cs="Times New Roman" w:eastAsia="Times New Roman" w:hAnsi="Times New Roman"/>
          <w:sz w:val="17"/>
          <w:szCs w:val="17"/>
          <w:color w:val="auto"/>
        </w:rPr>
      </w:pPr>
    </w:p>
    <w:p>
      <w:pPr>
        <w:ind w:left="520" w:right="1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OJEMDA by patients, physicians, the medical community and third-party payors underpinned by adequate health economic data and a meaningful value proposition;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third-party payor coverage and adequate reimbursement in both public and private payor spaces across multiple countries;</w:t>
      </w:r>
    </w:p>
    <w:p>
      <w:pPr>
        <w:spacing w:after="0" w:line="128"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including those that have not yet entered the market;</w:t>
      </w:r>
    </w:p>
    <w:p>
      <w:pPr>
        <w:spacing w:after="0" w:line="117"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companies in the pharmaceutical and biotechnology industries, which are characterized by rapidly advancing technologies, intense competition and a strong emphasis on proprietary and novel products and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appropriate support from patient advocacy organizations;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ind w:left="520" w:right="5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shaping the market in the early years following launch to help providers understand a new way of thinking about treating relevant patients;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patents will be sufficient to prevent generic competition for OJEMDA after our orphan drug exclusivity expires;</w:t>
      </w:r>
    </w:p>
    <w:p>
      <w:pPr>
        <w:spacing w:after="0" w:line="117" w:lineRule="exact"/>
        <w:rPr>
          <w:rFonts w:ascii="Times New Roman" w:cs="Times New Roman" w:eastAsia="Times New Roman" w:hAnsi="Times New Roman"/>
          <w:sz w:val="18"/>
          <w:szCs w:val="18"/>
          <w:color w:val="auto"/>
        </w:rPr>
      </w:pPr>
    </w:p>
    <w:p>
      <w:pPr>
        <w:ind w:left="520" w:right="76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any required or committed post-marketing studies and available funding to perform any such post-marketing requirements or post-marketing commitments;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Many of these factors are beyond our control, and if we cannot address any of them in a timely manner or at all, we could experience significant delays or an inability to successfully commercialize OJEMDA and our product candidates, which would materially harm our business.</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several objectives relating to the development and commercialization of OJEMDA and our product candidates.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depends entirely on the successful commercialization of OJEMDA and development of our product candidates. We are early in our development efforts for other indications, and our product tovorafenib is currently in a pivotal Phase 3 clinical trial as a potential front-line therapy in pLGG. Our product candidates, DAY301 and VRK1, are in earlier stages of development and are not approved for sale in any jurisdiction. There can be no assurance that tovorafenib, DAY301, VRK1 or any future product candidates we develop, if any, will achieve success in their ongoing clinical trials or obtain marketing authorization.</w:t>
      </w:r>
    </w:p>
    <w:p>
      <w:pPr>
        <w:spacing w:after="0" w:line="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ability to generate future revenue at the levels or timing we expect and achieve profitability depends on several factors, including, but not limited to, our ability to:</w:t>
      </w:r>
    </w:p>
    <w:p>
      <w:pPr>
        <w:spacing w:after="0" w:line="54"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and sell OJEMDA while maintaining full compliance with applicable federal and state laws, rules and regulations;</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successful pivotal Phase 3 FIREFLY-2 trial with tovorafenib that achieves a competitive, clinically meaningful and generally well-tolerated target product profile for the front-line treatment of pLGG;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successful Phase 1a/b trial of DAY301;</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and other studies required to support Ipsen to obtain foreign marketing authorization for OJEMDA as a treatment for patients with pLGGs;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additional, successful late-stage clinical trials that meet their clinical endpoints;</w:t>
      </w:r>
    </w:p>
    <w:p>
      <w:pPr>
        <w:spacing w:after="0" w:line="117" w:lineRule="exact"/>
        <w:rPr>
          <w:rFonts w:ascii="Times New Roman" w:cs="Times New Roman" w:eastAsia="Times New Roman" w:hAnsi="Times New Roman"/>
          <w:sz w:val="18"/>
          <w:szCs w:val="18"/>
          <w:color w:val="auto"/>
        </w:rPr>
      </w:pPr>
    </w:p>
    <w:p>
      <w:pPr>
        <w:ind w:left="520" w:right="7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favorable results from our clinical trials and apply for and obtain marketing authorizations for DAY301 and VRK1 from applicable regulatory authorities, including NDAs from the FDA, and maintaining such approvals;</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licenses, collaborations or strategic partnerships that allow for the commercialization of OJEMDA and our product candidates and/or may increase the value of our programs;</w:t>
      </w:r>
    </w:p>
    <w:p>
      <w:pPr>
        <w:spacing w:after="0" w:line="53" w:lineRule="exact"/>
        <w:rPr>
          <w:rFonts w:ascii="Times New Roman" w:cs="Times New Roman" w:eastAsia="Times New Roman" w:hAnsi="Times New Roman"/>
          <w:sz w:val="18"/>
          <w:szCs w:val="18"/>
          <w:color w:val="auto"/>
        </w:rPr>
      </w:pPr>
    </w:p>
    <w:p>
      <w:pPr>
        <w:ind w:left="520" w:right="78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OJEMDA, DAY301, VRK1 and any future product candidates we may develop, if approved, by building and maintaining a sales force and/or entering into collaborations with third parties;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any post-marketing requirements imposed by, or post-marketing commitments made to, applicable regulatory authorities;</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an acceptable safety profile of our product and our product candidates, including DAY301 and VRK1, and continue to maintain a continued acceptable safety profile following marketing authorization, if any;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assess and develop new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patent and trade secret protection, statutory exclusivities and other intellectual property protections for our products;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86"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defend our intellectual property portfolio, including any necessary licenses from third parties;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therapies and technological and market developments;</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including DAY301 and VRK1, if approved, with patients, the medical community and third-party payors, both in the United States and internationally;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 and management.</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products that generate significant revenue. This will require us to be successful in a range of challenging activities, including completing clinical trials for OJEMDA and our product candidates, acquiring additional product candidates, establishing arrangements with third parties for the manufacture of clinical supplies of our product candidates, obtaining marketing authorization for our product candidates, obtaining and retaining patents, trade secrets, statutory exclusivities, and other intellectual property protections and marketing and selling products for which we may obtain marketing authorization, if any. We are in the early stages of most of these activities. We may never succeed in these activities and, even if we do, may never generate revenues that are significant enough to achieve profitability.</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cases where we are successful in obtaining marketing authorizations to market one or more of our product candidates, our revenue will be dependent, in part, upon the size of the markets in the territories for which we gain marketing authorizations, the pricing for the product, the duration of treatment with our product, the adoption of our product in treatment guidelines and by prescribers, the ability to obtain coverage and reimbursement and whether we own the commercial rights for that territory. If the number of our addressable patients is not as significant as we estimate, the approved indication is narrower than expected or the treatment population is narrowed by competition, physician choice, payor decisions or treatment guidelines, we may not generate significant revenue from sales of such products, even if approved.</w:t>
      </w:r>
    </w:p>
    <w:p>
      <w:pPr>
        <w:spacing w:after="0" w:line="7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If we decide to, or are required by the FDA or regulatory authorities in other jurisdictions to, perform studies or clinical trials in addition to those currently expected, or to modify ongoing or planned clinical trials,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w:t>
      </w:r>
    </w:p>
    <w:p>
      <w:pPr>
        <w:spacing w:after="0" w:line="7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commercialize our product, OJEMDA, and advance product candidates, DAY301 and VRK1, and any future product candidates through clinical development. We expect increased expenses as we continue our research and development, initiate additional clinical trials, seek to expand our product pipeline, seek marketing authorization for our programs and future product candidates, if any, and invest in our organization. In addition, we expect to incur significant expenses related to the product manufacturing, marketing, sales and distribution of OJEMDA and, if we obtain marketing authorization, for our product candidates including DAY301 and VRK1.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additional funding in connection with our continuing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had $531.7 million in cash, cash equivalents and short-term investments as of December 31, 2024. Based on our cash, cash equivalents and short-term investments, as of December 31, 2024, we estimate that our current liquidity will be sufficient to satisfy our capital requirements at least twelve months after the date that this Annual Report is filed.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79"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results of preclinical studies and clinical trials for our current or any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pipeline product candidates or technologies;</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current or future product candidates that we may pursue, and other indications for our current product candidates that we may pursue;</w:t>
      </w:r>
    </w:p>
    <w:p>
      <w:pPr>
        <w:spacing w:after="0" w:line="53"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obtaining marketing authorization for our current or future product candidates or the modification of ongoing or planned clinical trials;</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development of and marketing authorization for any complementary or companion diagnostics that may be useful to or necessary for the commercialization of OJEMDA and our product candidates;</w:t>
      </w:r>
    </w:p>
    <w:p>
      <w:pPr>
        <w:spacing w:after="0" w:line="53"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53"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pursue strategic collaborations, including collaborations to commercialize OJEMDA, DAY301, VRK1 or any of our future pipeline products and product candidates, if any, our ability to establish and maintain collaborations on favorable terms, if at all, as well as the timing and amount of any milestone or royalty payments we are required to make or are eligible to receive under such collaborations or our current licenses;</w:t>
      </w:r>
    </w:p>
    <w:p>
      <w:pPr>
        <w:spacing w:after="0" w:line="67"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any approved products and product candidates, including establishing sales, marketing, market access and distribution capabilities;</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completing any post-marketing studies or trials requested or required by the FDA or other regulatory authorities, including for OJEMDA;</w:t>
      </w:r>
    </w:p>
    <w:p>
      <w:pPr>
        <w:spacing w:after="0" w:line="53"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OJEMDA, DAY301, VRK1 or any of our future product candidates, if approved, or any other future pipeline product candidates that receive marketing authorization;</w:t>
      </w:r>
    </w:p>
    <w:p>
      <w:pPr>
        <w:spacing w:after="0" w:line="53" w:lineRule="exact"/>
        <w:rPr>
          <w:rFonts w:ascii="Times New Roman" w:cs="Times New Roman" w:eastAsia="Times New Roman" w:hAnsi="Times New Roman"/>
          <w:sz w:val="18"/>
          <w:szCs w:val="18"/>
          <w:color w:val="auto"/>
        </w:rPr>
      </w:pPr>
    </w:p>
    <w:p>
      <w:pPr>
        <w:ind w:left="520" w:right="760" w:hanging="512"/>
        <w:spacing w:after="0" w:line="312" w:lineRule="auto"/>
        <w:tabs>
          <w:tab w:leader="none" w:pos="5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spacing w:after="0" w:line="31" w:lineRule="exact"/>
        <w:rPr>
          <w:rFonts w:ascii="Times New Roman" w:cs="Times New Roman" w:eastAsia="Times New Roman" w:hAnsi="Times New Roman"/>
          <w:sz w:val="17"/>
          <w:szCs w:val="17"/>
          <w:color w:val="auto"/>
        </w:rPr>
      </w:pPr>
    </w:p>
    <w:p>
      <w:pPr>
        <w:ind w:left="520" w:right="36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w:t>
      </w:r>
    </w:p>
    <w:p>
      <w:pPr>
        <w:spacing w:after="0" w:line="5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We may require additional capital to complete our planned clinical development programs for our current product candidates to obtain marketing authorization, and we anticipate needing to raise additional capital to complete the development of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products and product candidates or we may be unable to take advantage of future business opportunities. Furthermore, any additional capital-raising efforts may divert our team’s attention from their day-to-day activities, which may adversely affect our business, including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8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may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December 31, 2024. To the extent that we raise additional capital through the sale of equity or convertible debt securities, including pursuant to the ATM,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inflation, changes in interest rates, significant political, trade or regulatory developments, global regional conflicts, public health epidemics or otherwise.</w:t>
      </w:r>
    </w:p>
    <w:p>
      <w:pPr>
        <w:spacing w:after="0" w:line="7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 of OJEMDA and our Product Candidates</w:t>
      </w:r>
    </w:p>
    <w:p>
      <w:pPr>
        <w:spacing w:after="0" w:line="11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and not all of our product candidates will receive marketing authorization. If we fail to demonstrate the safety and effectiveness of our product candidates, our reputation may be harmed and our business will suffer.</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risk of failure for our product candidates is high. It is impossible to predict when or if our product candidates will prove effective or safe in humans or if our product candidates will receive marketing authorization. To obtain the requisite marketing authorizations to market and sell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results of preclinical studies and earlier clinical trials may not be predictive of the results of later-stage preclinical studies or clinical trials. We have limited clinical data for our product candidates. Products and product candidates in later stages of clinical trials may fail to show similar or desired safety and efficacy traits despite having progressed through preclinical and earlier stage clinical trials.</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or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we fail to produce positive results in our planned clinical trials of any of our product candidates, the development timeline and marketing authorization and commercialization prospects for our product candidates, and, correspondingly, our business and financial prospects, would be materially and adversely affected.</w:t>
      </w:r>
    </w:p>
    <w:p>
      <w:pPr>
        <w:spacing w:after="0" w:line="2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OJEMDA has only been studied in a limited number of patients. Following commercial launch, OJEMDA is now available to a much larger number of patients, and we do not know whether the results of OJEMDA’s use in such larger number of patients will be consistent with the results from our clinical studies.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OJEMDA has been administered only to a limited number of patients in clinical studies. While the FDA granted accelerated approval of OJEMDA based on the data included in the NDAs, we do not know whether the real world safety and effectiveness of the product will be consistent with the safety and effectiveness profile seen in the clinical studies. New data relating to OJEMDA, including from adverse events reports and our post-marketing commitments in the United States, and from other ongoing clinical studies, may result in changes to the product label and may adversely affect sales, or result in withdrawal of OJEMDA from the market. If any of these actions were to occur, it could result in significant expense and delay and/or limit our ability to generate future sales revenues in line with our expectations.</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data from investigator-initiated studies, as we did for the Phase 1 clinical trial, and we do not control the trial operations or reporting of the results of such trials.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From time to time, we may rely on certain clinical data from investigator-sponsored clinical studies, and we do not control the trial operations or reporting of the results of such trials. This was the case for the initial Phase 1 study for our product, OJEMDA, which was run as an investigator-initiated, multi-center trial in patients with relapsed or refractory pLGG that is being conducted by the Dana Farber Cancer Institute in collaboration with the Pacific Pediatric Neuro-Oncology Consortium, or PNOC. The last data reported from that trial was in January 2023. It is possible that additional data, when reported, will not demonstrate similar results. We have no control over the timing of such clinical data announcements. Our pivotal Phase 2 FIREFLY-1 trial OJEMDA is a Day One-sponsored trial. In addition,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authorization for their product candidates.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authorization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authorization of our product candidates. While investigator-sponsored trials could be useful to inform our own clinical development efforts, we do not control the data or timing of data releases for investigator-sponsored trials, and there is no guarantee that we will be able to use the data from these trials to form the basis for marketing authorization of our product candidates.</w:t>
      </w:r>
    </w:p>
    <w:p>
      <w:pPr>
        <w:spacing w:after="0" w:line="29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compassionate use programs could subject us to additional risks, including delays in our clinical trial programs, impacts to our supply capabilities, or adverse publicity.</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Some patients receive access to investigational drugs outside of clinical trials through compassionate use programs, which refer to expanded access or right to try programs. These patients generally have life-threatening illnesses for which there are no alternative therapies or they have exhausted all other available treatment options. There are a number of risks that we may face as a result of our compassionate use programs. For example, the risk for serious adverse events in this patient population is high, which, if those adverse events are determined to be drug-related, could have a negative impact on the safety profile of our drug candidates and/or cause significant regulatory delays, result in an inability to obtain regulatory approvals or successfully commercialize our drug candidates and/or materially harm our business. Additionally, if we were to provide patients with any of our drug candidates under a compassionate use program, our supply capabilities may limit the number of patients who are able to enroll in the program. It also may become challenging to enroll patients in randomized trials if product candidates are being supplied to patients under expanded access programs. These factors may result in the need to restructure or pause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compassionate use program in order to enroll sufficient numbers of patients in our clinical trials required for marketing authorization and successful commercialization of our drug candidates. If we were to restructure or pause our compassionate use programs, we could face adverse publicity or disruptions related to current or potential participants in our programs.</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be suspended, delayed or fail to adequately demonstrate the safety and effectiveness of OJEMDA and our product candidates, which would prevent or delay development, marketing authorization and commercialization.</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Before obtaining marketing authorization from the FDA or comparable foreign regulatory authorities for the sale of OJEMDA and our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for any number of reasons, and, because our product candidates are in earlier stages of development, there is a high risk of failure and we may never succeed in developing marketable products.</w:t>
      </w:r>
    </w:p>
    <w:p>
      <w:pPr>
        <w:spacing w:after="0" w:line="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may experience numerous challenges and unforeseen events during, or as a result of, clinical trials that could delay or prevent receipt of marketing authorization or our ability to successfully commercialize OJEMDA or our product candidates, including:</w:t>
      </w:r>
    </w:p>
    <w:p>
      <w:pPr>
        <w:spacing w:after="0" w:line="54"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regulators refusing to permit our clinical studies to proceed or placing studies on hold before or after the studies begin;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demonstrate that the dose for a product candidate has been optimized;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in clinical trials to demonstrate important functional, quality, or patient-reported outcomes;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 causing clinical trial enrollment challenges or preventing or delaying marketing authorization in one or several subsets studied in our programs, including in relapsed or front-line pLGG;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requires us to modify the design of our clinical trials;</w:t>
      </w:r>
    </w:p>
    <w:p>
      <w:pPr>
        <w:spacing w:after="0" w:line="117"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clinical trial results that may require us to conduct additional clinical trials or abandon certain research and/or drug development programs;</w:t>
      </w:r>
    </w:p>
    <w:p>
      <w:pPr>
        <w:spacing w:after="0" w:line="53"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in our preclinical studies or clinical trials;</w:t>
      </w:r>
    </w:p>
    <w:p>
      <w:pPr>
        <w:spacing w:after="0" w:line="117"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including Good Clinical Practice, or GCP, regulations,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anticipated;</w:t>
      </w:r>
    </w:p>
    <w:p>
      <w:pPr>
        <w:spacing w:after="0" w:line="11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being insufficient or inadequate;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clinical trials to demonstrate the safety or effectiveness of our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revising the requirements for approving our product candidates;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would require us to include data from additional patients or longer term efficacy and safety data.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also face unanticipated regulatory hurdles in our drug development program that may require additional data generation or delay our existing or planned trials and the timing of applications for marketing authorization. For instance, we may make formulation or manufacturing changes to our product candidates, in which case we may need to conduct additional preclinical studies to bridge our modified product candidates to earlier versions. Additionally, the FDA may determine that it has questions or concerns about our trials and may not permit our proposed clinical studies to move forward by imposing a partial or full clinical hold.</w:t>
      </w:r>
    </w:p>
    <w:p>
      <w:pPr>
        <w:spacing w:after="0" w:line="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Further, we, the FDA or an institutional review board, or IRB, may suspend our clinical trials at any time if it appears that we or our collaborators are failing to conduct a trial in accordance with regulatory requirements, including GCP regulations, that we are exposing participants to unacceptable health risks or if the FDA finds deficiencies in our INDs or the conduct of these trials. Therefore, we cannot predict with any certainty the schedule for commencement and completion of future clinical trials.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also conduct clinical trials in foreign countries, which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Further, data from trials conducted outside of the United States may be subject to additional scrutiny by the FDA, which may require that additional U.S. data be generated.</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some of our product candidates are targeted towards the pediatric population, we may face additional hurdles and be subjected to greater scrutiny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marketing authorizations for any drug product candidate.</w:t>
      </w:r>
    </w:p>
    <w:p>
      <w:pPr>
        <w:spacing w:after="0" w:line="29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outcome of our clinical trials, nor can we guarantee that the data we generate from our clinical trials will be acceptable to regulatory authorities so as to support marketing authorization.</w:t>
      </w:r>
    </w:p>
    <w:p>
      <w:pPr>
        <w:spacing w:after="0" w:line="5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outcome of clinical trials is uncertain, and, because our product candidates are in earlier stages of development, there is a significant risk of failure. If we complete our clinical trials but the results of our clinical trials are inconclusive or only modestly positive, if there are safety concerns or serious adverse events associated with our product candidates or if our clinical trials are delayed or require unplanned changes, we may:</w:t>
      </w:r>
    </w:p>
    <w:p>
      <w:pPr>
        <w:spacing w:after="0" w:line="68"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drug development and/or commercialization costs;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unable to obtain marketing authorization;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may have contraindications, limitations of use or other restrictions that affect the market for the product;</w:t>
      </w:r>
    </w:p>
    <w:p>
      <w:pPr>
        <w:spacing w:after="0" w:line="53"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authorization with labeling that includes safety warnings, a risk evaluation and mitigation strategy, or REMS, and/or other restrictions on distribution or use that could affect market access;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commitments;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post-marketing safety labeling changes or a REMS;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civil or criminal investigations and litigation;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8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has affected the conduct or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authorization of one or more of our product candidates.</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our ongoing or planned clinical trials, we may be delayed in or prevented from obtaining necessary marketing authorization for any or all of our product candidates.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OJEMDA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marketing authorization or (iii) whether each specific BRAF mutation targeted will be included in the approved drug labeling. If our strategies for patient identification and enrollment prove unsuccessful, we may have difficulty enrolling or maintaining patients appropriate for our product candidates. Patient enrollment is also affected by other factors, including:</w:t>
      </w:r>
    </w:p>
    <w:p>
      <w:pPr>
        <w:spacing w:after="0" w:line="81"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of appropriate competencies and experience;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of our target indications;</w:t>
      </w:r>
    </w:p>
    <w:p>
      <w:pPr>
        <w:spacing w:after="0" w:line="117"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capacity of clinical researchers to conduct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expertise and selection of contract research organizations, or CROs, to manage operations related to clinical trial enrollment;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studies or trials with similar eligibility criteria;</w:t>
      </w:r>
    </w:p>
    <w:p>
      <w:pPr>
        <w:spacing w:after="0" w:line="11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invasive procedures that may be required to enroll patients and to obtain evidence of the product candidate’s performance during the clinical trial;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shortages of chemotherapy standard of care, which may be used in the control arm of certain of our clinical trials, including FIREFLY-2;</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defined in the protocol for the trial in question;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subject to a partial or full clinical hold on any of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physicians or patient advocacy organizations to encourage patient participation in clinical trials;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9" w:name="page50"/>
    <w:bookmarkEnd w:id="49"/>
    <w:p>
      <w:pPr>
        <w:spacing w:after="0" w:line="86"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Further,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Moreover, if any of our competitors receive FDA approval for a product, it may limit our ability to enroll patients in our clinical trials if they decide to seek treatment with an approved product. For example, in March 2023, Novartis received approval for dabrafenib in combination with trametinib, which could in the future limit our ability to enroll patients in clinical trials for OJEMDA.</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inability to enroll and maintain a sufficient number of patients for our clinical trials would result in significant delays or may require us to abandon one or more clinical trials or clinical programs altogether. There may be competing trials, as well as the limited bandwidth of pediatric oncology institutions for running trials, which can lead to the prioritization of certain trials, resulting in delays in our clinical trials. In addition, because our product candidates are initially targeted to pediatric populations, we may face additional challenges. For example, parents may be reluctant to enroll their children in our clinical trials or may decide to withdraw their children from our clinical trials to pursue other therapies.</w:t>
      </w:r>
    </w:p>
    <w:p>
      <w:pPr>
        <w:spacing w:after="0" w:line="28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Initial or topline data also remain subject to audit and verification procedures that may result in the final data being materially different from the preliminary data we previously published.</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For example, our FIREFLY-1 clinical trial was designed to use the Response Assessment for Neuro-Oncology – High Grade Glioma, or RANO-HGG, to measure the primary endpoint of overall response rate, or ORR, in alignment with the FDA, with ORR using Response Assessment for Pediatric Neuro-Oncology – Low-Grade Glioma, or RAPNO-LGG, as a secondary endpoint. Following discussions with the FDA and the March 2023 approval of dabrafenib, in combination with trametinib in BRAF V600E pLGG, we initially structured the primary endpoint in our FIREFLY-2/LOGGIC trial to be assessed using the Response Assessment for Neuro-Oncology Low-Grade Glioma, or RANO-LGG, and have included RANO-LGG as an exploratory endpoint in FIREFLY-1. Following further feedback from the FDA during review of the NDAs for OJEMDA, in June 2024 we updated the structure of the primary endpoint in our FIREFLY-2/LOGGIC trial to be assessed using the Response Assessment in Pediatric Neuro-Oncology Low-Grade Glioma, or RAPNO-LGG, criteria.</w:t>
      </w:r>
    </w:p>
    <w:p>
      <w:pPr>
        <w:spacing w:after="0" w:line="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8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approval for, and commercialize, our product candidates may be harmed, which could harm our business, operating results, prospects or financial condition.</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products or product candidates that we successfully develop and commercialize, including OJEMDA, may compete with existing therapies and new therapies that may become available in the future. We believe that a significant number of competing product candidates are currently under development, and may become commercially available in the future, for the treatment of conditions for which we are developing, or may in the future develop, product candidates. In addition, our product candidates may need to compete with drugs that are prescribed off-label to treat the indications for which we seek approval. This may make it difficult for us to replace existing therapies with our product candidates.</w:t>
      </w:r>
    </w:p>
    <w:p>
      <w:pPr>
        <w:spacing w:after="0" w:line="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also compete with these organizations to recruit and retain qualified scientific, management and sales and commercial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spacing w:after="0" w:line="6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Genentech; dabrafenib, marketed as Tafinlar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Novartis; and encorafenib, marketed as Braftovi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Pfizer. Dabrafenib,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of the greater RAF-altered pLGG clinical scope of the OJEMDA development program. We believe that current data indicates that the BRAF V600E subset represents 10%-20% of BRAF-altered pLGG, but additional epidemiologic data may emerge as more patients are profiled. Further, dabrafenib, in combination with trametinib, was granted full approval in the BRAF V600E pLGG indication in March 2023 to include the treatment of pediatric patients 1 year of age and older with low-grade glioma, or LGG, with a BRAF V600E mutation who require initial systemic therapy.</w:t>
      </w:r>
    </w:p>
    <w:p>
      <w:pPr>
        <w:spacing w:after="0" w:line="8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Five MEK inhibitors have been approved by the FDA. Three have been approved for the treatment of tumors containing BRAF V600E or V600K mutations, including cobimetinib, marketed as Cotellic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Genentech; trametinib, marketed as Mekinist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Novartis; and binimetinib, marketed as Mektovi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by Pfizer. Two have been approved for the treatment of pediatric patients, 2 years of age and older, with neurofibromatosis type 1, or NF1, who have symptomatic plexiform neurofibromas not amenable to complete resection, including selumetinib, marketed as Koselugo® by AstraZeneca and mirdametinib, marketed as Gomekli® by SpringWorks. While MEK inhibitors as monotherapy have been shown to be active in BRAF altered pLGG (both BRAF V600E mutant pLGG and BRAF fusion-driven pLGG), no MEK inhibitors have been approved by the FDA as a monotherapy for the treatment of patients with pLGG.</w:t>
      </w:r>
    </w:p>
    <w:p>
      <w:pPr>
        <w:spacing w:after="0" w:line="8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There are a number of next-generation BRAF inhibitors in clinical development. BeiGene has two next-generation BRAF programs: Lifirafenib (BGB-283), which is currently in a Phase 1/2 trial in combination with mirdametinib, and BGB-3245 which is currently in a single agent in Phase 1 dose escalation study as well as in combination studies with mirdametinib and panitumumab. Fore Biotherapeutics (formerly NovellusDx) is developing the RAF dimer breaker plixorafenib (formerly FORE8394 or PLX-8394) in a Phase 2 trial in combination with cobicistat in patients with cancers harboring BRAF alterations. Black Diamond Therapeutics have the next-generation BRAF inhibitor BDTX-4933 in Phase 1 clinical trials in adult solid tumors (KRAS-mutant NSCLC and solid tumors with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RAF/RAS-mutations). Jazz Pharmaceuticals and Redx have announced that the pan-RAF inhibitor JZP815 has entered clinical development in a Phase 1 trial. Erasca recently announced that it has entered into an exclusive worldwide license agreement with Novartis for naporafenib, a pan-RAF inhibitor with a potential first-in-class and best-in-class profile in NRAS mutant melanoma and other RAS/MAPK pathway-driven tumors. Naporafenib, in combination with trametinib, is being studied in a Phase 3 clinical trial in patients with NRAS-mutant melanoma. Nested Therapeutics has advanced NST-628, a pan-RAF/MEK “molecular glue” into a Phase 1 clinical trial. Pfizer’s PF-07799933 (ARRY-440) is a brain-penetrant BRAF-selective monomer/dimer inhibitor that spares ARAF and CRAF, that is currently being evaluated in a phase 1 trial in adults with solid tumors.</w:t>
      </w:r>
    </w:p>
    <w:p>
      <w:pPr>
        <w:spacing w:after="0" w:line="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With regard to the treatment of pLGG, some MEK inhibitors, some type I RAF inhibitors, and other targeted therapies have been studied, or are being studied, in academic investigator-initiated clinical trials, and in some regions may be being used in an off-label manner. The off-label use of these agents may represent competition for OJEMDA if it is approved and enters the market.</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the MabCare License Agreement, we have the exclusive right to develop, manufacture and commercialize DAY301, a novel ADC targeting PTK7, worldwide, excluding Greater China. In January 2025, we cleared the first cohort (a single-patient accelerated titration cohort) in the Phase 1a portion of the DAY301 Phase 1a/b clinical trial. There are a few ADCs targeting PTK7 in development. In February 2024, Profound Bio dosed its first patient in a Phase 1/2 Clinical Trial of PRO1107, a PTK7-targetted ADC with an auristatin payload. Profound Bio was acquired by Genmab A/S in May of 2024 and the program was renamed to GEN1107. Eli Lilly and Company anticipates an IND submission in 2025 for LY4175408, a PTK-7 targeted ADC with an exatecan payload.</w:t>
      </w:r>
    </w:p>
    <w:p>
      <w:pPr>
        <w:spacing w:after="0" w:line="7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financial resources, established presence in the market and expertise in research and development, manufacturing, preclinical and clinical testing, obtaining marketing authorizations and reimbursement and marketing approved products than we do.</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Large pharmaceutical and biotechnology companies, in particular, have extensive experience in clinical testing, obtaining marketing authorizations,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w:t>
      </w:r>
    </w:p>
    <w:p>
      <w:pPr>
        <w:spacing w:after="0" w:line="8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with a particular product or product candidate or could make our development more complicated.</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OJEMDA or our product candidates. Even if the product candidates we develop achieve marketing authorization,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future revenue from the sale of the product candidates we may develop, if approved, could be adversely affected.</w:t>
      </w:r>
    </w:p>
    <w:p>
      <w:pPr>
        <w:spacing w:after="0" w:line="29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Safety risks or other side effects associated with OJEMDA, DAY301, VRK1 or any future products and product candidates we may develop could delay or preclude approval, cause us to suspend or discontinue clinical trials or abandon further development, limit the use of an approved product or result in significant negative consequences following marketing authorization, if any.</w:t>
      </w:r>
    </w:p>
    <w:p>
      <w:pPr>
        <w:spacing w:after="0" w:line="6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is the case with pharmaceuticals generally, we have observed side effects and adverse events associated with our product, OJEMDA, and our product candidates. The most common side effects (adverse events) observed to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with OJEMDA included maculopapular rash, anemia, headache, elevation in blood creatinine phosphokinase, or CPK, nausea, skin and hair discoloration and fatigue.</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Results of our ongoing and planned clinical trials could reveal a high and unacceptable severity and prevalence of side effects or unexpected characteristics. These side effects or unexpected characteristics may be subject to regulatory reporting requirements before and/or after approval. Undesirable side effects caused by OJEMDA or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OJEMDA or our product candidates or those of our competitors may only be uncovered with a significantly larger number of patients exposed to the drug.</w:t>
      </w:r>
    </w:p>
    <w:p>
      <w:pPr>
        <w:spacing w:after="0" w:line="7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Additionally, patients treated with OJEMDA and our product candidates have undergone, or may also be undergoing, medical, surgical, radiation and chemotherapy treatments, which can cause side effects or adverse events that are unrelated to OJEMDA or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OJEMDA, DAY301, VRK1 or our other product candidates. If we elect or are required to delay, suspend or terminate any clinical trial, the commercial prospects of OJEMDA and our product candidates will be harmed and our ability to generate product revenues from such product or product candidate will be delayed or eliminated. Serious adverse events, or SAEs, observed in clinical trials could hinder or prevent market acceptance of any approved products or reduce the duration of time that physicians expect to use our product in particular patients. Any of these occurrences may significantly harm our business, prospects, financial condition and results of operations.</w:t>
      </w:r>
    </w:p>
    <w:p>
      <w:pPr>
        <w:spacing w:after="0" w:line="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Moreover, if OJEMDA or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early-stage testing have later been found to cause side effects that prevented further development. In addition, regulatory authorities may draw different conclusions, require additional testing to confirm these determinations, require more restrictive labeling or deny marketing authorization of the product candidate.</w:t>
      </w:r>
    </w:p>
    <w:p>
      <w:pPr>
        <w:spacing w:after="0" w:line="8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It is possible that, as we test OJEMDA or our product candidates in larger, longer and more extensive clinical trials, including with different dosing regimens, or as the use of our product candidates becomes more widespread following any marketing authorization, illnesses, injuries, discomforts and other adverse events that were observed, did not occur or went undetected in earlier trials, will be reported by patients. If such side effects become known later in development or upon approval, if any, such findings may significantly harm our business, financial condition, results of operations and prospects.</w:t>
      </w:r>
    </w:p>
    <w:p>
      <w:pPr>
        <w:spacing w:after="0" w:line="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receive marketing authorization, and we or others later identify undesirable side effects caused by treatment with such drug, a number of potentially significant negative consequences could result, including:</w:t>
      </w:r>
    </w:p>
    <w:p>
      <w:pPr>
        <w:spacing w:after="0" w:line="54"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drug;</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the drug is administered to patients;</w:t>
      </w:r>
    </w:p>
    <w:p>
      <w:pPr>
        <w:spacing w:after="0" w:line="117"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or create a medication guide outlining the risks of such side effects for distribution to patients;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6" w:lineRule="exact"/>
        <w:rPr>
          <w:sz w:val="20"/>
          <w:szCs w:val="20"/>
          <w:color w:val="auto"/>
        </w:rPr>
      </w:pPr>
    </w:p>
    <w:p>
      <w:pPr>
        <w:ind w:left="520" w:right="6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additional restrictions on the marketing or promotion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could become less competitive;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authorization or acceptance of our product candidates, if approved, and could significantly harm our business, financial condition, results of operations and prospects.</w:t>
      </w:r>
    </w:p>
    <w:p>
      <w:pPr>
        <w:spacing w:after="0" w:line="2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or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any products and product candidates we develop, if approved, may be limited to certain smaller patient subsets and may be smaller than we estimate them to be.</w:t>
      </w:r>
    </w:p>
    <w:p>
      <w:pPr>
        <w:spacing w:after="0" w:line="51"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On April 23, 2024, the FDA approved the NDAs for the treatment of patients 6 months of age and older with relapsed or refractory pLGG harboring a BRAF fusion or rearrangement, or BRAF V600 mutation. We have commenced the commercial launch of OJEMDA in the United States. There is no guarantee that OJEMDA or our product candidates will be approved for the front-line setting, and prior to any such approvals we may have to conduct additional clinical trials that may be costly, time-consuming and subject to risk.</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a particular line of therapy and who have the potential to benefit from treatment with OJEMDA and our product candidates, are based on our beliefs and estimates. For example, pLGG is a rare disease, and our projections of both the number of people who have this disease, as well as the subset of people with pLGG who have the potential to benefit from treatment with OJEMDA and our product candidates, are based on estimates. These estimates have been derived from a variety of sources, including scientific literature, surveys of clinics, patient foundations and market research. These estimates may prove to be incorrect. Additionally, new studies or information may change the estimated incidence or prevalence of the cancers that we are targeting, which could affect our eligibility for orphan designation for certain indications. The potentially addressable patient population for OJEMDA and our product candidates may be limited or may not be amenable to treatment with OJEMDA and our product candidates. Consequently, even if our product candidates are approved, the number of patients that may be eligible for treatment with our product candidates may turn out to be much lower than expected. Even if we obtain significant market share for our products, if the potential target populations are small, we may never achieve profitability without obtaining marketing authorization for additional indications, if at all.</w:t>
      </w:r>
    </w:p>
    <w:p>
      <w:pPr>
        <w:spacing w:after="0" w:line="296"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clinical development activities are primarily focused on the development of targeted therapeutics for patients with genomically-defined cancers, which is a rapidly evolving area of science, and the approach we are taking to discover and develop drugs is novel and may never lead to additional approved or marketable products.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discovery and development of targeted therapeutics for patients with genomically-defined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products and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OJEMDA and our product candidates are limited to those with specific target alterations and may not be completely defined but are substantially smaller than the general treated cancer population. In some cases, the target patient populations may not be completely defined. We will need to screen and identify appropriate patients with the targeted alterations. Successful identification of patients is dependent on several factors, including achieving certainty as to how specific alterations respond to OJEMDA and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successfully commercialize OJEMDA and our product candidates and achieve profitability. In addition, even if our approach is successful in showing clinical benefit for RAF-driven cancers for our OJEMDA program, we may never successfully identify additional oncogenic alterations sensitive to OJEMDA in other MAPK-driven tumors. Therefore, we do not know if our approach of treating patients with genomically-defined cancers will be successful, and if our approach is unsuccessful, our business will suffer.</w:t>
      </w:r>
    </w:p>
    <w:p>
      <w:pPr>
        <w:spacing w:after="0" w:line="30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OJEMDA and our product candidates, including DAY301 and VRK1, may not achieve adequate market acceptance among physicians, healthcare professionals, patients or their families, healthcare payors and others in the medical community necessary for commercial success.</w:t>
      </w:r>
    </w:p>
    <w:p>
      <w:pPr>
        <w:spacing w:after="0" w:line="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product, OJEMDA, and product candidates, including DAY301 and VRK1, if approved, may not achieve adequate market acceptance among physicians, healthcare professionals, patients or their families, healthcare payors and others in the medical community necessary for commercial success. The degree of market acceptance of any of our approved product candidates will depend on a number of factors, including:</w:t>
      </w:r>
    </w:p>
    <w:p>
      <w:pPr>
        <w:spacing w:after="0" w:line="68" w:lineRule="exact"/>
        <w:rPr>
          <w:sz w:val="20"/>
          <w:szCs w:val="20"/>
          <w:color w:val="auto"/>
        </w:rPr>
      </w:pPr>
    </w:p>
    <w:p>
      <w:pPr>
        <w:ind w:left="520" w:right="18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durability and safety profile as demonstrated in clinical trials compared to alternative treatments, in addition to functional, quality or patient-reported outcomes;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and of any competitive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product candidates in the labeling approved by regulatory authorities, such as boxed warnings or contraindications in labeling, or REMS,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OJEMDA and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the cost/benefit ratios of each;</w:t>
      </w:r>
    </w:p>
    <w:p>
      <w:pPr>
        <w:spacing w:after="0" w:line="11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government authorities, and timing of relevant formulary decision-making resulting in this coverage and reimbursement;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 relation to competition;</w:t>
      </w:r>
    </w:p>
    <w:p>
      <w:pPr>
        <w:spacing w:after="0" w:line="11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(which may include willingness of our pediatric patients’ parents) to try new therapies and undergo required diagnostic screening to determine treatment eligibility and of physicians to prescribe these therapies and diagnostic tests;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 market access;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our product candidates are approved but do not achieve an adequate level of acceptance by physicians, hospitals, healthcare payors and patients, we may not generate or derive sufficient revenue from that product candidate and our</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5" w:name="page56"/>
    <w:bookmarkEnd w:id="55"/>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financial results could be negatively impacted. With respect to OJEMDA specifically, successful commercialization will depend on negotiations with, and coverage, reimbursement, selection and/or acquisition decisions by, third-party payors, which we cannot predict. These decisions in turn may depend on value assessments conducted by various entities (e.g., formulary committees, such as pharmacy and therapeutics committees, healthcare systems and pharmacies, among others) that consider various factors (including the price of OJEMDA)—the outcomes of which we cannot predict.</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products and product candidates we develop may become subject to unfavorable third-party coverage and reimbursement practices, as well as price restrictions.</w:t>
      </w:r>
    </w:p>
    <w:p>
      <w:pPr>
        <w:spacing w:after="0" w:line="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products, including OJEMDA, and our product candidates, including DAY301 and VRK1, should it receive marketing authorization, will depend substantially, both in the United States and internationally, on the extent to which the costs of such products and product candidates will be covered and reimbursed by third-party payors, as patients who are prescribed medicine for the treatment of their condition generally rely on third-party payors to reimburse all or part of the costs associated with their prescription drugs. Further, coverage and adequate reimbursement from governmental healthcare programs, such as Medicare and Medicaid, and commercial payors is critical to new product acceptance. If reimbursement is not available, or is available only to limited levels, we may not be able to successfully commercialize OJEMDA and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or product candidate for which we obtain marketing authorization.</w:t>
      </w:r>
    </w:p>
    <w:p>
      <w:pPr>
        <w:spacing w:after="0" w:line="84" w:lineRule="exact"/>
        <w:rPr>
          <w:sz w:val="20"/>
          <w:szCs w:val="20"/>
          <w:color w:val="auto"/>
        </w:rPr>
      </w:pPr>
    </w:p>
    <w:p>
      <w:pPr>
        <w:ind w:right="100" w:firstLine="4"/>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particularly pediatric products. The payor mix for pediatric products in the United States is a fragmented combination of state-specific Medicaid policies and a broad universe of private insurance companies. There is no consistent policy or leading payor to inform other price-setting entities. Public and private payor policies are expected to be critical to our ability to achieve broad payment coverage. Further, to the extent one or more of our products obtain coverage by one third-party payor, that does not assure that other payors will also provide coverage for the product.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generally challenging the prices for medical products, including by examining the medical necessity and reviewing the cost effectiveness of medical product candidates. There may be especially significant delays in obtaining coverage and reimbursement for newly approved drugs. Third-party payors may limit coverage to specific products on an approved list, known as a formulary, which might not include all FDA-approved drugs for a particular indication. We plan to conduct pharmaco-economic studies to demonstrate the medical necessity and cost-effectiveness of our products, which may be costly. Nonetheless, our products and product candidates may not be considered medically necessary or cost-effective. Moreover, third-party payor coverage decisions may depend upon clinical and economic standards that disfavor new drug products when more established or lower cost therapeutic alternatives are already available or subsequently become available. We cannot be sure that coverage and reimbursement will be available for any product that we commercialize and, if reimbursement is available, what the level of reimbursement will be.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complementary and companion diagnostic tests require coverage and reimbursement separate and apart from the coverage and reimbursement for related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Outside the United States, the commercialization of therapeutics is generally subject to extensive governmental price controls and other market regulations.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medicinal product prices are subject to varying price control mechanisms as part of national health systems. In these countries, pricing negotiations with governmental authorities can take considerable time after a product receives marketing authorization.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8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Coverage policies and third-party payor reimbursement rates may change at any time. Even if favorable coverage and reimbursement status is attained for one or more products for which we receive marketing authorization, less favorable coverage policies and reimbursement rates may be implemented in the future.</w:t>
      </w:r>
    </w:p>
    <w:p>
      <w:pPr>
        <w:spacing w:after="0" w:line="68" w:lineRule="exact"/>
        <w:rPr>
          <w:sz w:val="20"/>
          <w:szCs w:val="20"/>
          <w:color w:val="auto"/>
        </w:rPr>
      </w:pPr>
    </w:p>
    <w:p>
      <w:pPr>
        <w:ind w:right="80" w:firstLine="4"/>
        <w:spacing w:after="0" w:line="282"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products from third-party payors, the adoption of those products and sales revenue will be adversely affected, which, in turn, could adversely affect the ability to market or sell those product, if approved.</w:t>
      </w:r>
    </w:p>
    <w:p>
      <w:pPr>
        <w:spacing w:after="0" w:line="2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commercialization of OJEMDA and any future products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The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pharmaceutical products are subject to extensive regulation, and we may not obtain marketing authorizations for DAY301, VRK1 or any future product candidates, on a timely basis or at all.</w:t>
      </w:r>
    </w:p>
    <w:p>
      <w:pPr>
        <w:spacing w:after="0" w:line="5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OJEMDA, DAY301 and VRK1,</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8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currently our only product and product candidates in planned or ongoing clinical trials, as well as any other product candidate that we may develop in the future, are subject to extensive regulation. Marketing authorization of drugs in the United States requires the submission of an NDA to the FDA. An NDA must be supported by extensive clinical and preclinical data, as well as extensive information regarding pharmacology, chemistry, manufacturing and controls. We are not permitted to market any product candidate in the United States until we obtain approval from the FDA of the NDA for that product.</w:t>
      </w:r>
    </w:p>
    <w:p>
      <w:pPr>
        <w:spacing w:after="0" w:line="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FDA may refer any application we submit to an advisory committee. An advisory committee is a panel of independent experts, including clinicians and other scientific experts, which reviews, evaluates and provides advice and recommendations to the FDA as to whether the application should be approved and under what conditions. The FDA is not bound by the recommendations of an advisory committee, but it considers such recommendations carefully when making decisions.</w:t>
      </w:r>
    </w:p>
    <w:p>
      <w:pPr>
        <w:spacing w:after="0" w:line="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FDA approval of an NDA is not guaranteed, and the review and approval process is an expensive and uncertain process over which the FDA has substantial discretion. The FDA approval process may also take several years. The timelines for the FDA review and approval process may be delayed as a result of future organizational changes and/or staffing reductions. The number and types of preclinical studies and clinical trials that will be required for NDA approval vary depending on the product candidate, the disease or the condition that the product candidate is designed to treat and the regulations applicable to any particular product candidate. Of the large number of drugs in development in the United States, only a small percentage will successfully complete the FDA marketing authorization process and will be commercialized. On April 23, 2024, the FDA approved the NDAs for the treatment of patients 6 months of age and older with relapsed or refractory pLGG harboring a BRAF fusion or rearrangement, or BRAF V600 mutation. In connection with its approval of OJEMDA, the FDA may impose restrictions, post-marketing requirements or post-marketing commitments that may limit our ability to commercialize OJEMDA or any other product. If we fail to comply with FDA-mandated requirements or if the results of certain required post-marketing studies are negative, the FDA could withdraw approval, add warnings or narrow approved indications, which could affect the commercial success of our products.</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we may experience delays or rejections based upon additional government regulation from future legislation or administrative action, or changes in regulatory authority policy during the period of product development, clinical trials and the review process. For example, in May 2022, the Oncology Center of Excellence within the FDA advanced Project Optimus,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w:t>
      </w:r>
    </w:p>
    <w:p>
      <w:pPr>
        <w:spacing w:after="0" w:line="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Clinical trial failure may result from a multitude of factors, including flaws in trial design, dose selection, placebo effect, patient enrollment criteria, data integrity challenges or failure to demonstrate favorable safety or efficacy traits.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authorization. On the basis of our clinical trials, the FDA could delay, limit or deny approval of a product candidate for many reasons, including because the FDA may:</w:t>
      </w:r>
    </w:p>
    <w:p>
      <w:pPr>
        <w:spacing w:after="0" w:line="81"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deem our product candidate to be safe and effective;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the product candidate does not have an acceptable benefit-risk profile;</w:t>
      </w:r>
    </w:p>
    <w:p>
      <w:pPr>
        <w:spacing w:after="0" w:line="117"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in the case of an NDA seeking accelerated approval that the NDA does not provide evidence that the product candidate represents a meaningful advantage over available therapies and, therefore, may deny approval;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6"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ORR as the primary endpoint, complemented by key secondary endpoints, is insufficient to reliably define clinical benefit;</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agree that the data collected from preclinical studies and clinical trials are acceptable or sufficient to support the submission of an NDA or other submission or to obtain marketing authorization, and may impose requirements for additional preclinical studies or clinical trials;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adverse events experienced by participants in our clinical trials represent an unacceptable level of risk;</w:t>
      </w:r>
    </w:p>
    <w:p>
      <w:pPr>
        <w:spacing w:after="0" w:line="11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the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accept clinical data from trials, which are conducted at clinical facilities or in countries where the standard of care is potentially different from that of the United States;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 regarding the formulation, labeling and/or the specifications;</w:t>
      </w:r>
    </w:p>
    <w:p>
      <w:pPr>
        <w:spacing w:after="0" w:line="117"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approve the manufacturing processes associated with our product candidate or may determine that a manufacturing facility does not have an acceptable compliance status;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approval policies or adopt new regulations;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file a submission due to, among other reasons, the content or formatting of the submission.</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not yet obtained FDA approval for our product candidates, DAY301 and VRK1. While the FDA approved the NDAs for the treatment of patients 6 months of age and older with relapsed or refractory pLGG harboring a BRAF fusion or rearrangement, or BRAF V600 mutation, there is no assurance that we will receive similar approval for OJEMDA from comparable regulatory authorities in foreign jurisdictions, which may limit our addressable market and could adversely affect our business, prospects, financial condition and results of operations.</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seek to utilize any of the FDA’s expedited programs, the FDA may not find our product candidates to be eligible for these programs and, if granted, these programs may not lead to faster development, regulatory review or approval of our product candidates.</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FDA has several expedited programs, including Fast Track, Priority Review, Breakthrough Therapy and Accelerated Approval, which are authorized by the Federal Food, Drug and Cosmetic Act, or FD&amp;C Act, and implemented pursuant to FDA regulations and guidance. None of these programs change the standard for FDA approval of a pharmaceutical product. We still must demonstrate substantial evidence of effectiveness and an acceptable safety profile to obtain marketing authorization.</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may seek to avail ourselves of one or more of the FDA’s expedited programs. For example, we may seek Fast Track designation for one or more of our product candidates.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FDA may grant a Fast Track designation to a drug that is intended for the treatment of a serious or life-threatening condition and nonclinical or clinical data demonstrates the potential to address unmet medical needs for this condition. The FDA has broad discretion whether to grant this designation, so even if we believe a particular product candidate is eligible for this designation, we cannot assure you that the FDA would decide to grant it. The FDA may withdraw Fast Track designation if it believes that the designation is no longer supported by data from our clinical development program.</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applied for and have been granted breakthrough therapy designation for tovorafenib in patients with advanced pLGG, and we may apply for breakthrough therapy designation for other product candidates or indications in the future. The FDA may designate a drug candidate as a potential breakthrough therapy if the drug candidate is intended, alone or in combination with one or more other drugs or drug candidates, to treat a serious or life-threatening disease or condition and preliminary clinical evidence indicates that the drug candidate may demonstrate substantial improvement over existing therapies on one or more clinically significant endpoints. For drug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 candidates designated as breakthrough therapies by the FDA are also eligible for priority review if supported by clinical data at the time of the submission of the NDA.</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may withdraw breakthrough therapy designations if it determines that the criteria for the designation is no longer met.</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may seek priority review of one or more of our other applications for marketing authorization, or we may receive priority review as part of other designations we may seek for one or more of our other product candidates. The FDA may grant priority review to an application if an application is for a drug that treats a serious condition and, if approved, would provide a significant improvement in safety or effectiveness. The FDA may also grant priority review to supplements that propose a labeling change pursuant to a report on a pediatric study under Section 505A of the FD&amp;C Act. Additionally, the FDA may grant priority review to any application or supplement for a drug submitted with a priority review voucher. We cannot assure you that the FDA would decide to grant priority review of any of our product candidates.</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Even if we do receive Fast Track designation, breakthrough therapy designation or priority review for any of our product candidates, we may not experience expedited development, review or faster action on our applications for marketing authorization compared to products without such designations.</w:t>
      </w:r>
    </w:p>
    <w:p>
      <w:pPr>
        <w:spacing w:after="0" w:line="266"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may be unavailable or, if available, may not lead to faster development, regulatory review or marketing authorization, and the use of the accelerated approval pathway does not necessarily increase the likelihood that our product candidates will receive marketing authorization.</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FDA’s Accelerated Approval Program, and subject to the conditions set forth in Section 506(c) of the FD&amp;C Act and FDA regulations,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generally reserves the use of accelerated approvals for situations in which the product candidate at issue provides a meaningful therapeutic benefit over existing treatments.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seek accelerated approval for one or more of our product candidates on the basis of a surrogate endpoint that we believe is reasonably likely to predict clinical benefit, such as ORR. The FDA may not agree with our conclusion that an endpoint we select is reasonably likely to predict clinical benefit, and thus the FDA may not agree that accelerated approval is appropriate based on that endpoint (even if the results on that endpoint are statistically significant), which could delay or preclude accelerated approval.</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Products granted accelerated approval are subject to certain post-marketing requirements, which typically include a requirement to conduct one or more post-approval studies to confirm the clinical benefit of the product, which must be completed with due diligence. By the time of approval of the product, the FDA must set forth the conditions for the post-marketing studies which may include specific conditions and deadlines relating to the study protocol, enrollment targets, target completion date and other milestones. The FDA generally expects—and may require, as appropriate—the confirmatory study or studies to be underway at the time of the accelerated approval or within a specific time frame following approval. The FDA may disagree with our proposed clinical study designs for post-marketing confirmatory studies, and may require study conditions that are unfavorable to us, which could delay approval or lead to the withdrawal of a product approved under the accelerated approval pathway.</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FDA regulations require that sponsors of products granted accelerated approval submit during the pre-approval review period copies of all promotional materials intended to be used within 120 days following marketing approval. After 120 days following marketing approval, unless otherwise informed by the FDA, the sponsor must submit all promotional materials at least 30 days prior to use.</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has come under scrutiny within the FDA, by Congress and by other stakeholders.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 In addition, in 2021, the Oncology Center of Excellence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86"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Finally, Congress recently passed the Food and Drug Omnibus Reform Act of 2022, or FDORA, which implemented key reforms to the FDA’s authorities with respect to accelerated approval, including strengthening requirements around post-approval studies, codifying procedures for withdrawal of a product approved under the expedited approval pathway and establishing an intra-agency Accelerated Approval Council to address accelerated approval policy.</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FDORA also added the failure to conduct post-approval studies with due diligence or to submit timely progress reports on such studies to the list of prohibited acts under the FD&amp;C Act, which means that any such failures, whether they result from our actions or the actions of third parties, could provide the basis for enforcement actions to be brought against us, which may be costly to defend or we may be unsuccessful in our defense.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also has the authority to withdraw products approved under the accelerated approval pathway using expedited withdrawal procedures.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that may lead to such withdrawal include:</w:t>
      </w:r>
    </w:p>
    <w:p>
      <w:pPr>
        <w:spacing w:after="0" w:line="99" w:lineRule="exact"/>
        <w:rPr>
          <w:sz w:val="20"/>
          <w:szCs w:val="20"/>
          <w:color w:val="auto"/>
        </w:rPr>
      </w:pPr>
    </w:p>
    <w:p>
      <w:pPr>
        <w:ind w:left="520" w:right="1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conduct any required post-approval study of a product candidate with due diligence, including with respect to conditions specified by the FDA;</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study required to verify and describe the predicted clinical benefit of a product candidate fails to verify and describe such benefit;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the product candidate is not shown to be safe or effective under the conditions of use;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sponsor's dissemination of false or misleading promotional materials relating to the relevant product candidate.</w:t>
      </w:r>
    </w:p>
    <w:p>
      <w:pPr>
        <w:spacing w:after="0" w:line="11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at 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obtained orphan drug designation in the United States and in the EU for use of tovorafenib in treating malignant glioma and glioma, respectively. We may seek orphan drug designation for tovorafenib in additional geographies or indications, or for DAY301, VRK1 or any product candidates we may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and making available the drug for such disease or condition will be recovered from sales of the product in the United States.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Generally, if a product candidate with a U.S. orphan drug designation subsequently receives the first marketing authorization for the drug for the indication for which it has such designation, the product is entitled to a period of marketing exclusivity, which precludes the FDA from approving another marketing application for the same drug for the same indication for a period of seven years. Orphan drug exclusivity in the United States may be lost if the FDA determines that the request for designation was materially defective or the drug in fact was ineligible for orphan-drug designation at the time the request for designation was submitted, or if the manufacturer is unable to assure a sufficient quantity of the drug to meet the needs of patients with the rare disease or condition.</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EU, if a medicinal product is granted marketing authorization as an orphan medicinal product, it benefits from a period of orphan market exclusivity during which the European Medicines Agency, or the EMA, or a national regulator may not accept a marketing authorization application for a similar medicinal product in the same orphan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86"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indication. The applicable period of orphan exclusivity is ten years in the EU, but this can be reduced to six years if a drug no longer meets the criteria for orphan drug designation. The EMA or a national regulator may accept an application and grant a marketing authorization for a similar medicinal product for the orphan indication during the exclusivity period if the similar product is safer, more effective or otherwise clinically superior to the orphan product.</w:t>
      </w:r>
    </w:p>
    <w:p>
      <w:pPr>
        <w:spacing w:after="0" w:line="5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 exclusivity that could result from orphan drug designation or be afforded the other incentives associated with orphan drug designation.</w:t>
      </w:r>
    </w:p>
    <w:p>
      <w:pPr>
        <w:spacing w:after="0" w:line="48"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 xml:space="preserve">Moreover, a recent Eleventh Circuit decision in </w:t>
      </w:r>
      <w:r>
        <w:rPr>
          <w:rFonts w:ascii="Times New Roman" w:cs="Times New Roman" w:eastAsia="Times New Roman" w:hAnsi="Times New Roman"/>
          <w:sz w:val="17"/>
          <w:szCs w:val="17"/>
          <w:i w:val="1"/>
          <w:iCs w:val="1"/>
          <w:color w:val="auto"/>
        </w:rPr>
        <w:t>Catalyst Pharmaceuticals, Inc. vs. FDA</w:t>
      </w:r>
      <w:r>
        <w:rPr>
          <w:rFonts w:ascii="Times New Roman" w:cs="Times New Roman" w:eastAsia="Times New Roman" w:hAnsi="Times New Roman"/>
          <w:sz w:val="17"/>
          <w:szCs w:val="17"/>
          <w:color w:val="auto"/>
        </w:rPr>
        <w:t xml:space="preserve"> regarding interpretation of the Orphan Drug Act exclusivity provisions as applied to drugs approved for orphan indications narrower than the drug’s orphan designation has the potential to significantly broaden the scope of orphan drug exclusivity for such products. Specifically, the Eleventh Circuit held that orphan drug exclusivity precludes the FDA from approving another marketing application for the same drug for the same orphan-designated disease or condition for a period of seven years. Although the FDA has announced that it will not apply the Catalyst decision beyond the facts at issue in that case, Catalyst could serve as a precedent for future challenges to the FDA’s orphan drug-related decisions, and, accordingly, could fundamentally change how companies rely on, or seek to work around, orphan drug exclusivity in the United States. Legislation has also been introduced that may reverse the Catalyst decision, but such legislation has not yet been passed.</w:t>
      </w:r>
    </w:p>
    <w:p>
      <w:pPr>
        <w:spacing w:after="0" w:line="2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certain legal requirements and FDA policies, and may seek incentives under certain laws, relating to the development of drugs for pediatric patients, including the Pediatric Research Equity Act and the Best Pharmaceuticals for Children Act.</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Pediatric Research Equity Act, as amended, or PREA, requires that certain NDAs, Biologics License Applications, or BLAs, and NDA/BLA supplements contain assessment reports regarding the safety and efficacy of the product for the claimed indications in all relevant pediatric subpopulations to support dosing and administration for each pediatric subpopulation for which the product has been assessed to be safe and effective. In addition, PREA requires a molecularly targeted pediatric cancer investigation for an original NDA or BLA for a new active ingredient if the product candidate is intended to treat an adult cancer and is directed at a molecular target that the FDA determines to be substantially relevant to the growth or progression of a pediatric cancer, which may be different than the claimed adult cancer indication. PREA requires these pediatric studies be conducted using appropriate formulations for each age group that is studied, and an applicant must seek approval of any pediatric formulations that are used. The FDA may grant deferrals of PREA requirements or full or partial waivers. Unless otherwise required by regulation, PREA does not apply to a drug for an indication for which orphan designation has been granted, except that PREA will apply to an original NDA or BLA that is subject to the molecularly targeted pediatric cancer investigation requirement. Even if we are deemed exempt from PREA requirements for one application, any of our other applications may be subject to PREA requirements.</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Best Pharmaceuticals for Children Act, or the BPCA, the FDA can grant pediatric exclusivity to a sponsor that conducts pediatric studies requested by the FDA in a document called a Written Request. We may seek pediatric exclusivity for one or more of our product candidates under the BPCA, although we may not be granted such exclusivity. Pediatric exclusivity, if granted, adds six months to the end of certain unexpired statutory exclusivity periods and may also extend unexpired patent terms, depending on whether the application is an NDA or BLA. Whether this six-month extension is granted depends on the voluntary completion of pediatric studies in accordance with and in response to a Written Request for such studies, the submission of the study reports to the FDA within the timeframe required by the BPCA and the FDA’s acceptance of the study reports. The FDA has indicated a strong preference to issue Written Requests only for studies that are in addition to and/or different from pediatric studies required under PREA (if applicable).</w:t>
      </w:r>
    </w:p>
    <w:p>
      <w:pPr>
        <w:spacing w:after="0" w:line="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general, pediatric drug development is an area that recently has been, and may continue to be, subject to evolving statutory requirements and regulatory standards, so some uncertainty exists with respect to expectations for pediatric drug development generally.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29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 rare pediatric disease designation for one or more of our product candidates under the FDA’s Rare Pediatric Disease Priority Review Voucher Program. Even if we were to obtain marketing authorization for a product with a rare pediatric disease designation, the Rare Pediatric Disease Priority Review Voucher Program may no longer be in effect at the time of such approval or we might not be able to capture the value of the Rare Pediatric Disease Priority Review Voucher Program.</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OJEMDA was granted rare pediatric designation by the FDA in May 2021 for the treatment of LGGs harboring an activating RAF alteration that disproportionately affects children. We submitted the OJEMDA NDAs as a rare pediatric designation marketing application, and the FDA conditionally designated the marketing application as a “rare pediatric disease product application” pending the final determination at the time of approval or licensure on whether the application meets all of the eligibility criteria set forth in section 529(a)(4) of the FD&amp;C Act. On April 23, 2024, the FDA approved the NDAs for the treatment of patients 6 months of age and older with relapsed or refractory pLGG harboring a BRAF fusion or rearrangement, or BRAF V600 mutation, and in connection with the accelerated approval, Day One received a Priority Review Rare Pediatric Disease Voucher, or PRV.</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Congress authorized the FDA to award priority review vouchers to sponsors of certain rare pediatric disease product applications that meet the specified criteria. These vouchers are designed to encourage development of new drug and biological products for prevention and treatment of certain rare pediatric diseases.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On May 29, 2024, we entered into an asset purchase agreement, pursuant to which we agreed to sell our rare pediatric disease PRV to an undisclosed buyer for gross proceeds of $108.0 million. Following the sale, we are no longer eligible to take advantage of the incentives under the rare pediatric disease PRV, including priority review of a subsequent marketing application.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in the future for any of our current or future product candidates or that we will realize any value if we receive and were to sell any such voucher.</w:t>
      </w:r>
    </w:p>
    <w:p>
      <w:pPr>
        <w:spacing w:after="0" w:line="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 within the meaning of the Orphan Drug Act. The FDA may determine that an application for one or more of our product candidates does not meet the eligibility criteria for a priority review voucher upon approval.</w:t>
      </w:r>
    </w:p>
    <w:p>
      <w:pPr>
        <w:spacing w:after="0" w:line="7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Moreover, under the current statutory sunset provisions, the FDA generally may not award rare pediatric disease priority review vouchers after December 20, 2024. However, if the sponsor has received rare pediatric disease designation for a drug no later than September 30, 2024, the FDA may award a rare pediatric disease priority review voucher if the drug is approved by September 30, 2026.</w:t>
      </w:r>
    </w:p>
    <w:p>
      <w:pPr>
        <w:spacing w:after="0" w:line="2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 business partner are unable to successfully develop, validate, obtain marketing authorization for and commercialize any companion diagnostic tests that are deemed necessary for the use of any of our product candidates, or experience significant delays in doing so, we may not be able to obtain marketing authorization for, or realize the full commercial potential of, one or more of our product candidates.</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Diagnostic tests can be useful in identifying patients who are most likely to benefit from a particular therapeutic drug product, among other potential uses. If a regulatory authority determines that an in vitro diagnostic test is necessary for the safe and effective use of a corresponding therapeutic product, that test is referred to as a “companion diagnostic.” Diagnostics that are not essential for the safe and effective use of a therapeutic product but that may aid in the benefit-risk decision-making about the use of the therapeutic product (such as to identify a subset of the indicated patient population for the therapeutic product that may respond particularly well) are typically referred to as “complementary diagnostics.” In the future, we may evaluate opportunities to develop, either by ourselves or with collaborators, companion or complementary diagnostic tests for our product candidates for certain indications.</w:t>
      </w:r>
    </w:p>
    <w:p>
      <w:pPr>
        <w:spacing w:after="0" w:line="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 companion diagnostic is needed for a therapeutic product, the companion diagnostic is generally developed in conjunction with the clinical program for an associated therapeutic product. To date, the FDA has required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premarket approval of the vast majority of companion diagnostics for cancer therapies. Generally, when a companion diagnostic is essential to the safe and effective use of a drug product, the FDA generally requires that the companion diagnostic be approved before or concurrent with approval of the therapeutic product and before such product can be commercialized (except in limited circumstances). Where a companion diagnostic must be used to identify patients who are likely to benefit from the therapeutic product, the therapeutic product’s labeling typically limits the use of the therapeutic product to only those patients who express the specific genetic alteration or other biomarker that the companion diagnostic was developed to detect. By contrast, complementary diagnostics are not typically referenced in the indications for the therapeutic product (i.e., the therapeutic product is not limited to use in biomarker positive patients) but the complementary diagnostic may be described in other areas of the therapeutic product labeling, such as when describing clinical study results for biomarker positive and negative patient subpopulations. While a complementary diagnostic is also typically developed in conjunction with the clinical program for an associated therapeutic product, the FDA may not require that the complementary diagnostic be approved before or concurrent with approval of the therapeutic product.</w:t>
      </w:r>
    </w:p>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Development of a companion or complementary diagnostic could include additional meetings with regulatory authorities, such as a pre-submission meeting and the requirement to comply with the FDA’s investigational device exemption regulations for clinical studies involving the diagnostic. In the case of an investigational diagnostic that is designated as “significant risk device,” approval of an investigational device exemption application by an IRB and the FDA is required before such diagnostic may be used in conjunction with the clinical trials for a corresponding product candidate.</w:t>
      </w:r>
    </w:p>
    <w:p>
      <w:pPr>
        <w:spacing w:after="0" w:line="7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To be successful in developing, validating, obtaining approval of and commercializing a companion or complementary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companion diagnostic tests or would benefit from complementary diagnostics, the application for and receipt of any required marketing authorizations and the commercial supply of these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authorization and we may not realize the full commercial potential of any of these therapeutics that obtain marketing authorization.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marketing authorizations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or how to explain it to patients or dedicate staff to using it. Any failure to do so could materially harm our business, results of operations and financial condition.</w:t>
      </w:r>
    </w:p>
    <w:p>
      <w:pPr>
        <w:spacing w:after="0" w:line="2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 each product and product candidate for which marketing authorization is granted, including OJEMDA,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 in line with our expectations.</w:t>
      </w:r>
    </w:p>
    <w:p>
      <w:pPr>
        <w:spacing w:after="0" w:line="6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For each product and product candidate for which marketing authorization is granted, including OJEMDA, an approved product and the marketing authorization holder are subject to ongoing regulation by the FDA and other regulators. Regulators may impose post-marketing requirements and elicit post-marketing commitments, which may be onerous and subject us to ongoing review and extensive regulation. For example, the FDA may request or require post-marketing clinical studies, enhanced pharmacovigilance programs, additional reporting requirements and other obligations at the time of approval or after approval. The FDA also may impose a REMS under Section 505-1 of the FD&amp;C Act in order to ensure that the benefits of our product candidates outweigh their risks. Additionally, either at the time or approval or after approval, the FDA could invoke its authority under Section 505(o) of the FD&amp;C Act and require costly post-marketing safety studies, including clinical trials, and/or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epidemiologic surveillance to monitor the safety of our approved products in order to assess a known risk related to the product, assess signals of serious risks related to the product or identify an unexpected serious risk when available data indicates the potential for a serious risk.</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any product candidates for which we receive accelerated approval from the FDA are required to undergo one or more clinical trials to confirm the clinical benefit of the product. If confirmatory studies fail to meet their efficacy endpoints, the FDA may withdraw approval of the product pursuant to expedited withdrawal authorities. There is no assurance that any such product will successfully advance through its confirmatory clinical trial(s). Therefore, even if a product candidate receives accelerated approval from the FDA, such approval may be withdrawn at a later date.</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must also comply with requirements concerning advertising and promotion for any of our product candidates for which we obtain marketing authorization. Further, there are additional requirements regarding promotional communications if our products are approved through the accelerated approval pathway.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 including pre-approval inspections of any manufacturing facilities proposed to commercially manufacture our product candidates, the success of which would be required prior to a commercial product launch. Accordingly, assuming we obtain marketing authorization for one or more of our product candidates, we and our CMOs will continue to expend time, money and effort in all areas of regulatory compliance, including manufacturing, production, product surveillance and quality control.</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all of our post-approval regulatory requirements, we could have the marketing authorizations for our products withdrawn by regulatory authorities and our ability to market any future products could be limited, which could adversely affect our ability to achieve or sustain profitability. In addition, the cost of compliance with post-approval regulations may have a negative effect on our operating results and financial condition.</w:t>
      </w:r>
    </w:p>
    <w:p>
      <w:pPr>
        <w:spacing w:after="0" w:line="2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authorization, including OJEMDA,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product for which we obtain marketing authorization, such as OJEMDA,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7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FD&amp;C Act and other statutes, including the False Claims Act and other federal and state healthcare fraud and abuse laws as well as state consumer protection laws. Our failure to comply with all regulatory</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requirements, and later discovery of previously unknown adverse events or other problems with our products, manufacturers or manufacturing processes, may yield various results, including:</w:t>
      </w:r>
    </w:p>
    <w:p>
      <w:pPr>
        <w:spacing w:after="0" w:line="54"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recall of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authorizations;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media coverage and damage to our reputation;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 Further, if any of these actions were to occur, we may have to discontinue the commercialization of our product, OJEMDA, and product candidates, limit our sales and marketing efforts, conduct further post-approval studies and/or discontinue or change any other ongoing clinical studies, which in turn could result in significant expense and delay and/or limit our ability to generate sales revenues.</w:t>
      </w:r>
    </w:p>
    <w:p>
      <w:pPr>
        <w:spacing w:after="0" w:line="28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authorization in foreign jurisdictions would prevent OJEMDA and our product candidates from being marketed in those jurisdictions, and any approval we are granted for our product candidates in the United States would not assure approval of product candidates in foreign jurisdictions.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market and sell our products in any jurisdiction outside the United States, we must obtain separate marketing authorizations and comply with numerous and varying regulatory requirements. The approval procedure varies among countries and can involve additional testing. The time required to obtain approval may differ substantially from that required to obtain FDA approval. Further, FDA approval of OJEMDA does not guarantee approval in jurisdictions outside of the United States. The marketing authorization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authorizations and may not receive necessary approvals to commercialize our products in any market.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29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obtain marketing authorization.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authorization. Restrictions under applicable federal and state healthcare laws and regulations that may be applicable to our business include the following:</w:t>
      </w:r>
    </w:p>
    <w:p>
      <w:pPr>
        <w:spacing w:after="0" w:line="75" w:lineRule="exact"/>
        <w:rPr>
          <w:sz w:val="20"/>
          <w:szCs w:val="20"/>
          <w:color w:val="auto"/>
        </w:rPr>
      </w:pPr>
    </w:p>
    <w:p>
      <w:pPr>
        <w:ind w:left="520" w:right="80" w:hanging="512"/>
        <w:spacing w:after="0" w:line="261"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520" w:right="100" w:hanging="512"/>
        <w:spacing w:after="0" w:line="258"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75" w:lineRule="exact"/>
        <w:rPr>
          <w:rFonts w:ascii="Times New Roman" w:cs="Times New Roman" w:eastAsia="Times New Roman" w:hAnsi="Times New Roman"/>
          <w:sz w:val="18"/>
          <w:szCs w:val="18"/>
          <w:color w:val="auto"/>
        </w:rPr>
      </w:pPr>
    </w:p>
    <w:p>
      <w:pPr>
        <w:ind w:left="520" w:right="400" w:hanging="512"/>
        <w:spacing w:after="0" w:line="261"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71" w:lineRule="exact"/>
        <w:rPr>
          <w:rFonts w:ascii="Times New Roman" w:cs="Times New Roman" w:eastAsia="Times New Roman" w:hAnsi="Times New Roman"/>
          <w:sz w:val="18"/>
          <w:szCs w:val="18"/>
          <w:color w:val="auto"/>
        </w:rPr>
      </w:pPr>
    </w:p>
    <w:p>
      <w:pPr>
        <w:ind w:left="520" w:right="20" w:hanging="512"/>
        <w:spacing w:after="0" w:line="261"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71" w:lineRule="exact"/>
        <w:rPr>
          <w:rFonts w:ascii="Times New Roman" w:cs="Times New Roman" w:eastAsia="Times New Roman" w:hAnsi="Times New Roman"/>
          <w:sz w:val="18"/>
          <w:szCs w:val="18"/>
          <w:color w:val="auto"/>
        </w:rPr>
      </w:pPr>
    </w:p>
    <w:p>
      <w:pPr>
        <w:ind w:left="520" w:right="80" w:hanging="512"/>
        <w:spacing w:after="0" w:line="254"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as well as ownership and investment interests held by physicians and their immediate family members. Since January 1, 2021, manufacturers are required to collect information regarding 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w:t>
      </w:r>
    </w:p>
    <w:p>
      <w:pPr>
        <w:spacing w:after="0" w:line="83" w:lineRule="exact"/>
        <w:rPr>
          <w:rFonts w:ascii="Times New Roman" w:cs="Times New Roman" w:eastAsia="Times New Roman" w:hAnsi="Times New Roman"/>
          <w:sz w:val="18"/>
          <w:szCs w:val="18"/>
          <w:color w:val="auto"/>
        </w:rPr>
      </w:pPr>
    </w:p>
    <w:p>
      <w:pPr>
        <w:ind w:left="520" w:hanging="512"/>
        <w:spacing w:after="0" w:line="25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state payors and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Certain state and local laws require the registration of pharmaceutical sales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86"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representatives. Certain state and non-U.S. laws, many of which differ from each other in significant ways and often are not preempted by HIPAA, also govern the privacy and security of health information in some circumstances, thus complicating compliance efforts.</w:t>
      </w:r>
    </w:p>
    <w:p>
      <w:pPr>
        <w:spacing w:after="0" w:line="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reputation, results of operations, financial condition and prospects.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recently enacted and future legislation may increase the difficulty and cost for us to obtain marketing authorization of and commercialize our product candidates and decrease the prices we may obtain.</w:t>
      </w:r>
    </w:p>
    <w:p>
      <w:pPr>
        <w:spacing w:after="0" w:line="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authorization of our product candidates, restrict or regulate post-approval activities and affect our ability to profitably sell any products for which we obtain marketing authorization.</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fees and taxes on manufacturers of certain branded prescription drugs;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products;</w:t>
      </w:r>
    </w:p>
    <w:p>
      <w:pPr>
        <w:spacing w:after="0" w:line="117"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6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federal Anti-Kickback Statute, new government investigative powers and enhanced penalties for noncompliance;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6"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financial arrangements with physicians, as defined by such law, and teaching hospitals;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manufacturers and distributors provide to physicians; and</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repeal or replace certain aspects of the ACA, including measures taken during the first Trump administration. While Congress has not passed comprehensive repeal legislation, it has enacted laws that modify certain provisions of the ACA such as removing penalties, since January 1, 2019, for not complying with the ACA’s individual mandate to carry health insurance, eliminating the implementation of certain ACA-mandated fees and increasing the point-of-sale discount that is owed by pharmaceutical manufacturers who participate in Medicare Part D. In addition, there have been legal challenges to the constitutionality of the ACA and certain requirements such as the individual mandate. Although these challenges have been unsuccessful to date, there may be other efforts to challenge the individual mandate or to challenge, repeal or replace the ACA. It is unclear how any pending or future litigation and the healthcare reform measures of the future presidential administration and Congress will impact the ACA and our business.</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recent presidential administrations were focused on drug pricing and have used several means to propose or implement drug pricing reform, including through federal budget proposals, executive orders and policy initiatives.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the U.S. Department of Health and Human Services, or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One statutory exemption from the negotiation program is for a drug that has only a single orphan drug designation and is approved only for an indication or indications within the scope of such designation. The negotiated prices, which for the first round of selected drugs announced August 29, 2023 will become effective in 2026,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enhanced subsidies for individuals purchasing health insurance coverage in ACA marketplaces through plan year 2025. These IRA provisions began taking effect progressively starting in 2023, although the drug negotiation provisions of the IRA are currently the subject of legal challenges. In addition, the Secretary of the HHS recently proposed testing three new models for pricing efficiency, including one that develops payment methods for drugs approved under accelerated approval, in consultation with the FDA, to encourage timely confirmatory trial completion and improve access to post-market safety and efficacy data with the goal of reducing Medicare spending on drugs that have no confirmed clinical benefit. Further, at the state level, individual states have increasingly introduced and passed legislation and implemented regulations designed to control pharmaceutical and biological product pricing, including: restricting price, reimbursement, discounts, product access and marketing; imposing drug price and cost disclosure and transparency requirements; permitting importation from other countries; and encouraging bulk purchasing.</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including potentially significant additional changes to current drug pricing and reimbursement structures, will be adopted in the future, particularly in connection with the change in presidential administration. Current and future reform measures may result in more rigorous coverage criteria and in additional downward pressure on the prices that we receive for any approved product. The implementation of cost containment measures or other healthcare reforms may prevent us from being able to generate future revenue in line with our expectations, attain profitability or commercialize OJEMDA and our product candidates.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authorizations of our product candidates, if any, may be. In addition, increased scrutiny by the U.S. Congress of the FDA’s approval process may significantly delay or prevent marketing authorization, as well as subject us to more stringent product labeling and post-marketing testing and other requirements.</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 We cannot predict the full impact of this decision, future judicial challenges brought against the FDA, or the nature or extent of government regulation that may arise from future legislation or administrative action.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future revenues.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authorization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29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certain U.S. individuals and entities and their party agents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or gaining an improper advantage.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8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where corruption is a recognized problem. In addition, the FCPA presents particular challenges in the pharmaceutical industry, because, in many countries, hospitals are operated by the government, and doctors and other hospital employees are considered foreign officials and therefore our interactions with these individuals are subject to regulation under the FCPA.</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7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U.S. Securities and Exchange Commission, or the SEC, also may suspend or bar issuers from trading securities on U.S. exchanges for violations of the FCPA’s accounting provisions.</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spacing w:after="0" w:line="81"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8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authorizations. We can be held liable for the corrupt or other illegal activities of our personnel, agents or partners, even if we do not explicitly authorize or have prior knowledge of such activities.</w:t>
      </w:r>
    </w:p>
    <w:p>
      <w:pPr>
        <w:spacing w:after="0" w:line="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developing our current product candidates, and may continue to develop future product candidates, in combination with other therapies, which would expose us to additional risks.</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developing our current product candidates in combination with one or more currently approved cancer therapies or therapies in development. Even if our current or future product candidates, including DAY301 and VRK1, receive marketing authorization or are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authorization.</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the sales, marketing, and distribution of OJEMDA or any future approved products may be unsuccessful or less successful than anticipated.</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recently began commercializing our first product, OJEMDA, in the United States. As a company, we had no prior experience commercializing a product. The success of our commercialization efforts for OJEMDA and any future approved products is difficult to predict and subject to the effective execution of our business plan, including, among other things, the continued development of our internal sales, marketing, and distribution capabilities and our ability to navigate the significant expenses and risks involved with the development and management of such capabilities.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example, we have completed hiring in areas to support commercialization, including in sales management, sales representatives, marketing, access and reimbursement, sales support, and distribution. 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delay or negatively affect the success of our commercialization efforts and our business. For example, the commercialization of OJEMDA may not develop as planned or anticipated, which may require us to, among others, adjust or amend our business plan and incur significant expenses.</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Alternatively, we may license certain rights with respect to our products or product candidates to collaborators and rely on the assistance and guidance of those collaborators. We may also seek collaborations to secure marketing authorizations and commercialize our products outside of the United States. We cannot assure that any collaboration(s) will result in short-term or long-term benefit to the company.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products and product candidates, we may not generate substantial revenues, if any, from them or be able to reach or sustain profitability.</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our lack of experience commercializing products, we do not have a track record of successfully executing on the commercialization of an approved product. If we are unsuccessful in accomplishing our objectives and executing on our business plan, or if the commercialization of OJEMDA or any future approved products does not develop as planned, we may require significant additional capital and financial resources, we may not become profitable, and we may not be able to compete against more established companies in our industry.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all aspects of our clinical trials ourselves. As a result, we are dependent on third parties to conduct our ongoing and planned clinical trials of tovorafenib, DAY301, VRK1 and any preclinical studies and clinical trials of any future products and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tovorafenib in relapsed Langerhans cell histiocytosis.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3" w:name="page74"/>
    <w:bookmarkEnd w:id="73"/>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products and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products and product candidates produced under cGMP regulations. Our failure or the failure of third parties on whom we rely to comply with these regulations may require us to stop and/or repeat clinical trials, which would delay the marketing authorization process.</w:t>
      </w:r>
    </w:p>
    <w:p>
      <w:pPr>
        <w:spacing w:after="0" w:line="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a greater cost to us. For example, we are aware of a shortage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OJEMDA or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marketing authorization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8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authorizations for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OJEMDA, DAY301, VRK1 or any future product candidates and will not be able to, or may be delayed in our efforts to, successfully commercialize our products.</w:t>
      </w:r>
    </w:p>
    <w:p>
      <w:pPr>
        <w:spacing w:after="0" w:line="26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pharmaceutical products, including OJEMDA and our product candidates including DAY301 and VRK1, is complex. Our third-party manufacturers may encounter difficulties in production, which could delay or entirely halt their ability to supply our product candidates for clinical trials or, if approved, for commercial sale.</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do not have any manufacturing facilities, and we currently contract with certain third-party manufacturers in China. We rely, and expect to continue to rely, on third parties for the manufacture of OJEMDA and our product candidates for clinical testing, product development purposes, to support regulatory application submissions, as well as for commercial manufacture of our product candidates. In addition, we expect to contract with analytical laboratories for release and stability testing of OJEMDA and our product candidates. This reliance on third parties increases the risk that we will not have sufficient quantities of OJEMDA or our product candidates or products or such quantities at an acceptable cost or quality, which could delay, prevent or impair our development or commercialization efforts and cause the FDA to withdraw certain designations, including orphan drug designation. For example, we cannot be sure to what extent the supply chain issues caused by geopolitical uncertainty and public health epidemics, may impact our ability to procure sufficient supplies for the development of OJEMDA and our product candidates and what, if any, impact that may have on our facilities and operations in the region, including but not limited to a decrease or disruption of production, increased costs of production or other interruptions in our supply chain.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OJEMDA and our product candidates. Furthermore, since these manufacturers are located in China, we are exposed to the possibility of product supply disruption and increased costs in the event of economic sanctions, changes in the policies of the United States or Chinese governments, political unrest or unstable economic conditions in China. Legislation has been introduced in Congress to limit certain U.S. biotechnology companies from using equipment or services produced or provided by select Chinese biotechnology companies, including those affiliated with the manufacture of our API, Wuxi STA, and others in Congress have advocated for the use of existing executive branch authorities to limit those Chinese service providers’ ability to engage in business in the United States. We cannot predict what actions may ultimately be taken with respect to trade relations between the United States and China or other countries, what products and services may be subject to such actions or what actions may be taken by the other countries in retaliation.</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p>
    <w:p>
      <w:pPr>
        <w:spacing w:after="0" w:line="6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entered into a manufacturing and supply agreement with Quotient for drug manufacturing of OJEMDA and a packaging agreement with Sharp Corporation, or Sharp, for the packaging and serialization of OJEMDA. Supply chain issues, such as those related to certain packaging material, may negatively impact our ability to package and deliver OJEMDA and our product candidates if not managed effectively. Moreover, if any of our existing or future contract manufacturers or suppliers fail to perform satisfactorily, it could delay development or regulatory approval of our drug candidates or commercialization of our drugs, which could negatively impact our results of operations and business.</w:t>
      </w:r>
    </w:p>
    <w:p>
      <w:pPr>
        <w:spacing w:after="0" w:line="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may be unable to enter into additional agreements with third-party manufacturers or suppliers or do so on favorable terms. Our anticipated reliance on a limited number of third party-manufacturers or suppliers exposes us to the following risks:</w:t>
      </w:r>
    </w:p>
    <w:p>
      <w:pPr>
        <w:spacing w:after="0" w:line="54"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117"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the FDA or other regulatory authority;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6"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OJEMDA and 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we prepare for later-stage clinical trials and commercialization of OJEMDA, we will need to take steps to increase the scale of production of OJEMDA and our product candidates. Other than for our product OJEMDA, we have not yet scaled up the manufacturing process for any of our product candidates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authorization. If our current CMOs for clinical testing cannot perform as agreed, we may be required to replace such CMOs. Although we believe that there are several potential alternative manufacturers who could manufacture OJEMDA or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If our current third-party manufacturers cannot perform as agreed, we may be required to replace such manufacturers and we may be unable to replace them on a timely basis or at all.</w:t>
      </w:r>
    </w:p>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OJEMDA or our product candidates may adversely affect our future profit margins and our ability to commercialize any products that obtain marketing authorization on a timely and competitive basis.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raw materials and any disruptions arising from our sole suppliers could result in delays in our clinical trials or otherwise adversely affect our business and results of operations.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including inflation and changes in interest rates, significant political, trade or regulatory developments, natural disasters, fire, regional geopolitical conflicts, acts of terrorism, pandemics, or other catastrophic events. Further, in the case of materials for which we have a sole supplier, even if we are able to replace any raw materials or other materials with an alternative, such alternatives may cost more, result in lower yields or not be as suitable for our purposes. In addition, some of the materials that we use to manufacture OJEMDA and our product candidates are complex materials, which may be more difficult to substitute. Therefore, any disruptions arising from our sole suppliers could result in delays and additional regulatory submissions, which may adversely affect our business and results of operations.</w:t>
      </w:r>
    </w:p>
    <w:p>
      <w:pPr>
        <w:spacing w:after="0" w:line="29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existing License Agreement with Ipsen is important to our business. If Ipsen fails to fulfill its contract obligations, or if any of the Ipsen License Agreement is terminated, our ability to commercialize OJEMDA in territories outside the United States may be delayed or prevented and we may never receive milestone payments or future royalties under the License Agreement.</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Ipsen shall have the right to grant sublicenses to third -parties. A significant portion of our future revenue and cash resources may be derived from the Ipsen License Agreement, or other similar agreements into which we may enter in the future.</w:t>
      </w:r>
    </w:p>
    <w:p>
      <w:pPr>
        <w:spacing w:after="0" w:line="7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Under the Ipsen License Agreement, we are eligible to receive up to approximately $330.0 million based on exchange rates as of the reporting date in additional commercial launch and sales-based milestone payments, as well as tiered, double-digit royalty payments starting at mid-teens percentage of annual net sales of tovorafenib, subject to customary adjustments.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terms of the Ipsen License Agreement, Ipsen will have significant discretion in determining the efforts and resources that they will apply to their marketing efforts and their management of the ex-U.S. regulatory activities and they may not perform their obligations as expected. Disputes may arise between Ipsen and us that result in the delay or termination of the research, development or commercialization of our products or product candidates or that result in costly litigation or arbitration that diverts management attention and resources. Furthermore, they may have changes in their strategic focus or available funding, or experience external factors, such as an acquisition, may divert resources or create competing priorities. Any of these events would have a material adverse effect on our business, financial condition and results of operations.</w:t>
      </w:r>
    </w:p>
    <w:p>
      <w:pPr>
        <w:spacing w:after="0" w:line="7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Ipsen License Agreement may be terminated by either party for material breach or bankruptcy. In addition, Ipsen may terminate the Ipsen License Agreement after the second anniversary of the effective date for convenience with six months’ prior written notice or for certain other specified reasons.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Ipsen License Agreement is terminated, then, depending on the event:</w:t>
      </w:r>
    </w:p>
    <w:p>
      <w:pPr>
        <w:spacing w:after="0" w:line="117" w:lineRule="exact"/>
        <w:rPr>
          <w:sz w:val="20"/>
          <w:szCs w:val="20"/>
          <w:color w:val="auto"/>
        </w:rPr>
      </w:pPr>
    </w:p>
    <w:p>
      <w:pPr>
        <w:ind w:left="520" w:right="6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could increase significantly if it is necessary for us to hire additional employees and allocate internal resources to the commercialization or other activities that were previously shared by Ipsen;</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bear all of the risks and costs related to the further commercialization and development activities that were previously the subject of the Ipsen License Agreement;</w:t>
      </w:r>
    </w:p>
    <w:p>
      <w:pPr>
        <w:spacing w:after="0" w:line="53"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fund further commercialization activities, we may need to seek out and establish alternative strategic collaborations with third-party partners, which may not be possible; or</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do so on terms which are acceptable to us, in which case it may be necessary for us to limit the size or scope of one or more of our programs or increase our expenditures and seek additional funding by other means.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would have a material adverse effect on our business, financial condition and results of operations.</w:t>
      </w:r>
    </w:p>
    <w:p>
      <w:pPr>
        <w:spacing w:after="0" w:line="3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our product candidates.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our product candidates on a select basis, such as our collaboration with Ipsen with respect to commercialization of tovorafenib in all territories outside the United States.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we do enter into any additional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72" w:lineRule="exact"/>
        <w:rPr>
          <w:sz w:val="20"/>
          <w:szCs w:val="20"/>
          <w:color w:val="auto"/>
        </w:rPr>
      </w:pPr>
    </w:p>
    <w:p>
      <w:pPr>
        <w:ind w:left="520" w:right="24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53"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53"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reassign manufacturing responsibilities to themselves or a new CMO, which would require that any new manufacturing facility also comply with cGMPs. The FDA or another regulator could decide to conduct an inspection of any new manufacturing facility and a material noncompliance could delay the launch of commercial manufacturing at such facility;</w:t>
      </w:r>
    </w:p>
    <w:p>
      <w:pPr>
        <w:spacing w:after="0" w:line="67" w:lineRule="exact"/>
        <w:rPr>
          <w:rFonts w:ascii="Times New Roman" w:cs="Times New Roman" w:eastAsia="Times New Roman" w:hAnsi="Times New Roman"/>
          <w:sz w:val="18"/>
          <w:szCs w:val="18"/>
          <w:color w:val="auto"/>
        </w:rPr>
      </w:pPr>
    </w:p>
    <w:p>
      <w:pPr>
        <w:ind w:left="520" w:right="34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6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products or product candidates;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86"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our product candidates in the most efficient manner or at all; and</w:t>
      </w:r>
    </w:p>
    <w:p>
      <w:pPr>
        <w:spacing w:after="0" w:line="11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we establish additional collaborations in the future, all of the risks relating to product development, marketing authorization and commercialization described herein would also apply to the activities of any such future collaborators.</w:t>
      </w:r>
    </w:p>
    <w:p>
      <w:pPr>
        <w:spacing w:after="0" w:line="26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large customer, or any cancellation or delay of a significant purchase by a large customer, could reduce our net sales and harm our operating results.</w:t>
      </w:r>
    </w:p>
    <w:p>
      <w:pPr>
        <w:spacing w:after="0" w:line="5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have received a substantial portion of our revenue from a limited number of customers. For example, for the year ended December 31, 2024, two individual customers accounted for 94.3% of our total net product revenue, with these individual customers representing 66.2% and 28.1% of total net product revenue. As of December 31, 2024, two customers accounted for 88.7% of the accounts receivable balance, with these individual customers representing 64.5% and 24.2% of the accounts receivable balance.</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cannot provide any assurances that we will retain our current customers or groups of customers, that they will maintain their current or forecasted demand for our products, or that we will be able to attract and retain additional customers in the future. If for any reason we were to lose our ability to sell to a specific group or class of customers, we could experience a significant reduction in revenue or loss of market share, which would adversely impact our operating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Our Operations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officers and key employees and to attract, retain and motivate qualified personnel and manage our human capital.</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medical and commercial personnel. We are highly dependent on the development and management expertise of Jeremy Bender, Ph.D., M.B.A., our Chief Executive Officer,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w:t>
      </w:r>
    </w:p>
    <w:p>
      <w:pPr>
        <w:spacing w:after="0" w:line="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quality, commercial and management skills and experience.</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OJEMDA or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had 181 full-time employees as of December 31, 2024. We expect significant growth in the number of our employees and the scope of our operations, particularly in the areas of clinical development, clinical operations, manufacturing, regulatory affairs,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8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OJEMDA, DAY301, VRK1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authorization of DAY301, VRK1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8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organization, we may not be able to successfully implement the tasks necessary to further develop and commercialize OJEMDA, DAY301, VRK1, our other pipeline product candidates or any future product candidates and, accordingly, may not achieve our research, development and commercialization goals.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clinical trial investigators, CROs, CMOs, consultants, vendors and any future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and third parties that we rely on, including, clinical trial investigators, CROs, CMOs, consultants, vendors and any future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(e.g., cGMP) and clinical practice (e.g., GCP)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In particular, research, sales, marketing and business arrangements in our industry are subject to a wide variety of laws and regulations that are intended to prevent fraud, misconduct, kickbacks and other abusive practices. Such misconduct could also involve the improper use of information obtained in the course of clinical trials, which could result in regulatory sanctions and cause serious harm to our reputation.</w:t>
      </w:r>
    </w:p>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 with respect to third parties, third parties are not our employees, and except for remedies available to us under our agreements, we have limited ability to control resources that any such third party will devote to our preclinical studies or our clinical trials. The third parties we rely on for these services may also have relationships with other entities, some of which may be our competitors, for whom they may also be conducting drug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development activities, which could affect their performance on our behalf. Our reliance on third parties for drug development activities means that we will have less direct control over the conduct, timing and completion of studies and the management of data generated from such studies. Nonetheless, we remain responsible for ensuring that our studies and trials are conducted in accordance with applicable protocol, legal and regulatory requirements and scientific standards. In other words, our reliance on third parties does not relieve us of our regulatory responsibilities. For example, we will remain responsible for ensuring that each of our clinical trials is conducted in accordance with the investigational plan and relevant protocols and that any such trial complies with GCP standards. If we or any of our CROs or any clinical trial sites fail to comply with applicable GCP requirements, the clinical data generated in those trials may be deemed unreliable. This may cause the FDA or other comparable foreign regulatory authorities to require us to perform additional clinical trials before approving our marketing applications. If any of the third parties we rely on violates federal or state fraud and abuse or false claims laws and regulations or healthcare privacy and security laws, or other laws, actions may be instituted against us.</w:t>
      </w:r>
    </w:p>
    <w:p>
      <w:pPr>
        <w:spacing w:after="0" w:line="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If any actions based on our conduct, our employees’ conduct or third-party conduct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injunctions, private actions brought by individual whistleblowers in the name of the government, debarment or refusal to allow us to enter into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8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Additionally, there are risks that the third parties we rely on could become disqualified, debarred, suspended or otherwise penalized by the FDA or other comparable foreign regulatory authorities for violations of applicable regulatory requirements, in which case we may need to engage a substitute and may not be able to use some or all of the data produced by such contractors in support of our marketing applications.</w:t>
      </w:r>
    </w:p>
    <w:p>
      <w:pPr>
        <w:spacing w:after="0" w:line="28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compromised, or our information technology systems or those of our CROs, CMOs, vendors, contractors, consultants or other third-party partners fail or suffer security breaches, cyber-attacks, loss or leakage of data or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collect, process, store and transmit proprietary, confidential and sensitive information (including intellectual property, trade secrets, proprietary business information, personal information and protected health information). It is critical that we do so in a secure manner to maintain the confidentiality, integrity and availability of such information. We depend on information technology and telecommunications systems for significant elements of our operations and we utilize,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These risks extend to the third parties with whom we work, as we rely on a number of third parties to operate our critical business systems and process confidential, proprietary and sensitive information.</w:t>
      </w:r>
    </w:p>
    <w:p>
      <w:pPr>
        <w:spacing w:after="0" w:line="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given the size, complexity and increasing amounts of proprietary, confidential and sensitive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distributed denial-of-service attacks, social engineering and other means to affect service reliability and the confidentiality, integrity and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1" w:name="page82"/>
    <w:bookmarkEnd w:id="81"/>
    <w:p>
      <w:pPr>
        <w:spacing w:after="0" w:line="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availability of information), which may compromise our system infrastructure, or that of our CROs, CMOs, vendors, contractors, consultants and other third-party partners, or lead to data leakage.</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OJEMDA, DAY301, VRK1 or any future product candidates could be delayed. Any breach, loss or compromise of proprietary, confidential or sensitive information may also subject us to civil fines and penalties, including under HIPAA, and other relevant state and federal privacy laws in the United States.</w:t>
      </w:r>
    </w:p>
    <w:p>
      <w:pPr>
        <w:spacing w:after="0" w:line="8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OJEMDA or our product candidates could be delayed. In addition, the loss of clinical trial data for OJEMDA, DAY301, VRK1 or any other product candidates could result in delays in our marketing authorization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the information technology systems of our CROs, CMOs, vendors, contractors, consultants and other third-party partners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Any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may have contractual and other legal obligations to notify relevant stakeholders of security breaches. Most jurisdictions have enacted laws requiring companies to notify individuals, regulatory authorities and others of security breaches involving certain types of data.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costs to respond to a security breach and/or to mitigate any security vulnerabilities that may be identified could be significant, our efforts to address these issues may not be successful and these issues could result in interruptions,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delays, negative publicity, loss of customer trust or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w:t>
      </w:r>
    </w:p>
    <w:p>
      <w:pPr>
        <w:spacing w:after="0" w:line="68"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we maintain cybersecurity insurance coverage, 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our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w:t>
      </w:r>
    </w:p>
    <w:p>
      <w:pPr>
        <w:spacing w:after="0" w:line="29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6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and third parties who we work with are or may become subject to numerous domestic and foreign data protection laws and regulations (i.e., laws and regulations that address privacy and data security), the scopes of which are changing, subject to differing applications and interpretations, and may be inconsistent among states, countries, or conflict with other requirements.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health information privacy and security laws, data breach notification laws, health information privacy laws and consumer protection laws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which has a broader scope than HIPAA and includes a private right of action.</w:t>
      </w:r>
    </w:p>
    <w:p>
      <w:pPr>
        <w:spacing w:after="0" w:line="7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California, the CCPA, grants individual privacy rights for California consumers and places increased privacy and data security obligations on entities handling personal information of consumers or households. The CCPA is enforced by the California Privacy Protection Agency, or the CPPA. The CCPA gives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and provides for civil penalties and a private right of action for data breaches that is expected to increase data breach litigation.</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also subject to foreign data protection laws, including the General Data Protection Regulation, or GDPR, which applies to personal information (including health-related data) obtained from individuals in the European Economic Area, or the EEA (as well as substantially similar laws that govern the collection of data from individuals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UK and Switzerland). The GDPR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(17.5 million GBP in the UK)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Changes in international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European data protection laws generally prohibit the transfer of personal information to countries outside of the EEA, UK and Switzerland, such as the United States, which are not considered by their relevant authorities to provide an adequate level of data 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If we cannot implement a valid compliance mechanism for cross-border data transfers, we may face increased exposure to regulatory actions, substantial fines, and injunctions against processing or transferring personal data from Europe or other foreign jurisdictions. In the EU and other markets, potential new rules and restrictions on the flow of data across borders could increase the cost and complexity of doing business in those regions.</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countries, including China, Brazil, Australia and Japan, for example, have adopted certain legal requirements for local storage and processing of data and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or may become subject to the terms of external and internal privacy and security policies, representations, certifications and publications related to privacy and security.</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5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There is an increasing focus from certain regulators, investors, employees, users and other stakeholders concerning corporate responsibility, specifically related to ESG matters both in the United States and internationally.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ESG initiatives, goals or commitments could be difficult to achieve or costly to implement. If our competitors’ corporate social responsibility performance is perceived to be better than ours, potential or current investors may elect to invest with our competitors instead. Moreover, California recently adopted two new climate-related bills, which require companies doing business in California that meet certain revenue thresholds to publicly disclose certain greenhouse gas emissions data and climate-related financial risk reports, and compliance with such requirements could require significant effort and resources. Additionally, in March 2024, the SEC enacted comprehensive climate change disclosure rules, although the SEC has since issued an order to stay the rules pending the completion of judicial review of multiple petitions challenging the rules. Our business may face increased scrutiny related to these activities and our related disclosures, including from the investment community, and our failure to achieve progress or manage the dynamic public sentiment and legal landscape in these areas on a timely basis, or at all, could adversely affect our reputation, business, and financial performance.</w:t>
      </w:r>
    </w:p>
    <w:p>
      <w:pPr>
        <w:spacing w:after="0" w:line="29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current operations are primarily located in the San Francisco Bay Area.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In addition, the long-term effects of climate change on general economic conditions and the pharmaceutical industry in particular are unclear, and may heighten or intensify existing risk of natural disasters. Loss of access to these facilities may result in increased costs, delays in the development of OJEMDA or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9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or the Tax Cuts and Jobs Act, enacted many significant changes to the U.S. tax laws. For example, for tax years beginning on or after January 1, 2022, the Tax Cuts and Jobs Act requires taxpayers to capitalize and amortize, rather than deduct, R&amp;D expenses. R&amp;D expenses are amortizable over five years for research performed in the United States and 15 years for research performed outside the United States. Although there are legislative proposals to repeal or defer the capitalization requirement to later years, there can be no assurance that the provision will be repealed or otherwise modified.</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for transactions occurring on or after January 1, 2023, the Inflation Reduction Act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Future changes in corporate tax rates, the realization of net deferred tax assets relating to our operations, the taxation of foreign earnings, and the deductibility of expenses under the Tax Cuts and Jobs Act, or future reform legislation could have a material impact on the value of our deferred tax assets, could result in significant one-time charges, and could increase our future U.S. tax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U.S. federal net operating losses generated in tax years beginning after December 31, 2017, will not expire and may be carried forward indefinitely but the deductibility of such federal net operating losses is limited to 80% of current year taxable income (without regard to certain deductions).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During the year ended December 31, 2024, the Company has completed a Section 382 study to determine whether an ownership change per the provisions of Section 382 of the Internal Revenue Code, as well as similar state provisions, has occurred. The study found that one of our predecessor companies experienced an ownership change on June 16, 2022 and that the tax attributes that it generated are subject to a change pursuant to Section 382; however, based on the study all of these attributes are fully available for use as of December 31, 2023. The Company’s current year utilization of net operating losses and income tax credits is not impacted by the provisions of Section 382 or 383. As a result, if we undergo an ownership change (or if we previously underwent such an ownership change), our ability to use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engaged, and will continue to engage, in strategic transactions that could impact our liquidity, increase our expenses and present significant distractions to our management.</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engaged in strategic transactions, for instance, with affiliates of Takeda Pharmaceutical Company Limited, Viracta Therapeutics, Inc., Merck KGaA, Darmstadt, Germany, MabCare, and Ipsen, and from time to time, we may consider further strategic transactions, such as acquisitions of companies, businesses or assets and out-licensing or in-licensing of products, product candidates (such as DAY301 and VRK1) or technologies. Additional potential transactions that we may consider include a variety of different business arrangements, including spin-offs, strategic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86"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72"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systems and personnel of any acquired businesses with our operations, systems and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United States and other countries for OJEMDA and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OJEMDA and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7" w:name="page88"/>
    <w:bookmarkEnd w:id="87"/>
    <w:p>
      <w:pPr>
        <w:spacing w:after="0" w:line="8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Moreover, our exclusive licenses may be subject to field restrictions and retained rights, which may adversely impact our competitive position. See “Management’s Discussion and Analysis of Financial Condition and Results of Operations—Significant Agreements.” Our licensed patent portfolio may not provide us with adequate and continuing patent protection sufficient to exclude others from commercializing products similar to OJEMDA and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OJEMDA or our current or future product candidates.</w:t>
      </w:r>
    </w:p>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spacing w:after="0" w:line="8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compulsory license. If the patent protection provided by the patents and patent applications we hold or pursue with respect to OJEMDA or our product candidates is not sufficiently broad to impede such competition, our ability to successfully commercialize OJEMDA or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OJEMDA and our product candidates.</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similar proceedings challenging our owned patent rights. An adverse determination in any such submission, proceeding or litigation could jeopardize patent term adjustment or otherwise reduce patent term, reduce the scope of or invalidate or render unenforceable, our patent rights, or allow third parties to commercialize our product candidates and compete directly with us, without payment to us.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7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Furthermore, the issuance of a patent does not give us the right to practice the patented invention. Third parties may have blocking patents that could prevent us from marketing our own patented product and practicing our own patented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9" w:name="page90"/>
    <w:bookmarkEnd w:id="89"/>
    <w:p>
      <w:pPr>
        <w:spacing w:after="0" w:line="86" w:lineRule="exact"/>
        <w:rPr>
          <w:sz w:val="20"/>
          <w:szCs w:val="20"/>
          <w:color w:val="auto"/>
        </w:rPr>
      </w:pPr>
    </w:p>
    <w:p>
      <w:pPr>
        <w:ind w:left="520" w:right="4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OJEMDA and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the issued patents or patent application that we own or license;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we own or license will not lead to issued patents;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results of operations and prospects.</w:t>
      </w:r>
    </w:p>
    <w:p>
      <w:pPr>
        <w:spacing w:after="0" w:line="329"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and post 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8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84"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17"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OJEMDA or any of our product candidates until the asserted patent expires or is held finally invalid or not infringed in a court of law;</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December 31, 2024, others may hold proprietary rights that could prevent OJEMDA or our product candidates from being marketed. It is possible that a third-party may assert a claim of patent infringement directed at OJEMDA or our product candidates. Any patent-related legal action against us claiming damages and seeking to enjoin commercial activities relating to OJEMDA or our product candidates, treatment indications, or processes could subject us to significant liability for damages, including treble damages if we were determined to willfully infringe, and require us to obtain a license to manufacture or market OJEMDA or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OJEMDA,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OJEMDA or our product candidates and technology.</w:t>
      </w:r>
    </w:p>
    <w:p>
      <w:pPr>
        <w:spacing w:after="0" w:line="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280"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current product candidates and research programs are licensed from third parties. If these license agreements are terminated or interpreted to narrow our rights, our ability to advance OJEMDA and our current product candidates or develop new product candidates based on these technologies will be materially adversely affected.</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now depend on, at least in part, Viracta Therapeutics, Inc., Takeda Pharmaceutical Company Limited, Dana Farber Cancer Institute, Millennium Pharmaceuticals, Inc., Merck KGaA, Darmstadt, Germany, MabCare, and Ipsen and will continue to depend on Viracta Therapeutics, Inc., Takeda Pharmaceutical Company Limited, Dana Farber Cancer Institute, Millennium Pharmaceuticals, Inc. and Merck KGaA, Darmstadt, Germany, MabCare, and Ipsen and on licenses and sublicenses from other third parties, as well as potentially on other strategic relationships with third parties, for the research, development, manufacturing and commercialization of OJEMDA and our current product candidates. If any of our licenses or relationships or any in-licenses on which our licenses are based are terminated or breached, we may:</w:t>
      </w:r>
    </w:p>
    <w:p>
      <w:pPr>
        <w:spacing w:after="0" w:line="79"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our rights to develop and market OJEMDA or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patent or trade secret protection for OJEMDA or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significant delays in the development or commercialization of OJEMDA or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able to obtain any other licenses on acceptable terms, if at all;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liability for damages.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we experience any of the foregoing, it could have a materially adverse effect on our business and could force us to cease operations which could cause you to lose all of your investment.</w:t>
      </w:r>
    </w:p>
    <w:p>
      <w:pPr>
        <w:spacing w:after="0" w:line="266"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our license agreements, it could have a material adverse effect on our commercialization efforts for OJEMDA and our product candidates.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we breach any of the agreements under which we license the use, development and commercialization rights to OJEMDA and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OJEMDA and our current lead product candidates are protected by, among other intellectual property rights, patents and patent applications we co-own and exclusively in-license from Viracta Therapeutics, Inc. (f/k/a Sunesis Pharmaceuticals, Inc.). OJEMDA and our current lead product candidates and pipeline and our anticipated near-term pipeline may include technologies licensed from other third parties, including, for example, Merck KGaA, Darmstadt, Germany. Further, pursuant to the MabCare License Agreement, we have the exclusive right to develop, manufacture and commercialize DAY301 worldwide, excluding Greater China.</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54"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intellectual property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OJEMDA and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inventors are able to contest the assignment of their rights to our licensors.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or at all, we may be unable to successfully develop and successfully commercialize OJEMDA and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from third parties, including our licenses with Viracta Therapeutics, Inc., Takeda Pharmaceutical Company Limited, Dana Farber Cancer Institute, Millennium Pharmaceuticals, Inc., Merck KGaA, Darmstadt, Germany, MabCare, and Ipsen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marketing authorization of, and to market, products identical to ours. This could have a material adverse effect on our competitive position, business, financial conditions, results of operations and prospects.</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84"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p>
    <w:p>
      <w:pPr>
        <w:spacing w:after="0" w:line="2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seek to expand our product candidate pipeline in part by in-licensing the rights to key technologies. The future growth of our business will depend in part on our ability to in-license or otherwise acquire the rights to additional</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3" w:name="page94"/>
    <w:bookmarkEnd w:id="93"/>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product candidates or technologies. We cannot assure you that we will be able to in-license or acquire the rights to any product candidates or technologies from third parties on acceptable terms or at all.</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w:t>
      </w:r>
    </w:p>
    <w:p>
      <w:pPr>
        <w:spacing w:after="0" w:line="29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OJEMDA or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Third parties may also raise similar invalidity claims before the USPTO or patent offices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post grant review proceedings,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w:t>
      </w:r>
    </w:p>
    <w:p>
      <w:pPr>
        <w:spacing w:after="0" w:line="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8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from their regular responsibilities.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OJEMDA and our product candidates to market.</w:t>
      </w:r>
    </w:p>
    <w:p>
      <w:pPr>
        <w:spacing w:after="0" w:line="2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and/or those of our licensors and the enforcement or defense of our issued patents and/or those of our licensors.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8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An adverse determination in any such submission or proceeding could reduce the scope or enforceability of, or invalidate, our patent rights, which could adversely affect our competitive position.</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w:t>
      </w:r>
    </w:p>
    <w:p>
      <w:pPr>
        <w:spacing w:after="0" w:line="293"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OJEMDA and our product candidates.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with respect to our patents or third-party patents. In addition, the U.S. Congress or other foreign legislative bodies may pass patent reform legislation that is unfavorable to us.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Additionally, starting from June 1, 2023, European applications have the option, upon grant of a patent, of becoming a Unitary Patent which will be subject to the jurisdiction of the Unitary Patent Court, or the UPC. This will be a significant change in European patent practice. As the UPC is a new court system, there is limited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OJEMDA and product candidates, our business may be materially harmed.</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authorization of our product and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foreign countries upon marketing authorization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may launch their product earlier than might otherwise be the case.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2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rely in part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wrongfully used or disclosed alleged confidential information or trade secrets.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successfully commercializing OJEMDA and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intellectual property litigation more effectively than we can because they have substantially greater resources. Furthermore, because of the substantial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spacing w:after="0" w:line="8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is common in the biopharmaceutical industry, in addition to our employees, we engage the services of consultants to assist us in the development of OJEMDA and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OJEMDA and some of our product candidates may be dependent on third parties.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OJEMDA and our product candidates, there may be times when the filing and prosecution activities for patents and patent applications relating to OJEMDA and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OJEMDA and our product candidates, we could lose our rights to the intellectual property or our exclusivity with respect to those rights, our ability to develop and commercialize OJEMDA and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Currently, our intellectual property protection includes patents and patent applications that we have in-licensed from, among others, Viracta Therapeutics, Inc., Takeda Pharmaceutical Company Limited, Merck KGaA, Darmstadt, Germany, MabCare, and Ipsen.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 Significant Agreements.” Our licensed patent portfolio may not provide us with adequate and continuing patent protection sufficient to exclude others from commercializing products similar to OJEMDA and our product candidates.</w:t>
      </w:r>
    </w:p>
    <w:p>
      <w:pPr>
        <w:spacing w:after="0" w:line="29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30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Certain geo-political actions in the United States or other countries may increase the uncertainties and costs related to the prosecution or maintenance of our patent applications, or those of our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29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operating results will be affected by numerous factors, including:</w:t>
      </w:r>
    </w:p>
    <w:p>
      <w:pPr>
        <w:spacing w:after="0" w:line="117"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the sales of our product, OJEMDA;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variations in the level of expense related to the current or future development of our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status of enrollment for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clinical trials or funding support by us or potential future partners;</w:t>
      </w:r>
    </w:p>
    <w:p>
      <w:pPr>
        <w:spacing w:after="0" w:line="117"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misappropriation or violation lawsuit or opposition, interference or cancellation proceeding in which we may become involved;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product candidate we develop receives marketing authorization, the timing and terms of such approval and market acceptance and demand for such product;</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to establish a sales, marketing and distribution infrastructure to commercialize any products for which we may obtain marketing authorization and intend to commercialize on our own or jointly with future collaborators;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current or future product candidates or products, if any, or those of our competitors;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expense or gain associated with the change in value of the success payments and contingent consideration;</w:t>
      </w:r>
    </w:p>
    <w:p>
      <w:pPr>
        <w:spacing w:after="0" w:line="117" w:lineRule="exact"/>
        <w:rPr>
          <w:rFonts w:ascii="Times New Roman" w:cs="Times New Roman" w:eastAsia="Times New Roman" w:hAnsi="Times New Roman"/>
          <w:sz w:val="18"/>
          <w:szCs w:val="18"/>
          <w:color w:val="auto"/>
        </w:rPr>
      </w:pPr>
    </w:p>
    <w:p>
      <w:pPr>
        <w:ind w:left="520" w:right="84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such as due to rising interest rates, inflation, significant political, trade or regulatory developments, global regional conflicts and public health epidemics;</w:t>
      </w:r>
    </w:p>
    <w:p>
      <w:pPr>
        <w:spacing w:after="0" w:line="53"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activities, such as additional program in-licensing, which could result in up-front payments or increased development expenses;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which could result in substantial losses for purchasers of our common stock.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w:t>
      </w:r>
    </w:p>
    <w:p>
      <w:pPr>
        <w:spacing w:after="0" w:line="68" w:lineRule="exact"/>
        <w:rPr>
          <w:sz w:val="20"/>
          <w:szCs w:val="20"/>
          <w:color w:val="auto"/>
        </w:rPr>
      </w:pPr>
    </w:p>
    <w:p>
      <w:pPr>
        <w:jc w:val="right"/>
        <w:ind w:left="5540" w:right="5500" w:hanging="5532"/>
        <w:spacing w:after="0" w:line="783" w:lineRule="auto"/>
        <w:tabs>
          <w:tab w:leader="none" w:pos="52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commercialization efforts for our product, OJEMDA;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86" w:lineRule="exact"/>
        <w:rPr>
          <w:sz w:val="20"/>
          <w:szCs w:val="20"/>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or clinical trials by us or those of our competitors or by existing or future collaborators or licensing partners;</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enrollment status of our clinical trials;</w:t>
      </w:r>
    </w:p>
    <w:p>
      <w:pPr>
        <w:spacing w:after="0" w:line="117" w:lineRule="exact"/>
        <w:rPr>
          <w:rFonts w:ascii="Times New Roman" w:cs="Times New Roman" w:eastAsia="Times New Roman" w:hAnsi="Times New Roman"/>
          <w:sz w:val="18"/>
          <w:szCs w:val="18"/>
          <w:color w:val="auto"/>
        </w:rPr>
      </w:pPr>
    </w:p>
    <w:p>
      <w:pPr>
        <w:ind w:left="512"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 including variations in the level of expense related to the development of our programs or funding support by us or by existing or future collaborators or licensing partners;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business;</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512" w:right="32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 candidates by us, our future collaboration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512" w:right="10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or product candidates;</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and proprietary rights;</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512" w:right="62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fluctuations of trading volume of our common stock;</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increases on the overall stock market and the market for biopharmaceutical company stocks;</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insiders or our stockholders;</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w:t>
      </w:r>
    </w:p>
    <w:p>
      <w:pPr>
        <w:spacing w:after="0" w:line="117" w:lineRule="exact"/>
        <w:rPr>
          <w:rFonts w:ascii="Times New Roman" w:cs="Times New Roman" w:eastAsia="Times New Roman" w:hAnsi="Times New Roman"/>
          <w:sz w:val="18"/>
          <w:szCs w:val="18"/>
          <w:color w:val="auto"/>
        </w:rPr>
      </w:pPr>
    </w:p>
    <w:p>
      <w:pPr>
        <w:ind w:left="512" w:right="680" w:hanging="512"/>
        <w:spacing w:after="0" w:line="282" w:lineRule="auto"/>
        <w:tabs>
          <w:tab w:leader="none" w:pos="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inflation, changes in interest rates and significant political, trade or regulatory developments, many of which are beyond our control;</w:t>
      </w:r>
    </w:p>
    <w:p>
      <w:pPr>
        <w:spacing w:after="0" w:line="37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40" w:right="379" w:bottom="1440" w:gutter="0" w:footer="0" w:header="0"/>
        </w:sectPr>
      </w:pPr>
    </w:p>
    <w:bookmarkStart w:id="103" w:name="page104"/>
    <w:bookmarkEnd w:id="103"/>
    <w:p>
      <w:pPr>
        <w:spacing w:after="0" w:line="86" w:lineRule="exact"/>
        <w:rPr>
          <w:sz w:val="20"/>
          <w:szCs w:val="20"/>
          <w:color w:val="auto"/>
        </w:rPr>
      </w:pPr>
    </w:p>
    <w:p>
      <w:pPr>
        <w:ind w:left="520" w:right="68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global pandemics, such as the COVID-19 pandemic, or war, incidents of terrorism or responses to these events, including global regional conflicts;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including as a result of the COVID-19 pandemic, increase in inflation and changes in interest rates, as well as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holders of an aggregate of 8,502,776 shares of our outstanding common stock as of December 31, 2024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w:t>
      </w:r>
    </w:p>
    <w:p>
      <w:pPr>
        <w:spacing w:after="0" w:line="7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vesting of outstanding restricted stock unit awards, or the perception that such sales may occur, could adversely affect the market price of our common stock.</w:t>
      </w:r>
    </w:p>
    <w:p>
      <w:pPr>
        <w:spacing w:after="0" w:line="7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2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December 31, 2024, our executive officers, directors, holders of 5% or more of our capital stock and their respective affiliates beneficially owned 47.3%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5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68"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8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apply, however, to a suit that falls within one or more of the categories enumerated in the exclusive forum provision.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of 1933, as amended, or the Securities Act, creates concurrent jurisdiction for federal and state courts over all claims brought to enforce any duty or liability created by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company, our common stock price and trading volume could decline.</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The Sarbanes-Oxley Act, the Dodd-Frank Wall Street Reform and Consumer Protection Act, the listing requirements of the Nasdaq Global Select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is required to report upon the effectiveness of our internal control over financial reporting and our independent registered public accounting firm is required to attest to the effectiveness of our internal control over financial reporting in our annual reports on Form 10-K. The rules governing the standards that must be met for our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failure to maintain internal control over financial reporting, including any failure to implement required new or improved controls, or difficulties encountered in their implementation, could severely inhibit our ability to accurately report our financial condition, results of operations or cash flows. If we or our independent registered public accounting firm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or internal controls and procedures, no matter how well-conceived and operated, can provide only reasonable, not absolute, assurance that the objectives of the control system are met.</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global economy, including credit and financial markets, has recently experienced extreme volatility and disruptions, including severely diminished liquidity and credit availability, volatile interest rates and increasing inflation, declines in consumer confidence, declines in economic growth, increases in unemployment rates and uncertainty about economic stability. A severe or prolonged economic downturn or recession and a continued increase in inflation rates or interest rates could result in a variety of risks to our business, including weakened demand for OJEMDA and our ability to raise additional capital when needed on acceptable terms, if at all. Likewise, the capital and credit markets may be adversely affected by global regional conflicts, and the possibility of wider or additional global conflicts, global sanctions imposed in response thereto or an energy crisis.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8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Further, our business and operations may be impacted by the political instability and military hostilities in multiple geographies including Ukraine, the Middle East and the tensions between China and Taiwan.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Company’s board of directors, or the Board, recognizes the critical importance of maintaining the trust and confidence of our patients, investors, business partners and employees. The Board is actively involved in oversight of the Company’s risk management program, and cybersecurity represents an important component of the Company’s overall approach to risk management. The Company’s cybersecurity policies, standards, processes and practices are fully integrated into the Company’s risk management program and are based on recognized frameworks established by the National Institute of Standards and Technology, the International Organization for Standardization and other applicable industry standards. In general, the Company seeks to address cybersecurity risks through a comprehensive, cross-functional approach that is focused on preserving the confidentiality, security and availability of the information that the Company collects and stores by identifying, preventing, mitigating and remediating cybersecurity threats and effectively responding to cybersecurity incidents when they occur.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As one of the critical elements of the Company’s overall risk management approach, the Company’s cybersecurity program is focused on the following key areas:</w:t>
      </w:r>
    </w:p>
    <w:p>
      <w:pPr>
        <w:spacing w:after="0" w:line="50"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Governance</w:t>
      </w:r>
      <w:r>
        <w:rPr>
          <w:rFonts w:ascii="Times New Roman" w:cs="Times New Roman" w:eastAsia="Times New Roman" w:hAnsi="Times New Roman"/>
          <w:sz w:val="18"/>
          <w:szCs w:val="18"/>
          <w:color w:val="auto"/>
        </w:rPr>
        <w:t>: As discussed in more detail under the heading “Governance,” the Board's oversight of cybersecurity risk management is supported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Audit Committee of the Board, or the Audit Committee, which regularly interacts with the Company’s Head of Information Technology and other members of management, including members of management’s Data Privacy and Security Committee.</w:t>
      </w:r>
    </w:p>
    <w:p>
      <w:pPr>
        <w:spacing w:after="0" w:line="63"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Collaborative Approach</w:t>
      </w:r>
      <w:r>
        <w:rPr>
          <w:rFonts w:ascii="Times New Roman" w:cs="Times New Roman" w:eastAsia="Times New Roman" w:hAnsi="Times New Roman"/>
          <w:sz w:val="18"/>
          <w:szCs w:val="18"/>
          <w:color w:val="auto"/>
        </w:rPr>
        <w:t>: The Company has implemented a comprehensive, cross-functional approach to identifying, preventing and mitigating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threats and incidents, while also implementing controls and processes that provide for the prompt escalation of certain cybersecurity incidents so that decisions regarding the public disclosure and reporting of such incidents can be made by management in a timely manner.</w:t>
      </w:r>
    </w:p>
    <w:p>
      <w:pPr>
        <w:spacing w:after="0" w:line="63"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Information Security</w:t>
      </w:r>
      <w:r>
        <w:rPr>
          <w:rFonts w:ascii="Times New Roman" w:cs="Times New Roman" w:eastAsia="Times New Roman" w:hAnsi="Times New Roman"/>
          <w:sz w:val="18"/>
          <w:szCs w:val="18"/>
          <w:color w:val="auto"/>
        </w:rPr>
        <w:t>: We implement organizational, administrative and technical measures based on commercially reasonable procedures using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standard information security measures prescribed for use by National Institute of Standards and Technology, (ii) security measures aligned with the ISO/IEC 27000 series of standards, (iii) the Sarbanes-Oxley Act and SSAE 18/ISAE 3402, (iv) privacy regulations such as the European Union’s General Data Protection Regulation and the California Consumer Privacy Act, (v) business continuity management measures aligned with the ISO/IEC 22301 standard and (vi) other generally recognized industry standards, in each case, designed to safeguard the confidentiality, integrity, and availability of our infrastructure and data and the resiliency of our operations.</w:t>
      </w:r>
    </w:p>
    <w:p>
      <w:pPr>
        <w:spacing w:after="0" w:line="74"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Technical Safeguards</w:t>
      </w:r>
      <w:r>
        <w:rPr>
          <w:rFonts w:ascii="Times New Roman" w:cs="Times New Roman" w:eastAsia="Times New Roman" w:hAnsi="Times New Roman"/>
          <w:sz w:val="18"/>
          <w:szCs w:val="18"/>
          <w:color w:val="auto"/>
        </w:rPr>
        <w:t>: The Company deploys technical safeguards that are designed to protect the Company’s information systems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threats, including firewalls, intrusion prevention and detection systems, anti-malware functionality and access controls, which are evaluated and improved through vulnerability assessments and cybersecurity threat intelligence.</w:t>
      </w:r>
    </w:p>
    <w:p>
      <w:pPr>
        <w:spacing w:after="0" w:line="63"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Incident Response and Recovery Planning</w:t>
      </w:r>
      <w:r>
        <w:rPr>
          <w:rFonts w:ascii="Times New Roman" w:cs="Times New Roman" w:eastAsia="Times New Roman" w:hAnsi="Times New Roman"/>
          <w:sz w:val="18"/>
          <w:szCs w:val="18"/>
          <w:color w:val="auto"/>
        </w:rPr>
        <w:t>: The Company has established and maintains comprehensive incident response and recovery plans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fully address the Company’s response to a cybersecurity incident, and such plans are tested and evaluated on a regular basis.</w:t>
      </w:r>
    </w:p>
    <w:p>
      <w:pPr>
        <w:spacing w:after="0" w:line="47" w:lineRule="exact"/>
        <w:rPr>
          <w:sz w:val="20"/>
          <w:szCs w:val="20"/>
          <w:color w:val="auto"/>
        </w:rPr>
      </w:pPr>
    </w:p>
    <w:p>
      <w:pPr>
        <w:jc w:val="both"/>
        <w:ind w:right="1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Third-Party Risk Management</w:t>
      </w:r>
      <w:r>
        <w:rPr>
          <w:rFonts w:ascii="Times New Roman" w:cs="Times New Roman" w:eastAsia="Times New Roman" w:hAnsi="Times New Roman"/>
          <w:sz w:val="18"/>
          <w:szCs w:val="18"/>
          <w:color w:val="auto"/>
        </w:rPr>
        <w:t>: The Company maintains a comprehensive, risk-based approach to identifying and overseeing cybersecurity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by third parties, including vendors, service providers and other external users of the Company’s systems, as well as the systems of third parties that could adversely impact our business in the event of a cybersecurity incident affecting those third-party systems.</w:t>
      </w:r>
    </w:p>
    <w:p>
      <w:pPr>
        <w:spacing w:after="0" w:line="63" w:lineRule="exact"/>
        <w:rPr>
          <w:sz w:val="20"/>
          <w:szCs w:val="20"/>
          <w:color w:val="auto"/>
        </w:rPr>
      </w:pPr>
    </w:p>
    <w:p>
      <w:pPr>
        <w:jc w:val="both"/>
        <w:ind w:right="1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Education and Awareness</w:t>
      </w:r>
      <w:r>
        <w:rPr>
          <w:rFonts w:ascii="Times New Roman" w:cs="Times New Roman" w:eastAsia="Times New Roman" w:hAnsi="Times New Roman"/>
          <w:sz w:val="18"/>
          <w:szCs w:val="18"/>
          <w:color w:val="auto"/>
        </w:rPr>
        <w:t>: The Company provides regular, mandatory training for personnel and contractors regarding cybersecurity threats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to equip the Company’s personnel with effective tools to address cybersecurity threats, and to communicate the Company’s evolving information security policies, standards, processes and practices.</w:t>
      </w:r>
    </w:p>
    <w:p>
      <w:pPr>
        <w:spacing w:after="0" w:line="6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Risk and Readiness Assessments</w:t>
      </w:r>
      <w:r>
        <w:rPr>
          <w:rFonts w:ascii="Times New Roman" w:cs="Times New Roman" w:eastAsia="Times New Roman" w:hAnsi="Times New Roman"/>
          <w:sz w:val="18"/>
          <w:szCs w:val="18"/>
          <w:color w:val="auto"/>
        </w:rPr>
        <w:t>: The Company engages in the periodic assessment and testing of the Company’s policies, standards, processes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The Company regularly engages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Audit Committee and the Board, and the Company adjusts its cybersecurity policies, standards, processes and practices as necessary based on the information provided by these assessments, audits and reviews.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We maintain information security risk insurance coverage.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Board, in coordination with the Audit Committee, oversees the Company’s risk management process, including the management of risks arising from cybersecurity threats. The Board and the Audit Committee each receive regular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the Company’s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peers and third parties. The Board and the Audit Committee also receive prompt and timely information regarding any cybersecurity incident that meets established reporting thresholds, as well as ongoing updates regarding any such incident until it has been addressed. On an annual basis, the Board and the Audit Committee discuss the Company’s approach to cybersecurity risk management with members of the Data Privacy and Security Committee, which includes the Company’s Head of Information Technology.</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Head of Information Technology, in coordination with the Data Privacy and Security Committee, which includes our Chief Executive Officer, or CEO, Chief Operating and Financial Officer, or COO and CFO, and General Counsel, works collaboratively across the Company to implement a program designed to protect the Company’s information systems from cybersecurity threats and to promptly respond to any cybersecurity incidents in accordance with the Company’s incident response and recovery plans. To facilitate the success of the Company’s cybersecurity risk management program, multidisciplinary teams throughout the Company are deployed to address cybersecurity threats and to respond to cybersecurity incidents. Through ongoing communications with these teams, the Head of Information Technology and the Data Privacy and Security Committee monitor the prevention, detection, mitigation and remediation of cybersecurity threats and incidents in real time, and report such threats and incidents to the Audit Committee when appropriate.</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Head of Information Technology has served in various roles in information technology and information security for over 20 years, including serving as Vice President, Information Technology at three public companies. The Head of Information Technology holds an undergraduate degree in Business Administration, Management Information Systems. The Company’s CEO, COO and CFO, and General Counsel each hold undergraduate and graduate degrees in their respective fields, and have extensive experience managing risks at the Company and at similar companies, including risks arising from cybersecurity threats.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 If we were to experience a material cybersecurity incident in the future, such incidents may have a material effect, including on our operations, business strategy, results of operations or financial condition. For more information regarding cybersecurity risks that we face and potential impacts on our business related thereto, see the risk factor titled “If our security measures are compromised, or our information technology systems or those of our CROs, CMOs, vendors, contractors, consultants or other third-party partners fail or suffer security breaches, cyber-attacks, loss or leakage of data or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0" w:name="page111"/>
    <w:bookmarkEnd w:id="11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in Brisbane, California, where we lease approximately 19,000 square feet of office space. The lease expires in December 2031. There is no option to extend the lease term nor is there an option to terminate the lease prior to its expiration. We believe these facilities are sufficient to meet our ongoing needs and that, if we require additional space, we will be able to obtain additional facilities on commercially reasonable terms.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is not subject to any material legal proceedings, and to the best of its knowledge, no material legal proceedings are currently pending or threatened.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We became a public company on May 26, 2021. Our common stock is listed for trading on the NASDAQ Capital Market under the symbol “DAWN.”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of February 20, 2025, there were approximately 32 stockholders of record of our common stock based on information provided by our transfer agent.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an amendment to this Annual Report on Form 10-K or incorporated by reference from our definitive proxy statement to be filed pursuant to Regulation 14A within 120 days of the end of the fiscal year covered by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9" w:lineRule="exact"/>
        <w:rPr>
          <w:sz w:val="20"/>
          <w:szCs w:val="20"/>
          <w:color w:val="auto"/>
        </w:rPr>
      </w:pPr>
    </w:p>
    <w:p>
      <w:pPr>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“filed” with the SEC for purposes of Section 18 of the Exchange Act, or incorporated by reference into any of our filings under the Securities Act or the Exchange Act generally, except as shall be expressly set forth by specific reference in such filing.</w:t>
      </w:r>
    </w:p>
    <w:p>
      <w:pPr>
        <w:spacing w:after="0" w:line="6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graph shows the cumulative total return to our stockholders between May 27, 2021 (the date our common stock commenced trading on the Nasdaq Global Select Market) and December 31, 2024, in comparison to the Nasdaq Biotechnology Index, the Nasdaq Composite Index, and the Standard &amp; Poor’s 500 Index. An initial investment of $100 and reinvestment of dividends is assumed to have been made in our common stock and in each</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2" w:name="page113"/>
    <w:bookmarkEnd w:id="112"/>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index. The historical stock price performance of our common stock shown in the performance graph is not necessarily indicative of, or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45720</wp:posOffset>
            </wp:positionV>
            <wp:extent cx="5349240" cy="29832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4924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appearing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 For the comparison of the financial results for the fiscal years ended December 31, 2023 and 2022, see Item 7, Management’s Discussion and Analysis of Financial Condition and Results of Operations, in our Annual Report on Form 10-K for the fiscal year ended December 31, 2023, filed with the SEC on February 26, 2023. As used in this report, unless the context suggests otherwise, “we,” “us,” “our,” “the Company” or “Day One” refer to Day One Biopharmaceuticals, Inc.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Day One Biopharmaceuticals, Inc. is a commercial-stage company focused on advancing first- or best-in-class medicines for childhood and adult diseases with equal intensity. We were founded to address the lack of new therapies resulting from the traditional drug development model, which has left children with cancer and their families waiting too long for new treatments.</w:t>
      </w:r>
    </w:p>
    <w:p>
      <w:pPr>
        <w:spacing w:after="0" w:line="6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At Day One, we aim to identify and develop breakthrough medicines with the goal of improving the outcomes and life trajectories of patients of any age facing serious diseases — starting from Day One. Our “search &amp; development” strategy enables us to find, acquire, and develop potential best-or first-in-class programs with the goal of introducing new medicines that will make a real difference in the treatment of children and adults.</w:t>
      </w:r>
    </w:p>
    <w:p>
      <w:pPr>
        <w:spacing w:after="0" w:line="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Our first commercial product, tovorafenib, is an oral, brain-penetrant, highly selective type II rapidly accelerated fibrosarcoma, or RAF, kinase inhibitor. Tovorafenib was granted breakthrough therapy designation by the U.S. Food and Drug Administration, or the FDA, in August 2020 for the treatment of relapsed or refractory low-grade glioma, or pLGG, based on initial results from a Phase 1 trial which showed evidence of rapid anti-tumor activity and durable responses in patients with pLGG. Pediatric low-grade glioma is the most common brain tumor diagnosed in children. While new targeted therapeutic options have recently become available for patients with pLGG, there is no consensual standard of care and a vast majority of patients with pLGG do not yet have access to approved therapies. Tovorafenib received orphan drug designation for the treatment of malignant glioma from the FDA in September 2020 and from the EU Commission for the treatment of glioma in May 2021. Additionally, the FDA granted rare pediatric disease designation to tovorafenib for treatment of low-grade gliomas, or LGGs, harboring an activating RAF alteration in July 2021.</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April 23, 2024, we announced that the FDA approved OJEMDA™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priority review voucher, or PRV, from the FDA. We have commenced the commercial launch of OJEMDA in the United States. OJEMDA is the only systemic therapy for pLGG that offers once-weekly dosing, with or without food, as a tablet or oral suspension.</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accelerated approval of OJEMDA is based on data from the Company’s pivotal open-label Phase 2 trial, or FIREFLY-1, which enrolled a total of 137 relapsed or refractory BRAF-altered pLGG patients across two study arms. Arm 1, which accrued 77 patients, was used for the efficacy analyses. Arm 2 provided additional safety data from an incremental 60 patients and was initiated to enable access to OJEMDA once Arm 1 had fully accrued. Details of this trial were presented in November 2023 at the Society for Neuro-Oncology meeting through two oral plenary presentations and in parallel through a publication in Nature Medicine.</w:t>
      </w:r>
    </w:p>
    <w:p>
      <w:pPr>
        <w:spacing w:after="0" w:line="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approval of OJEMDA was based, in part, on the major efficacy outcome measure of overall response rate, or ORR, defined as the proportion of patients with complete response, partial response, or PR, or minor response, or MR, by independent review based on Response Assessment in Pediatric Neuro-Oncology Low-Grade Glioma, or RAPNO LGG.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Arm 1, data from the 76 RAPNO LGG evaluable patients include:</w:t>
      </w:r>
    </w:p>
    <w:p>
      <w:pPr>
        <w:spacing w:after="0" w:line="117" w:lineRule="exact"/>
        <w:rPr>
          <w:sz w:val="20"/>
          <w:szCs w:val="20"/>
          <w:color w:val="auto"/>
        </w:rPr>
      </w:pPr>
    </w:p>
    <w:p>
      <w:pPr>
        <w:ind w:left="1780" w:hanging="515"/>
        <w:spacing w:after="0"/>
        <w:tabs>
          <w:tab w:leader="none" w:pos="1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best ORR of 51% (95% CI: 40 - 63), which included 28% PRs and 11% MRs.</w:t>
      </w:r>
    </w:p>
    <w:p>
      <w:pPr>
        <w:spacing w:after="0" w:line="117" w:lineRule="exact"/>
        <w:rPr>
          <w:rFonts w:ascii="Times New Roman" w:cs="Times New Roman" w:eastAsia="Times New Roman" w:hAnsi="Times New Roman"/>
          <w:sz w:val="18"/>
          <w:szCs w:val="18"/>
          <w:color w:val="auto"/>
        </w:rPr>
      </w:pPr>
    </w:p>
    <w:p>
      <w:pPr>
        <w:ind w:left="2280" w:right="80" w:hanging="505"/>
        <w:spacing w:after="0" w:line="282" w:lineRule="auto"/>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for OJEMDA was 52% among the 64 patients with BRAF fusions or rearrangements and 50% for the 12 patients with a BRAF V600 mutation.</w:t>
      </w:r>
    </w:p>
    <w:p>
      <w:pPr>
        <w:spacing w:after="0" w:line="53" w:lineRule="exact"/>
        <w:rPr>
          <w:rFonts w:ascii="Times New Roman" w:cs="Times New Roman" w:eastAsia="Times New Roman" w:hAnsi="Times New Roman"/>
          <w:sz w:val="18"/>
          <w:szCs w:val="18"/>
          <w:color w:val="auto"/>
        </w:rPr>
      </w:pPr>
    </w:p>
    <w:p>
      <w:pPr>
        <w:ind w:left="2280" w:right="560" w:hanging="505"/>
        <w:spacing w:after="0" w:line="282" w:lineRule="auto"/>
        <w:tabs>
          <w:tab w:leader="none" w:pos="22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was 49% among the 45 patients who had received a prior MAPK-targeted therapy, and 55% among the 31 patients who had not received a prior MAPK-targeted therapy.</w:t>
      </w:r>
    </w:p>
    <w:p>
      <w:pPr>
        <w:spacing w:after="0" w:line="53" w:lineRule="exact"/>
        <w:rPr>
          <w:rFonts w:ascii="Times New Roman" w:cs="Times New Roman" w:eastAsia="Times New Roman" w:hAnsi="Times New Roman"/>
          <w:sz w:val="18"/>
          <w:szCs w:val="18"/>
          <w:color w:val="auto"/>
        </w:rPr>
      </w:pPr>
    </w:p>
    <w:p>
      <w:pPr>
        <w:ind w:left="1780" w:right="680" w:hanging="515"/>
        <w:spacing w:after="0" w:line="282" w:lineRule="auto"/>
        <w:tabs>
          <w:tab w:leader="none" w:pos="1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June 5, 2023 data cutoff, the median duration of response by RAPNO LGG was 13.8 months (95% CI: 11.3, not estimable). In addition, 66% of patients remained on study and continue on treatment as of the cutoff date.</w:t>
      </w:r>
    </w:p>
    <w:p>
      <w:pPr>
        <w:spacing w:after="0" w:line="5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time to response, following initiation of treatment, with OJEMDA was 5.3 months (range 1.6 months, 11.2 months).</w:t>
      </w:r>
    </w:p>
    <w:p>
      <w:pPr>
        <w:spacing w:after="0" w:line="117"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RANO LGG criteria, the ORR was 53% [95% CI: (41, 64)].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safety of OJEMDA was evaluated in 137 patients with relapsed or refractory pLGG, with the majority of adverse events being Grade 1 or Grade</w:t>
      </w:r>
    </w:p>
    <w:p>
      <w:pPr>
        <w:spacing w:after="0" w:line="39" w:lineRule="exact"/>
        <w:rPr>
          <w:sz w:val="20"/>
          <w:szCs w:val="20"/>
          <w:color w:val="auto"/>
        </w:rPr>
      </w:pPr>
    </w:p>
    <w:p>
      <w:pPr>
        <w:ind w:right="260" w:firstLine="8"/>
        <w:spacing w:after="0" w:line="260"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common side effects were rash, hair color changes, tiredness, viral infection, vomiting, headache, fever, dry skin, constipation, nausea, acne and upper respiratory tract infection.</w:t>
      </w:r>
    </w:p>
    <w:p>
      <w:pPr>
        <w:spacing w:after="0" w:line="7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initiated a pivotal Phase 3 trial, or FIREFLY-2, evaluating tovorafenib as a front-line therapy in patients ages 6 months to 25 years with pLGG in June 2022. The first patient was dosed in FIREFLY-2 in March 2023. To date, patients continue to enroll in the United States, Canada, Europe, Australia and Asia, with approximately 113 sites activated. In June 2024, we announced the following changes to our FIREFLY-2 trial: the primary endpoint of objective response rate will be assessed according to the RAPNO-LGG criteria, key secondary endpoints of progression free survival and duration of response will be assessed according to RAPNO-LGG criteria, new patients will be initiated on a starting dose of 380 mg/m2/dose once weekly, and the addition of a once-monthly carboplatin regime as a fourth standard of care option for arm 2. We expect to complete enrollment of FIREFLY-2 in the first half of 2026.</w:t>
      </w:r>
    </w:p>
    <w:p>
      <w:pPr>
        <w:spacing w:after="0" w:line="81"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terms of the Ipsen License Agreement, (i) Ipsen paid us an upfront license fee in the amount of $70.8 million and (ii) Ipsen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Biopharmaceuticals, Inc., or the Investor, a fully-owned Affiliate of Ipsen, purchased 2,341,495 shares of our common stock in a private placement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million, at a price per share representing a 17.0% premium to the volume weighted average price, or VWAP, of our common stock as traded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Stock Market LLC for the ten consecutive trading days prior to and including the date of our public release of U.S. GAAP revenue for the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2024 on July 30, 2024, or the Revenue Release, and the ten consecutive trading days following the Revenue Release,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set forth in an investment agreement by and between us and the Investor dated July 23, 2024.</w:t>
      </w:r>
    </w:p>
    <w:p>
      <w:pPr>
        <w:spacing w:after="0" w:line="9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also eligible to receive up to approximately $330.0 million based on exchange rates as of the reporting date in additional commercial launch and sales-based milestone payments, as well as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August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an inhibitor targeting Vaccinia Related Kinase 1, or VRK1. VRK1 is a novel target involved in the regulation of cell division and DNA damage repair. Over-expression of VRK1 is linked to poor prognosis in a variety of adult and pediatric cancers, and VRK1 has been identified as 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synthetic lethal target in tumors where expression of its paralog, VRK2, is lost. Silencing of VRK2 expression via promoter methylation has been noted in most high-grade gliomas and high-risk neuroblastomas, providing a concrete approach for selecting patients with tumors sensitive to VRK1 inhibition. Preclinical research activities to advance the VRK1 inhibitor program are ongoing.</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2024, we entered into a license agreement, or the MabCare License Agreement, with MabCare Therapeutics, or MabCare, a pharmaceutical corporation located in Shanghai, China. Under the MabCare License Agreement, MabCare granted to us an exclusive worldwide license, excluding Greater China, with the right to grant sublicenses through multiple tiers, under specified patent rights and know-how for the Company to develop, manufacture and commercialize DAY301 (formerly MTX-13 or CB-002). DAY301 is a novel Antibody Drug Conjugate, or ADC, targeting protein-tyrosine kinase 7, or PTK7. In pre-clinical studies, DAY301 showed antitumor activity in a wide range of solid tumors. DAY301 targets PTK7, a highly-conserved, catalytically inactive transmembrane protein that is overexpressed in multiple adult cancers, including esophageal, ovarian, lung, and endometrial cancer, as well as pediatric cancers such as neuroblastoma, rhabdomyosarcoma and osteosarcoma. In April 2024, the FDA cleared the investigational new drug application for DAY301. In January 2025, we cleared the first cohort (a single-patient accelerated titration cohort) in the Phase 1a portion of the DAY301 Phase 1a/b clinical trial.</w:t>
      </w:r>
    </w:p>
    <w:p>
      <w:pPr>
        <w:spacing w:after="0" w:line="8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rights to develop tovorafenib and VRK1 for all therapeutic areas worldwide and DAY301 for all therapeutic areas worldwide, excluding Greater China, subject to certain milestone and royalty payments. Further, we hold exclusive rights to commercialize tovorafenib in the United States subject to royalty payments. Pursuant to the Ipsen License Agreement, we licensed to Ipsen, on an exclusive basis, the right to commercialize tovorafenib outside of the United States, in exchange for certain milestone and royalty payments.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product and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85725</wp:posOffset>
            </wp:positionV>
            <wp:extent cx="5349240" cy="30435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49240"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asset purchase agreement</w:t>
      </w:r>
    </w:p>
    <w:p>
      <w:pPr>
        <w:spacing w:after="0" w:line="1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On December 16, 2019, our subsidiary entered into an asset purchase agreement, or the Takeda Asset Agreement, with Millennium Pharmaceuticals, Inc., a related party and an affiliate of Takeda Pharmaceutical Company Limited, or Takeda. Effective December 31, 2021, the subsidiary was merged with and into our company, with our company being the surviving corporation and assuming the subsidiary’s obligations under the Takeda Asset Agreement.</w:t>
      </w:r>
    </w:p>
    <w:p>
      <w:pPr>
        <w:spacing w:after="0" w:line="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Pursuant to the Takeda Asset Agreement, we purchased certain technology rights and know-how related to TAK-580 (which is now OJEMDA) that provides a new approach for treating patients with primary brain tumors or brain metastases of solid tumors. Takeda also assigned us its exclusive license agreement, or the Viracta License Agreement, with Viracta. Takeda also granted us a worldwide, sublicensable exclusive license under specified patents and know-how and non-exclusive license under other patents and know-how generated by Takeda under the Takeda Asset Agreement. We also granted Takeda a grant back license, as defined in the Takeda Asset Agreement, which is terminable either automatically or by us in the event Takeda does not achieve specified development milestones within the applicable timeframes set forth under the Takeda Asset Agreement. This grant back license to Takeda was terminated at the time of conversion of the company from an LLC to a corporation in connection with the Millennium Stock Exchange Agreement.</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term of the Takeda Asset Agreement will expire on a country-by-country basis upon expiration of all assigned patent rights and all licensed patent rights in such country. Takeda may terminate the Takeda Asset Agreement prior to our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sale and assignment of assets and the grant of the license under the Takeda Asset Agreement, we made an upfront payment of $1.0 million in cash and issued 9,857,143 shares of our Series A redeemable convertible preferred stock in our subsidiary in December 2019. Based on the terms of the Millennium Stock Exchange Agreement, Takeda exchanged the 9,857,143 shares of Series A redeemable convertible preferred stock of our subsidiary for 6,470,382 shares of our common stock upon the effectiveness of the conversion of the company from an LLC to a corporation, on May 26,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Viracta</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December 16, 2019, our subsidiary amended and restated the Viracta License Agreement that was assigned pursuant to the Takeda Asset Agreement. Effective December 31, 2021, our subsidiary was merged with and into our company, with our company being the surviving corporation and assuming our subsidiary’s obligations under Viracta License Agreement. Under the Viracta License Agreement, we received a worldwide exclusive license under specified patent rights and know-how to develop, use, manufacture, and commercialize products containing compounds binding the RAF protein family. We paid $2.0 million upfront in cash to Viracta.</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term of the Viracta License Agreement will expire on a licensed product-by-licensed product and country-by-country basis upon the expiration of our obligation to pay royalties to Viracta with respect to such product in such country. We have the right to terminate the Viracta License Agreement with respect to any or all of the licensed products at will upon a specified notice period.</w:t>
      </w:r>
    </w:p>
    <w:p>
      <w:pPr>
        <w:spacing w:after="0" w:line="68" w:lineRule="exact"/>
        <w:rPr>
          <w:sz w:val="20"/>
          <w:szCs w:val="20"/>
          <w:color w:val="auto"/>
        </w:rPr>
      </w:pPr>
    </w:p>
    <w:p>
      <w:pPr>
        <w:ind w:right="40" w:firstLine="562"/>
        <w:spacing w:after="0" w:line="266" w:lineRule="auto"/>
        <w:rPr>
          <w:sz w:val="20"/>
          <w:szCs w:val="20"/>
          <w:color w:val="auto"/>
        </w:rPr>
      </w:pPr>
      <w:r>
        <w:rPr>
          <w:rFonts w:ascii="Times New Roman" w:cs="Times New Roman" w:eastAsia="Times New Roman" w:hAnsi="Times New Roman"/>
          <w:sz w:val="18"/>
          <w:szCs w:val="18"/>
          <w:color w:val="auto"/>
        </w:rPr>
        <w:t>On March 4, 2024, we entered into an amendment to the Viracta License Agreement. As part of the amendment, we made a one-time payment in March 2024 to Viracta of $5.0 million in exchange for reduced future payment obligations related to the future sale or use of the rare pediatric disease PRV received.</w:t>
      </w:r>
    </w:p>
    <w:p>
      <w:pPr>
        <w:spacing w:after="0" w:line="68"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PRV from the FDA. We made a $9.0 million milestone payment to Viracta in May 2024 for the achievement of this milestone.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86" w:lineRule="exact"/>
        <w:rPr>
          <w:sz w:val="20"/>
          <w:szCs w:val="20"/>
          <w:color w:val="auto"/>
        </w:rPr>
      </w:pPr>
    </w:p>
    <w:p>
      <w:pPr>
        <w:ind w:right="60" w:firstLine="562"/>
        <w:spacing w:after="0" w:line="266" w:lineRule="auto"/>
        <w:rPr>
          <w:sz w:val="20"/>
          <w:szCs w:val="20"/>
          <w:color w:val="auto"/>
        </w:rPr>
      </w:pPr>
      <w:r>
        <w:rPr>
          <w:rFonts w:ascii="Times New Roman" w:cs="Times New Roman" w:eastAsia="Times New Roman" w:hAnsi="Times New Roman"/>
          <w:sz w:val="18"/>
          <w:szCs w:val="18"/>
          <w:color w:val="auto"/>
        </w:rPr>
        <w:t>On May 29, 2024, we sold our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w:t>
      </w:r>
    </w:p>
    <w:p>
      <w:pPr>
        <w:spacing w:after="0" w:line="68" w:lineRule="exact"/>
        <w:rPr>
          <w:sz w:val="20"/>
          <w:szCs w:val="20"/>
          <w:color w:val="auto"/>
        </w:rPr>
      </w:pPr>
    </w:p>
    <w:p>
      <w:pPr>
        <w:ind w:right="160" w:firstLine="562"/>
        <w:spacing w:after="0" w:line="261" w:lineRule="auto"/>
        <w:rPr>
          <w:sz w:val="20"/>
          <w:szCs w:val="20"/>
          <w:color w:val="auto"/>
        </w:rPr>
      </w:pPr>
      <w:r>
        <w:rPr>
          <w:rFonts w:ascii="Times New Roman" w:cs="Times New Roman" w:eastAsia="Times New Roman" w:hAnsi="Times New Roman"/>
          <w:sz w:val="18"/>
          <w:szCs w:val="18"/>
          <w:color w:val="auto"/>
        </w:rPr>
        <w:t>On December 3, 2024, Viracta assigned the Viracta License Agreement to XOMA (US) LLC, or XOMA, pursuant to a Royalty Purchase Agreement dated March 22, 2021, between Viracta and XOMA, whereby Viracta sold its right, title, and interest in and to the Viracta License Agreement to XOMA. We have agreed to the assignment and novation of the Viracta License Agreement to XOMA as successor party, now XOMA License Agreement. No material terms of the XOMA License Agreement have been amended or modified in relation to the same.</w:t>
      </w:r>
    </w:p>
    <w:p>
      <w:pPr>
        <w:spacing w:after="0" w:line="72"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As of December 31, 2024, we could be required to make additional milestone payments of up to $40.0 million upon achievement of specified development and regulatory milestones for each licensed product in two indications. Commencing with the first commercial sale of OJEMDA in a country, we are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us covering the use or sale of such product in such country, (ii) the expiration of the last statutory exclusivity pertaining to such product in such country or (iii) the tenth anniversary of the first commercial sale of such product in such country.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Merck KGaA, Darmstadt, Germany</w:t>
      </w:r>
    </w:p>
    <w:p>
      <w:pPr>
        <w:spacing w:after="0" w:line="121" w:lineRule="exact"/>
        <w:rPr>
          <w:sz w:val="20"/>
          <w:szCs w:val="20"/>
          <w:color w:val="auto"/>
        </w:rPr>
      </w:pPr>
    </w:p>
    <w:p>
      <w:pPr>
        <w:ind w:right="40" w:firstLine="464"/>
        <w:spacing w:after="0" w:line="255" w:lineRule="auto"/>
        <w:rPr>
          <w:sz w:val="20"/>
          <w:szCs w:val="20"/>
          <w:color w:val="auto"/>
        </w:rPr>
      </w:pPr>
      <w:r>
        <w:rPr>
          <w:rFonts w:ascii="Times New Roman" w:cs="Times New Roman" w:eastAsia="Times New Roman" w:hAnsi="Times New Roman"/>
          <w:sz w:val="18"/>
          <w:szCs w:val="18"/>
          <w:color w:val="auto"/>
        </w:rPr>
        <w:t>On February 10, 2021, our subsidiary entered into a license agreement, or the MRKDG License Agreement, with Merck KGaA, Darmstadt, Germany, a pharmaceutical corporation located in Darmstadt, Germany. Effective December 31, 2021, the subsidiary was merged with and into our company, with our company being the surviving corporation and assuming the subsidiary’s obligations under the MRKDG License Agreement.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Under the MRKDG License Agreement, we have obligations to use commercially reasonable efforts to develop and commercialize at least two licensed products in at least two specified major market countries by the year 2029.</w:t>
      </w:r>
    </w:p>
    <w:p>
      <w:pPr>
        <w:spacing w:after="0" w:line="81" w:lineRule="exact"/>
        <w:rPr>
          <w:sz w:val="20"/>
          <w:szCs w:val="20"/>
          <w:color w:val="auto"/>
        </w:rPr>
      </w:pPr>
    </w:p>
    <w:p>
      <w:pPr>
        <w:ind w:right="20" w:firstLine="464"/>
        <w:spacing w:after="0" w:line="266" w:lineRule="auto"/>
        <w:rPr>
          <w:sz w:val="20"/>
          <w:szCs w:val="20"/>
          <w:color w:val="auto"/>
        </w:rPr>
      </w:pPr>
      <w:r>
        <w:rPr>
          <w:rFonts w:ascii="Times New Roman" w:cs="Times New Roman" w:eastAsia="Times New Roman" w:hAnsi="Times New Roman"/>
          <w:sz w:val="18"/>
          <w:szCs w:val="18"/>
          <w:color w:val="auto"/>
        </w:rPr>
        <w:t>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with respect to all licensed products and all countries under the MRKDG License Agreement.</w:t>
      </w:r>
    </w:p>
    <w:p>
      <w:pPr>
        <w:spacing w:after="0" w:line="68" w:lineRule="exact"/>
        <w:rPr>
          <w:sz w:val="20"/>
          <w:szCs w:val="20"/>
          <w:color w:val="auto"/>
        </w:rPr>
      </w:pPr>
    </w:p>
    <w:p>
      <w:pPr>
        <w:ind w:right="40" w:firstLine="464"/>
        <w:spacing w:after="0" w:line="266" w:lineRule="auto"/>
        <w:rPr>
          <w:sz w:val="20"/>
          <w:szCs w:val="20"/>
          <w:color w:val="auto"/>
        </w:rPr>
      </w:pPr>
      <w:r>
        <w:rPr>
          <w:rFonts w:ascii="Times New Roman" w:cs="Times New Roman" w:eastAsia="Times New Roman" w:hAnsi="Times New Roman"/>
          <w:sz w:val="18"/>
          <w:szCs w:val="18"/>
          <w:color w:val="auto"/>
        </w:rPr>
        <w:t>In consideration for the rights granted under the MRKDG License Agreement and clinical supplies, we made an upfront payment of $8.0 million. As of December 31, 2024, we could be required to make additional payments of up to $364.5 million based upon the achievement of specified development, regulatory, and commercial milestones, as well a high, single-digit royalty percentage on future net sales of licensed products, if any.</w:t>
      </w:r>
    </w:p>
    <w:p>
      <w:pPr>
        <w:spacing w:after="0" w:line="68"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In November 2023, we discontinued our monotherapy substudy due to a limited duration of response in this rare patient population despite observing responses with a generally well tolerated therapy. In July 2024, we decided to close the program because we determined that the benefit/risk profile, as well as the market opportunity, did not justify the significant investment required to continue the trial despite observing some clinical responses.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Sprint Bioscience AB</w:t>
      </w:r>
    </w:p>
    <w:p>
      <w:pPr>
        <w:spacing w:after="0" w:line="121" w:lineRule="exact"/>
        <w:rPr>
          <w:sz w:val="20"/>
          <w:szCs w:val="20"/>
          <w:color w:val="auto"/>
        </w:rPr>
      </w:pPr>
    </w:p>
    <w:p>
      <w:pPr>
        <w:ind w:right="500" w:firstLine="464"/>
        <w:spacing w:after="0" w:line="266" w:lineRule="auto"/>
        <w:rPr>
          <w:sz w:val="20"/>
          <w:szCs w:val="20"/>
          <w:color w:val="auto"/>
        </w:rPr>
      </w:pPr>
      <w:r>
        <w:rPr>
          <w:rFonts w:ascii="Times New Roman" w:cs="Times New Roman" w:eastAsia="Times New Roman" w:hAnsi="Times New Roman"/>
          <w:sz w:val="18"/>
          <w:szCs w:val="18"/>
          <w:color w:val="auto"/>
        </w:rPr>
        <w:t>On August 15, 2023, we entered into the Sprint License Agreement.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an inhibitor targeting VRK1.</w:t>
      </w:r>
    </w:p>
    <w:p>
      <w:pPr>
        <w:spacing w:after="0" w:line="68" w:lineRule="exact"/>
        <w:rPr>
          <w:sz w:val="20"/>
          <w:szCs w:val="20"/>
          <w:color w:val="auto"/>
        </w:rPr>
      </w:pPr>
    </w:p>
    <w:p>
      <w:pPr>
        <w:ind w:right="80" w:firstLine="464"/>
        <w:spacing w:after="0" w:line="266" w:lineRule="auto"/>
        <w:rPr>
          <w:sz w:val="20"/>
          <w:szCs w:val="20"/>
          <w:color w:val="auto"/>
        </w:rPr>
      </w:pPr>
      <w:r>
        <w:rPr>
          <w:rFonts w:ascii="Times New Roman" w:cs="Times New Roman" w:eastAsia="Times New Roman" w:hAnsi="Times New Roman"/>
          <w:sz w:val="18"/>
          <w:szCs w:val="18"/>
          <w:color w:val="auto"/>
        </w:rPr>
        <w:t>The term of the Sprint License Agreement will expire on a licensed product and country basis upon the expiration of the royalty term with respect to such licensed product and such country, unless terminated earlier. We have the right to terminate the Sprint License Agreement in its entirety, or on a licensed product-by-licensed product basis, at will upon a specified notice period.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86" w:lineRule="exact"/>
        <w:rPr>
          <w:sz w:val="20"/>
          <w:szCs w:val="20"/>
          <w:color w:val="auto"/>
        </w:rPr>
      </w:pPr>
    </w:p>
    <w:p>
      <w:pPr>
        <w:jc w:val="both"/>
        <w:ind w:right="40" w:firstLine="464"/>
        <w:spacing w:after="0" w:line="266" w:lineRule="auto"/>
        <w:rPr>
          <w:sz w:val="20"/>
          <w:szCs w:val="20"/>
          <w:color w:val="auto"/>
        </w:rPr>
      </w:pPr>
      <w:r>
        <w:rPr>
          <w:rFonts w:ascii="Times New Roman" w:cs="Times New Roman" w:eastAsia="Times New Roman" w:hAnsi="Times New Roman"/>
          <w:sz w:val="18"/>
          <w:szCs w:val="18"/>
          <w:color w:val="auto"/>
        </w:rPr>
        <w:t>We paid $3.0 million upfront in cash to Sprint. As of December 31, 2024, we could be required to make milestone payments of up to $309.0 million based upon achievement of specified development, regulatory, and commercial milestones for each licensed product, as well as tiered royalties ranging in the single-digit percentages on future net sales of licensed products, if 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MabCare Therapeutics</w:t>
      </w:r>
    </w:p>
    <w:p>
      <w:pPr>
        <w:spacing w:after="0" w:line="121"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On June 17, 2024, we entered into the MabCare License Agreement. Under the MabCare License Agreement, MabCare granted to us an exclusive worldwide license, excluding Greater China, with the right to grant sublicenses through multiple tiers, under specified patent rights and know-how for us to develop, manufacture and commercialize DAY301, a novel ADC targeting PTK7. Under the MabCare License Agreement, we have obligations to use commercially reasonable efforts to develop, obtain regulatory approval for, and commercialize at least one licensed product in one indication in each of the United States, Japan, and three European countries.</w:t>
      </w:r>
    </w:p>
    <w:p>
      <w:pPr>
        <w:spacing w:after="0" w:line="75" w:lineRule="exact"/>
        <w:rPr>
          <w:sz w:val="20"/>
          <w:szCs w:val="20"/>
          <w:color w:val="auto"/>
        </w:rPr>
      </w:pPr>
    </w:p>
    <w:p>
      <w:pPr>
        <w:ind w:right="80" w:firstLine="464"/>
        <w:spacing w:after="0" w:line="258" w:lineRule="auto"/>
        <w:rPr>
          <w:sz w:val="20"/>
          <w:szCs w:val="20"/>
          <w:color w:val="auto"/>
        </w:rPr>
      </w:pPr>
      <w:r>
        <w:rPr>
          <w:rFonts w:ascii="Times New Roman" w:cs="Times New Roman" w:eastAsia="Times New Roman" w:hAnsi="Times New Roman"/>
          <w:sz w:val="18"/>
          <w:szCs w:val="18"/>
          <w:color w:val="auto"/>
        </w:rPr>
        <w:t>The term of the MabCare License Agreement will expire in its entirety upon the expiration of the last to expire royalty term with respect to all licensed products in our territory, unless terminated earlier. Following the expiration of the royalty term for a licensed product in a country, the license granted to us shall become non-exclusive, fully paid-up, royalty-free, perpetual, and irrevocable for such licensed product in such country. Upon the expiration of the term, the license granted to us shall become non-exclusive, transferable, sublicensable, fully paid, royalty free, perpetual, and irrevocable in its entirety.</w:t>
      </w:r>
    </w:p>
    <w:p>
      <w:pPr>
        <w:spacing w:after="0" w:line="75" w:lineRule="exact"/>
        <w:rPr>
          <w:sz w:val="20"/>
          <w:szCs w:val="20"/>
          <w:color w:val="auto"/>
        </w:rPr>
      </w:pPr>
    </w:p>
    <w:p>
      <w:pPr>
        <w:ind w:right="180" w:firstLine="464"/>
        <w:spacing w:after="0" w:line="266" w:lineRule="auto"/>
        <w:rPr>
          <w:sz w:val="20"/>
          <w:szCs w:val="20"/>
          <w:color w:val="auto"/>
        </w:rPr>
      </w:pPr>
      <w:r>
        <w:rPr>
          <w:rFonts w:ascii="Times New Roman" w:cs="Times New Roman" w:eastAsia="Times New Roman" w:hAnsi="Times New Roman"/>
          <w:sz w:val="18"/>
          <w:szCs w:val="18"/>
          <w:color w:val="auto"/>
        </w:rPr>
        <w:t>In consideration for the rights granted under the MabCare License Agreement, we made an upfront payment of $55.0 million. As of December 31, 2024, we could be required to make additional payments of $1,152.0 million based upon the achievement of specified development, regulatory, and commercial success-based milestones plus low-to-mid single-digit royalties on net sales outside of Greater China.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Ipsen Pharma SAS</w:t>
      </w:r>
    </w:p>
    <w:p>
      <w:pPr>
        <w:spacing w:after="0" w:line="121" w:lineRule="exact"/>
        <w:rPr>
          <w:sz w:val="20"/>
          <w:szCs w:val="20"/>
          <w:color w:val="auto"/>
        </w:rPr>
      </w:pPr>
    </w:p>
    <w:p>
      <w:pPr>
        <w:ind w:right="140" w:firstLine="464"/>
        <w:spacing w:after="0" w:line="266" w:lineRule="auto"/>
        <w:rPr>
          <w:sz w:val="20"/>
          <w:szCs w:val="20"/>
          <w:color w:val="auto"/>
        </w:rPr>
      </w:pPr>
      <w:r>
        <w:rPr>
          <w:rFonts w:ascii="Times New Roman" w:cs="Times New Roman" w:eastAsia="Times New Roman" w:hAnsi="Times New Roman"/>
          <w:sz w:val="18"/>
          <w:szCs w:val="18"/>
          <w:color w:val="auto"/>
        </w:rPr>
        <w:t>On July 23, 2024, we entered into the Ipsen License Agreement, pursuant to which, we licensed to Ipsen, on an exclusive basis, the right to commercialize tovorafenib in all territories outside the United States and agreed to provide certain research and development and manufacturing services. Ipsen shall have the right to grant sublicenses to third-parties.</w:t>
      </w:r>
    </w:p>
    <w:p>
      <w:pPr>
        <w:spacing w:after="0" w:line="6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8"/>
          <w:szCs w:val="18"/>
          <w:color w:val="auto"/>
        </w:rPr>
        <w:t>Under the terms of the Ipsen License Agreement, (i) Ipsen paid us an upfront license fee in the amount of $70.8 million and (ii) the Investor, a fully-owned United States affiliate of Ipsen, purchased 2,341,495 shares of our common stock in a private placement for $40.0 million, at a price per share representing a 17.0% premium to the VWAP of our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us and the Investor dated July 23, 2024.</w:t>
      </w:r>
    </w:p>
    <w:p>
      <w:pPr>
        <w:spacing w:after="0" w:line="75"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8"/>
          <w:szCs w:val="18"/>
          <w:color w:val="auto"/>
        </w:rPr>
        <w:t>As of December 31, 2024, we are also eligible to receive up to approximately $330.0 million based on exchange rates as of the reporting date in additional commercial launch and sales-based milestone payments, as well as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spacing w:after="0" w:line="75" w:lineRule="exact"/>
        <w:rPr>
          <w:sz w:val="20"/>
          <w:szCs w:val="20"/>
          <w:color w:val="auto"/>
        </w:rPr>
      </w:pPr>
    </w:p>
    <w:p>
      <w:pPr>
        <w:ind w:right="100" w:firstLine="464"/>
        <w:spacing w:after="0" w:line="266" w:lineRule="auto"/>
        <w:rPr>
          <w:sz w:val="20"/>
          <w:szCs w:val="20"/>
          <w:color w:val="auto"/>
        </w:rPr>
      </w:pPr>
      <w:r>
        <w:rPr>
          <w:rFonts w:ascii="Times New Roman" w:cs="Times New Roman" w:eastAsia="Times New Roman" w:hAnsi="Times New Roman"/>
          <w:sz w:val="18"/>
          <w:szCs w:val="18"/>
          <w:color w:val="auto"/>
        </w:rPr>
        <w:t>In addition, the Ipsen License Agreement provides that we will supply to Ipsen, and Ipsen will purchase from us, all required quantities of tovorafenib for all territories outside the United States in accordance with a supply agreement to be entered into by and between us and Ipsen, or the Ipsen Supply Agreement.</w:t>
      </w:r>
    </w:p>
    <w:p>
      <w:pPr>
        <w:spacing w:after="0" w:line="68"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8"/>
          <w:szCs w:val="18"/>
          <w:color w:val="auto"/>
        </w:rPr>
        <w:t>Following the two-year anniversary of July 23, 2024, the effective date of the Ipsen License Agreement, Ipsen may terminate the Ipsen License Agreement for convenience with six months’ prior written notice or for certain other specified reasons. We may terminate the Ipsen License Agreement if Ipsen or any of its affiliates challenge the validity of any patents controlled by us that are licensed under the Ipsen License Agreement. Both we and Ipsen may terminate the Ipsen License Agreement (i) for material breach by the other party and a failure to cure such breach within the time period specified in the Ipsen License Agreement or (ii) the other party’s bankruptcy event.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9" w:name="page120"/>
    <w:bookmarkEnd w:id="11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April 2024, the FDA approved OJEMDA for the treatment of patients 6 months of age and older with relapsed or refractory pLGG harboring a BRAF fusion or rearrangement, or BRAF V600 mutation. We record product revenue net of estimated discounts, chargebacks, rebates, specialty distributor fees, copay assistance, and product returns.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The portion of the transaction price allocated to the licenses was recognized as revenue upon delivery of the licenses in the year ended of December 31, 2024. The transaction price allocated to the research and development services is being recognized over time as services are delivered.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Cost of product revenue includes the cost of inventory sold, amortization expense of intangible assets and third-party royalties payable on our net product revenue. Cost of goods sold may also include costs related to excess or obsolete inventory adjustment charges, abnormal costs, unabsorbed manufacturing and overhead costs, and manufacturing variances. We expect to use inventory previously expensed to research and development within the next seven months, and accordingly, we expect our cost of product revenue of OJEMDA to increase as a percentage of product revenue in future periods as we produce and sell inventory that reflects the full cost of manufacturing the product.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external and internal expenses incurred for our research activities, including our discovery and in-licensing undertakings, and the development of our product candidates.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External expenses include:</w:t>
      </w:r>
    </w:p>
    <w:p>
      <w:pPr>
        <w:spacing w:after="0" w:line="117" w:lineRule="exact"/>
        <w:rPr>
          <w:sz w:val="20"/>
          <w:szCs w:val="20"/>
          <w:color w:val="auto"/>
        </w:rPr>
      </w:pPr>
    </w:p>
    <w:p>
      <w:pPr>
        <w:ind w:left="780" w:right="40" w:hanging="383"/>
        <w:spacing w:after="0" w:line="282"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third-party contract research organizations, or CROs, contract manufacturing organizations, or CMOs, and other third parties that conduct clinical activities on our behalf;</w:t>
      </w:r>
    </w:p>
    <w:p>
      <w:pPr>
        <w:spacing w:after="0" w:line="53"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acquiring technology and intellectual property licenses that have no alternative future uses; and</w:t>
      </w:r>
    </w:p>
    <w:p>
      <w:pPr>
        <w:spacing w:after="0" w:line="117" w:lineRule="exact"/>
        <w:rPr>
          <w:rFonts w:ascii="Times New Roman" w:cs="Times New Roman" w:eastAsia="Times New Roman" w:hAnsi="Times New Roman"/>
          <w:sz w:val="18"/>
          <w:szCs w:val="18"/>
          <w:color w:val="auto"/>
        </w:rPr>
      </w:pPr>
    </w:p>
    <w:p>
      <w:pPr>
        <w:ind w:left="780" w:right="360" w:hanging="383"/>
        <w:spacing w:after="0" w:line="282"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operational costs, such as rent, facilities and maintenance, travel and information technology, incurred related to research and development activities, but are not allocable to a specific product or product candidate.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 expenses include:</w:t>
      </w:r>
    </w:p>
    <w:p>
      <w:pPr>
        <w:spacing w:after="0" w:line="117" w:lineRule="exact"/>
        <w:rPr>
          <w:sz w:val="20"/>
          <w:szCs w:val="20"/>
          <w:color w:val="auto"/>
        </w:rPr>
      </w:pPr>
    </w:p>
    <w:p>
      <w:pPr>
        <w:ind w:left="780" w:right="740" w:hanging="383"/>
        <w:spacing w:after="0" w:line="282" w:lineRule="auto"/>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costs, including salaries, bonuses, benefits and share-based compensation expense, for our research and development personnel.</w:t>
      </w:r>
    </w:p>
    <w:p>
      <w:pPr>
        <w:spacing w:after="0" w:line="16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expenses as incurred. We track external costs by program, which currently consist of expenses for our OJEMDA, DAY301, and VRK1 programs. We do not track indirect costs on a program specific basis because these costs are deployed across multiple programs and, as such, are not separately classified.</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increase for the foreseeable future as we continue to implement our business strategy;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advance our product candidates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drug candidates is uncertain and subject to a number of risks. We cannot guarantee that results of clinical trials will be favorable or sufficient to support marketing authorizations for any of our product development programs. We could decide to abandon development or be required to spend considerable resources not otherwise contemplated. For additional discussion regarding the risks and uncertainties regarding our research and development programs, please refer to Part I, Item 1A “Risk Factors” in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employee-related costs, professional services and other operational costs. Employee-related costs include salaries, bonuses, benefits and share-based compensation expense for our selling, general and administrative personnel. Professional service expenses include legal fees; professional fees for accounting, marketing, human resources, business development, and other consulting services. Other operational costs include expenses for rent and facilities maintenance, travel, insurance and information technology.</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increase for the foreseeable future as we anticipate an increase in our personnel headcount to support the expansion of our corporate and commercial activities and continued expenses associated with being a public company, including costs related to compliance with the requirements of the Nasdaq Global Select Market, or Nasdaq, and the Securities and Exchange Commission, or the SEC; and investor and public relations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from sale of priority review voucher</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Gain from the sale of priority review voucher represents the sale of our rare pediatric disease PRV, which was awarded to us in connection with the FDA’s approval of OJEMDA.</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1" w:name="page122"/>
    <w:bookmarkEnd w:id="12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w:t>
      </w:r>
    </w:p>
    <w:tbl>
      <w:tblPr>
        <w:tblLayout w:type="fixed"/>
        <w:tblInd w:w="0" w:type="dxa"/>
        <w:tblCellMar>
          <w:top w:w="0" w:type="dxa"/>
          <w:left w:w="0" w:type="dxa"/>
          <w:bottom w:w="0" w:type="dxa"/>
          <w:right w:w="0" w:type="dxa"/>
        </w:tblCellMar>
      </w:tblPr>
      <w:tr>
        <w:trPr>
          <w:trHeight w:val="151"/>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right"/>
              <w:ind w:right="10"/>
              <w:spacing w:after="0" w:line="15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57,217</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57,217</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73,944</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73,944</w:t>
            </w: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131,161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131,161</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227,702</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97,181</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74.5 %</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39,907</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52.8 %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348,431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206,064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142,367</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69.1 %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(217,270 )</w:t>
            </w:r>
          </w:p>
        </w:tc>
        <w:tc>
          <w:tcPr>
            <w:tcW w:w="3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(206,064 )</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(11,206 )</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from sale of priority review voucher</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income, net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non-operating income, net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128,918</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111,771</w:t>
            </w: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(88,352 )</w:t>
            </w:r>
          </w:p>
        </w:tc>
        <w:tc>
          <w:tcPr>
            <w:tcW w:w="3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(188,917 )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100,565</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(7,144 )</w:t>
            </w:r>
          </w:p>
        </w:tc>
        <w:tc>
          <w:tcPr>
            <w:tcW w:w="3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(7,144 )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(95,496 )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(188,917 )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93,421</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-2150745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-2150745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-2150745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-2150745</wp:posOffset>
            </wp:positionV>
            <wp:extent cx="1543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-1311275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-1311275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-1311275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-1311275</wp:posOffset>
            </wp:positionV>
            <wp:extent cx="1543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-462280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-462280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-462280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-462280</wp:posOffset>
            </wp:positionV>
            <wp:extent cx="154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1543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Amount and/or percentage not meaningful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recorded net product revenue of $57.2 million from sales of OJEMDA in the United States, which included $2.8 million related to our named patient program in territories outside of the United States. Beginning in 2025, Ipsen has assumed primary responsibility for delivering these programs to patients in territories outside of the United States.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2024, we recorded license revenue of $73.9 million related to the Ipsen License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2024, we recorded cost of product revenue of $5.3 million related to sales of OJEMDA in the United States.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right="120" w:firstLine="509"/>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increased $97.2 million, from $130.5 million for the year ended December 31, 2023 to $227.7 million for the year ended December 31, 2024. Third-party expenses increased by $18.1 million due primarily to an increase in clinical trial and manufacturing activities, personnel related expenses increased by $6.6 million driven by headcount growth, and other research and development costs increased by $0.5 million.</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license agreement payments increased by $72.0 million due to the payment of the MabCare license agreement upfront payment, accrual of the MabCare license agreement milestone payment, and payment of the Viracta license agreement amendment payment during the year ended December 31, 2024.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external and internal research and development expenses for the years ended December 31, 2024 and 2023:</w:t>
      </w:r>
    </w:p>
    <w:p>
      <w:pPr>
        <w:spacing w:after="0" w:line="8"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00"/>
        <w:spacing w:after="0" w:line="231"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costs: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CRO, CMO and other third-party clinical trial costs (1)</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89,400</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MabCare license agreement upfront payment</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MabCare license agreement milestone payment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Viracta license agreement payment</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Sprint license agreement upfront payment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Internal costs: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49,353</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227,702</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130,521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480" w:right="280" w:hanging="472"/>
        <w:spacing w:after="0" w:line="266" w:lineRule="auto"/>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CRO, CMO and other clinical trial costs for the tovorafenib, pimasertib, DAY301, and VRK1 programs were $74.8 million, $3.8 million, $4.2 million, and $6.6 million, respectively, for the year ended December 31, 2024 compared to $65.5 million, $4.0 million, $0, and $1.8 million, respectively, for the year ended December 31,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$39.9 million, from $75.6 million for the year ended December 31, 2023 to $115.5 million for the year ended December 31, 2024. The increase in selling, general and administrative expenses was primarily due to an increase of $21.4 million in personnel related expenses driven by headcount growth, an increase of $13.1 million in professional services driven by commercial launch activities, and an increase of $5.4 million in other selling, general and administrative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right="120" w:firstLine="469"/>
        <w:spacing w:after="0" w:line="281" w:lineRule="auto"/>
        <w:rPr>
          <w:sz w:val="20"/>
          <w:szCs w:val="20"/>
          <w:color w:val="auto"/>
        </w:rPr>
      </w:pPr>
      <w:r>
        <w:rPr>
          <w:rFonts w:ascii="Times New Roman" w:cs="Times New Roman" w:eastAsia="Times New Roman" w:hAnsi="Times New Roman"/>
          <w:sz w:val="17"/>
          <w:szCs w:val="17"/>
          <w:color w:val="auto"/>
        </w:rPr>
        <w:t>Income tax expense for the year ended December 31, 2024, was $7.1 million resulting in an effective tax rate of (8.1)% compared to 0.0% in 2023. The increase in income tax expense (and resulting negative 8.1% effective tax rate) is driven primarily by current US federal and state income tax expense recognized after considering available net operating losses and credits while we continue to maintain a valuation allowance against the full amount of our net deferred tax assets. We did not record an income tax provision for the year ended December 31, 2023 as it generated tax losses during the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July 2024, we entered into a securities purchase agreement with certain institutional and accredited investors, or the PIPE Investors, pursuant to which we agreed to sell and issue to the PIPE Investors in a private placement, or the Private Placement, an aggregate of (i) 10,551,718 shares of our common stock at a purchase price of $14.50 per share and (ii) 1,517,241 pre-funded warrants, or the Pre-Funded Warrants, to purchase up to an aggregate of 1,517,241 shares of our common stock, or the Warrant Shares, at a purchase price of $14.4999 per Pre-Funded Warrant. Each Pre-Funded Warrant has an exercise price of $0.0001 per Warrant Share. The Pre-Funded Warrants are exercisable at any time after their original issuance and will not expire. The Private Placement closed on August 1, 2024 and we received net proceeds of $166.5 million, after deducting placement agent fees, offering costs and other expenses, of which $145.6 million was allocated to the common stock and $20.9 million was allocated to the Pre-Funded Warrants. The net proceeds were recorded as a component of additional paid-in capital.</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Under the terms of the Ipsen License Agreement, (i) Ipsen paid us an upfront license fee in the amount of $70.8 million and (ii) the Investor, a fully-owned United States affiliate of Ipsen, purchased 2,341,495 shares of our common stock in a private placement for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86" w:lineRule="exact"/>
        <w:rPr>
          <w:sz w:val="20"/>
          <w:szCs w:val="20"/>
          <w:color w:val="auto"/>
        </w:rPr>
      </w:pPr>
    </w:p>
    <w:p>
      <w:pPr>
        <w:ind w:firstLine="45"/>
        <w:spacing w:after="0" w:line="258" w:lineRule="auto"/>
        <w:rPr>
          <w:sz w:val="20"/>
          <w:szCs w:val="20"/>
          <w:color w:val="auto"/>
        </w:rPr>
      </w:pPr>
      <w:r>
        <w:rPr>
          <w:rFonts w:ascii="Times New Roman" w:cs="Times New Roman" w:eastAsia="Times New Roman" w:hAnsi="Times New Roman"/>
          <w:sz w:val="18"/>
          <w:szCs w:val="18"/>
          <w:color w:val="auto"/>
        </w:rPr>
        <w:t>$40.0 million, at a price per share representing a 17.0% premium to the VWAP of our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we and the Investor dated July 23, 2024. We valued the shares at issuance at $32.6 million, concluding that our Company's common stock price as traded on The Nasdaq Stock Market LLC on the closing date of the transaction approximated fair value, which was recorded as a component of additional paid-in capital.</w:t>
      </w:r>
    </w:p>
    <w:p>
      <w:pPr>
        <w:spacing w:after="0" w:line="7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June 2023, we completed a follow-on offering and issued and sold 13,269,231 shares of common stock (including the exercise by the underwriters of their option to purchase an additional 1,730,769 shares of common stock) at a price to the public of $13.00 per share for net proceeds of approximately $161.4 million, after deducting underwriting discounts, commissions, and offering costs.</w:t>
      </w:r>
    </w:p>
    <w:p>
      <w:pPr>
        <w:spacing w:after="0" w:line="68" w:lineRule="exact"/>
        <w:rPr>
          <w:sz w:val="20"/>
          <w:szCs w:val="20"/>
          <w:color w:val="auto"/>
        </w:rPr>
      </w:pPr>
    </w:p>
    <w:p>
      <w:pPr>
        <w:ind w:right="160" w:firstLine="509"/>
        <w:spacing w:after="0" w:line="289" w:lineRule="auto"/>
        <w:rPr>
          <w:sz w:val="20"/>
          <w:szCs w:val="20"/>
          <w:color w:val="auto"/>
        </w:rPr>
      </w:pPr>
      <w:r>
        <w:rPr>
          <w:rFonts w:ascii="Times New Roman" w:cs="Times New Roman" w:eastAsia="Times New Roman" w:hAnsi="Times New Roman"/>
          <w:sz w:val="17"/>
          <w:szCs w:val="17"/>
          <w:color w:val="auto"/>
        </w:rPr>
        <w:t>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December 31, 2024.</w:t>
      </w:r>
    </w:p>
    <w:p>
      <w:pPr>
        <w:spacing w:after="0" w:line="5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June 2022, we completed a follow-on offering and issued and sold 11,500,000 shares of common stock (including the exercise by the underwriters of their option to purchase an additional 1,500,000 shares of common stock) at a price to the public of $15.00 per share for net proceeds of approximately $161.6 million, after deducting underwriting discounts, commissions and offering costs.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had an accumulated deficit of $554.1 million and $531.7 million in cash, cash equivalents and short-term investments. We believe our cash, cash equivalents and short-term investments will be sufficient to satisfy our capital requirements through at least twelve months after the date that this Annual Report is filed.</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of research and development expenditures and selling, general and administrative expenditures. Cash used to fund operating expenses is impacted by the timing of when we pay these expenses, as reflected in the change in our outstanding accounts payable and accrued expenses. Our material cash requirements include the following contractual and other obligations.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340" w:firstLine="469"/>
        <w:spacing w:after="0" w:line="282" w:lineRule="auto"/>
        <w:rPr>
          <w:sz w:val="20"/>
          <w:szCs w:val="20"/>
          <w:color w:val="auto"/>
        </w:rPr>
      </w:pPr>
      <w:r>
        <w:rPr>
          <w:rFonts w:ascii="Times New Roman" w:cs="Times New Roman" w:eastAsia="Times New Roman" w:hAnsi="Times New Roman"/>
          <w:sz w:val="18"/>
          <w:szCs w:val="18"/>
          <w:color w:val="auto"/>
        </w:rPr>
        <w:t>We have an operating lease obligation for office space. As of December 31, 2024, we had fixed lease payment obligations of approximately $0.3 million, payable within 12 months.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Research Organizations and Contract Manufacturing Organizations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contracts in the normal course of business with CROs, CMOs,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December 31, 2024, there were no amounts accrued related to termination and cancellation charges as these are not probable.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19" w:lineRule="exact"/>
        <w:rPr>
          <w:sz w:val="20"/>
          <w:szCs w:val="20"/>
          <w:color w:val="auto"/>
        </w:rPr>
      </w:pPr>
    </w:p>
    <w:p>
      <w:pPr>
        <w:ind w:right="260" w:firstLine="469"/>
        <w:spacing w:after="0" w:line="258" w:lineRule="auto"/>
        <w:rPr>
          <w:sz w:val="20"/>
          <w:szCs w:val="20"/>
          <w:color w:val="auto"/>
        </w:rPr>
      </w:pPr>
      <w:r>
        <w:rPr>
          <w:rFonts w:ascii="Times New Roman" w:cs="Times New Roman" w:eastAsia="Times New Roman" w:hAnsi="Times New Roman"/>
          <w:sz w:val="18"/>
          <w:szCs w:val="18"/>
          <w:color w:val="auto"/>
        </w:rPr>
        <w:t>Under our license agreements, we have payment obligations that are contingent upon future events such as our achievement of specified development, regulatory and commercial milestones and are required to make royalty payments in connection with the sale of products developed under those agreements. The amount and timing of milestone obligations are unknown or uncertain as we are unable to estimate the timing or likelihood of achieving the milestone events. Additionally, the amount of royalty payments are based upon future product sales, which we are unable to predict with certainty. These potential obligations are further described in Note 5 to the financial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presented:</w:t>
      </w:r>
    </w:p>
    <w:p>
      <w:pPr>
        <w:spacing w:after="0" w:line="124"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8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42"/>
        </w:trPr>
        <w:tc>
          <w:tcPr>
            <w:tcW w:w="53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(78,113 )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(146,853 )</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(230,994 )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128,378</w:t>
            </w:r>
          </w:p>
        </w:tc>
        <w:tc>
          <w:tcPr>
            <w:tcW w:w="10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203,291</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(105,816 )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145,522</w:t>
            </w:r>
          </w:p>
        </w:tc>
        <w:tc>
          <w:tcPr>
            <w:tcW w:w="10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-170815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$78.1 million consisting of our net loss of $95.5 million and non-cash charges of $9.1 million, which were offset by changes in net operating assets and liabilities of $26.5 million. Non-cash charges consisted primarily of a gain from sale of PRV of $108.0 million and accretion of discounts on short-term investments of $6.4 million partially offset by acquired in-process research and development assets of $55.0 million, shared-based compensation expense of $48.3 million, amortization of intangible assets of $1.5 million, and amortization of operating right-of-use asset of $0.5 million. Changes in operating assets and liabilities were primarily related to increases in accrued expenses and other current liabilities of $42.1 million, deferred revenue of $4.8 million, accounts payable of $0.7 million, other long-term liability of $0.8 million, and a decrease in deposits and other long-term assets of $0.1 million. This was partially offset by an increase in accounts receivable of $13.9 million, prepaid expenses and other current assets of $4.6 million, inventory of $3.2 million, and a decrease of operating lease liabilities of $0.3 million.</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$146.9 million, consisting of our net loss of $188.9 million, changes of approximately $9.5 million in net operating assets and liabilities and by non-cash charges of $32.6 million, which is primarily comprised of share-based compensation expense of $39.3 million. Changes in operating assets and liabilities were primarily related to an increase in accrued expenses and other current liabilities of $10.6 million and accounts payable of $2.3 million and a decrease in deposits and other long-term assets of $0.3 million. This was partially offset by an increase of prepaid expenses and other current assets of $3.3 million and a decrease of operating lease liabilities of $0.4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$231.0 million attributable to the purchase of short-term investments of $658.6 million, acquisition of in-process research and development assets of $55.0 million, acquisition of intangible assets of $17.1 million, and the purchase of property and equipment of $2.2 million. This was partially offset by the proceeds from maturity of short-term investments of $314.5 million, the sale of the PRV of $108.0 million, and the sale of short-term investments of $79.4 million.</w:t>
      </w:r>
    </w:p>
    <w:p>
      <w:pPr>
        <w:spacing w:after="0" w:line="72" w:lineRule="exact"/>
        <w:rPr>
          <w:sz w:val="20"/>
          <w:szCs w:val="20"/>
          <w:color w:val="auto"/>
        </w:rPr>
      </w:pPr>
    </w:p>
    <w:p>
      <w:pPr>
        <w:jc w:val="both"/>
        <w:ind w:right="60" w:firstLine="46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2023 was $128.4 million attributable to the proceeds from the maturity of short-term investments of $575.4 million. This was partially offset by the purchase of short-term investments of $443.8 million, cash paid for acquired in-process research and development assets of $3.0 million, and cash paid for the purchase of property and equipment of $0.2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 w:firstLine="464"/>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December 31, 2024 was $203.3 million related to net proceeds from the issuance of common stock in connection with private placement of $178.2 million and issuance of prefunded warrants to purchase common stock of $20.9 million, and upon stock option exercises and purchases made under our 2021 Employee Stock Purchase Plan of $4.2 million.</w:t>
      </w:r>
    </w:p>
    <w:p>
      <w:pPr>
        <w:spacing w:after="0" w:line="68"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2023 was $164.0 million, primarily attributable to the net proceeds from the issuance of common stock in connection with our June 2023 follow-on offering of common stock. Additionally, there was $2.6 million of cash provided by financing activities related to proceeds from the issuance of common stock upon stock option exercises and purchases made under our 2021 Employee Stock Purchase Plan.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continue to incur significant expenses and increasing operating losses for the foreseeable future in connection with our ongoing activities. As of December 31, 2024, we had $531.7 million in cash and cash equivalents and short-term investments. We believe our cash, cash equivalents and short-term investments will be sufficient to satisfy our capital requirements at least twelve months after the date that this Annual Report is filed.</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If our cash, cash equivalents and short-term investments are not sufficient to meet capital needs until such time that we can generate substantial revenue,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stockholder ownership interest will be diluted, and the terms of these securities may include liquidation or other preferences that adversely affect stockholder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potential worsening global economic conditions, and disruptions to and volatility in the credit and financial markets in the United States and worldwide resulting from inflation, changing interest rates, significant political, trade or regulatory developments, global regional conflicts, public health epidemics, or otherwise. Because of the numerous risks and uncertainties associated with product development, we cannot predict the timing or amount of increased expenses and cannot assure that we will ever be profitable or generate positive cash flow from operating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60" w:firstLine="46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financial statements, which have been prepared in accordance with U.S. GAAP. The preparation of financial statements in conformity with U.S. GAAP requires management to make estimates and assumptions that affect the reported amounts of assets, liabilities and disclosure of contingent assets and liabilities at the date of the financial statements and the reported amounts of expenses during the reporting period.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jc w:val="both"/>
        <w:ind w:right="540" w:firstLine="46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appearing within Item 8 of this Annual Report, we believe that the following accounting policies are the most critical to the judgments and estimates used in the preparation of our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research and development expense</w:t>
      </w:r>
    </w:p>
    <w:p>
      <w:pPr>
        <w:spacing w:after="0" w:line="119"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We record accrued liabilities for estimated costs of our clinical trials conducted by third-party service providers. We record the estimated costs of the clinical trials as research and development expense based upon the estimated amount of services provided but not yet invoiced. We accrue for these costs based on factors such as estimates of the work completed and in accordance with terms established with our third-party service providers under the service agreements.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86"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We make payments in connection with the clinical trials under contracts with CROs who conduct and manage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We accrue costs for clinical trial activities performed by CROs based upon the estimated amount of work completed on each trial. For clinical trials, the significant factors used in estimating accruals include the number of patients enrolled, the activities to be performed for each patient, the number of active clinical sites and the duration for which the patients will be enrolled in the trial. We monitor patient enrollment levels and related activities to the extent possible through internal reviews, correspondence with CROs and review of contractual terms. We base our estimates on the best information available at the time.</w:t>
      </w:r>
    </w:p>
    <w:p>
      <w:pPr>
        <w:spacing w:after="0" w:line="84"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If we do not identify costs that have begun to be incurred or if we under- or over-estimate the level of services performed or the costs of these services, actual expenses could differ from our estimates. To date, we have not experienced any material differences between accrued costs and actual costs incurred. However, due to the nature of estimates, we cannot assure that we will not make changes to our estimates in the future as we become aware of additional information about the status or conduct of our clinical trials.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ind w:right="180" w:firstLine="469"/>
        <w:spacing w:after="0" w:line="282" w:lineRule="auto"/>
        <w:rPr>
          <w:sz w:val="20"/>
          <w:szCs w:val="20"/>
          <w:color w:val="auto"/>
        </w:rPr>
      </w:pPr>
      <w:r>
        <w:rPr>
          <w:rFonts w:ascii="Times New Roman" w:cs="Times New Roman" w:eastAsia="Times New Roman" w:hAnsi="Times New Roman"/>
          <w:sz w:val="18"/>
          <w:szCs w:val="18"/>
          <w:color w:val="auto"/>
        </w:rPr>
        <w:t>We record license revenue related to the Ipsen License Agreement when Ipsen obtains control of the promised goods or services, in an amount that reflects the consideration we expect to receive in exchange for those goods or services.</w:t>
      </w:r>
    </w:p>
    <w:p>
      <w:pPr>
        <w:spacing w:after="0" w:line="54" w:lineRule="exact"/>
        <w:rPr>
          <w:sz w:val="20"/>
          <w:szCs w:val="20"/>
          <w:color w:val="auto"/>
        </w:rPr>
      </w:pPr>
    </w:p>
    <w:p>
      <w:pPr>
        <w:ind w:right="360" w:firstLine="469"/>
        <w:spacing w:after="0" w:line="258" w:lineRule="auto"/>
        <w:rPr>
          <w:sz w:val="20"/>
          <w:szCs w:val="20"/>
          <w:color w:val="auto"/>
        </w:rPr>
      </w:pPr>
      <w:r>
        <w:rPr>
          <w:rFonts w:ascii="Times New Roman" w:cs="Times New Roman" w:eastAsia="Times New Roman" w:hAnsi="Times New Roman"/>
          <w:sz w:val="18"/>
          <w:szCs w:val="18"/>
          <w:color w:val="auto"/>
        </w:rPr>
        <w:t>To determine the amount of license revenue to recognize under the arrangement, we are required to make judgments related to identifying the performance obligations, estimating the amount of variable consideration to include in the transaction price, allocating the transaction price to each performance obligation and determining the period of time over which revenue should be recognized for each performance obligation. The significant estimates made in allocating the transaction price is the amount and timing of tovorafenib net product revenues in the long-range forecast. We base our estimates on the best information available at the time.</w:t>
      </w:r>
    </w:p>
    <w:p>
      <w:pPr>
        <w:spacing w:after="0" w:line="75" w:lineRule="exact"/>
        <w:rPr>
          <w:sz w:val="20"/>
          <w:szCs w:val="20"/>
          <w:color w:val="auto"/>
        </w:rPr>
      </w:pPr>
    </w:p>
    <w:p>
      <w:pPr>
        <w:jc w:val="both"/>
        <w:ind w:right="500" w:firstLine="469"/>
        <w:spacing w:after="0" w:line="266" w:lineRule="auto"/>
        <w:rPr>
          <w:sz w:val="20"/>
          <w:szCs w:val="20"/>
          <w:color w:val="auto"/>
        </w:rPr>
      </w:pPr>
      <w:r>
        <w:rPr>
          <w:rFonts w:ascii="Times New Roman" w:cs="Times New Roman" w:eastAsia="Times New Roman" w:hAnsi="Times New Roman"/>
          <w:sz w:val="18"/>
          <w:szCs w:val="18"/>
          <w:color w:val="auto"/>
        </w:rPr>
        <w:t>If we do not properly estimate the cash flows, actual revenues could differ from our estimates. To date, we have not experienced any material differences between estimated and actual cash flows. However, due to the nature of estimates, we cannot assure that we will not make changes to our estimates in the future as we become aware of additional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200" w:firstLine="469"/>
        <w:spacing w:after="0" w:line="282" w:lineRule="auto"/>
        <w:rPr>
          <w:sz w:val="20"/>
          <w:szCs w:val="20"/>
          <w:color w:val="auto"/>
        </w:rPr>
      </w:pPr>
      <w:r>
        <w:rPr>
          <w:rFonts w:ascii="Times New Roman" w:cs="Times New Roman" w:eastAsia="Times New Roman" w:hAnsi="Times New Roman"/>
          <w:sz w:val="18"/>
          <w:szCs w:val="18"/>
          <w:color w:val="auto"/>
        </w:rPr>
        <w:t>Refer to Note 2 of the Notes to our Financial Statements included elsewhere in this Annual Report on Form 10-K for a summary of recently issued and adopted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and 2023, we had cash, cash equivalents and short-term investments of $531.7 million, and $366.3 million, respectively. This consisted of interest-bearing money market funds and investments in U.S. treasury securities and U.S. government agency securities, which create an exposure to interest rate risk. A hypothetical 100 basis point increase or decrease in interest rates as of December 31, 2024 and 2023 would not have resulted in a material effect on the fair market value of our cash, cash equivalents and short-term investments. We do not enter into investments for trading or speculative purposes and have not used any derivative financial instruments to manage our interest rate risk exposure.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set forth in the financial statements and notes thereto beginning at page F-1 of this Annual Report on Form 10-K.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of Controls and Procedures</w:t>
      </w:r>
    </w:p>
    <w:p>
      <w:pPr>
        <w:spacing w:after="0" w:line="121"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President and our Chief Operating Officer and Chief Financial Officer, our principal executive officer and principal financial officer, respectively, have evaluated our disclosure controls and procedures (as defined in Rules 13a-15(e) and 15d-15(e) under the Securities Exchange Act of 1934, as amended) as of December 31, 2024. Based on this evaluation, our Chief Executive Officer and our Chief Financial Officer have concluded that, as of December 31, 2024, our disclosure controls and procedures were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100" w:firstLine="469"/>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is defined in Exchange Act Rules 13a-15(f) and 15d-15(f).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ind w:firstLine="469"/>
        <w:spacing w:after="0" w:line="289" w:lineRule="auto"/>
        <w:rPr>
          <w:sz w:val="20"/>
          <w:szCs w:val="20"/>
          <w:color w:val="auto"/>
        </w:rPr>
      </w:pPr>
      <w:r>
        <w:rPr>
          <w:rFonts w:ascii="Times New Roman" w:cs="Times New Roman" w:eastAsia="Times New Roman" w:hAnsi="Times New Roman"/>
          <w:sz w:val="17"/>
          <w:szCs w:val="17"/>
          <w:color w:val="auto"/>
        </w:rPr>
        <w:t xml:space="preserve">Management has assessed the effectiveness of our internal control over financial reporting based on the framework set forth by the Committee of Sponsoring Organizations of the Treadway Commission, or COSO, in </w:t>
      </w:r>
      <w:r>
        <w:rPr>
          <w:rFonts w:ascii="Times New Roman" w:cs="Times New Roman" w:eastAsia="Times New Roman" w:hAnsi="Times New Roman"/>
          <w:sz w:val="17"/>
          <w:szCs w:val="17"/>
          <w:i w:val="1"/>
          <w:iCs w:val="1"/>
          <w:color w:val="auto"/>
        </w:rPr>
        <w:t>Internal Control-Integrated Framework (2013 framework)</w:t>
      </w:r>
      <w:r>
        <w:rPr>
          <w:rFonts w:ascii="Times New Roman" w:cs="Times New Roman" w:eastAsia="Times New Roman" w:hAnsi="Times New Roman"/>
          <w:sz w:val="17"/>
          <w:szCs w:val="17"/>
          <w:color w:val="auto"/>
        </w:rPr>
        <w:t>. Based on our evaluation, management has concluded that our internal control over financial reporting was effective at the reasonable assurance level as of December 31, 2024.</w:t>
      </w:r>
    </w:p>
    <w:p>
      <w:pPr>
        <w:spacing w:after="0" w:line="50" w:lineRule="exact"/>
        <w:rPr>
          <w:sz w:val="20"/>
          <w:szCs w:val="20"/>
          <w:color w:val="auto"/>
        </w:rPr>
      </w:pPr>
    </w:p>
    <w:p>
      <w:pPr>
        <w:ind w:right="320" w:firstLine="46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PricewaterhouseCoopers LLP, an independent registered public accounting firm, as stated in their report which appears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most recent quarter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Arrangements</w:t>
      </w:r>
    </w:p>
    <w:p>
      <w:pPr>
        <w:spacing w:after="0" w:line="121"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Company’s directors and Section 16 officers (as defined in Rule 16a-1(f) under the Exchange Act) are only permitted to trade in the Company’s securities pursuant to a prearranged trading plan intended to satisfy the affirmative defense of Rule 10b5-1(c) under the Exchange Act, or a Rule 10b5-1 Plan. During the three months ended December 31, 2024, three of the Company’s Section 16 officers, including the Company’s Chief Executive Officer, who also serves as a member of the Company’s board of directors, and one member of the Company’s board of directors, adopted new Rule 10b5-1 Plans. The Plans (as defined below) were entered into during an open trading window in accordance with the Company’s Insider Trading Policy and Trading Plan Policy.</w:t>
      </w:r>
    </w:p>
    <w:p>
      <w:pPr>
        <w:spacing w:after="0" w:line="7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On November 8, 2024, Jeremy Bender, our Chief Executive Officer and a member of our board of directors, entered into a pre-arranged written stock sale plan in accordance with Rule 10b5-1 (the “Bender Rule 10b5-1 Plan”) under the Exchange Act for the sale of shares of our common stock. The Bender Rule 10b5-1 Plan was entered into during an open trading window in accordance with our policies regarding transactions in our securities and is intended to satisfy the affirmative defense of Rule 10b5-1(c) under the Exchange Act. The Bender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8" w:name="page129"/>
    <w:bookmarkEnd w:id="128"/>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Rule 10b5-1 Plan provides for the potential sale of shares of our common stock, including upon the vesting and settlement of restricted stock units/vesting and exercise of stock options, so long as the market price of our common stock is higher than certain minimum threshold prices specified in the Bender Rule 10b5-1 Plan, between February 25, 2025 and February 28, 2026. The aggregate number of shares of common stock that will be available for sale under the Bender Rule 10b5-1 Plan is not yet determinable because the shares available will be net of shares sold to satisfy tax withholding obligations that arise in connection with the vesting and settlement of such restricted stock unit awards. As such, for purposes of this disclosure, the aggregate number of shares of common stock available for sale is approximately 720,000, which reflects the aggregate maximum number of shares underlying Jeremy Bender’s restricted stock units which may be sold, without excluding the shares that will be sold to satisfy the tax withholding obligations. The Bender Rule 10b5-1 Plan expires on February 28, 2026.</w:t>
      </w:r>
    </w:p>
    <w:p>
      <w:pPr>
        <w:spacing w:after="0" w:line="84"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On November 4, 2024, Samuel Blackman, our former Head of Research &amp; Development, entered into a pre-arranged written stock sale plan in accordance with Rule 10b5-1 (the “Blackman Rule 10b5-1 Plan”) under the Exchange Act for the sale of shares of our common stock. The Blackman Rule 10b5-1 Plan was entered into during an open trading window in accordance with our policies regarding transactions in our securities and is intended to satisfy the affirmative defense of Rule 10b5-1(c) under the Exchange Act. The Blackman Rule 10b5-1 Plan provides for the potential sale of shares of our common stock, including upon the vesting and settlement of restricted stock units, so long as the market price of our common stock is higher than certain minimum threshold prices specified in the Blackman Rule 10b5-1 Plan, between March 7, 2025 and January 31, 2026. As such, for purposes of this disclosure, the aggregate number of shares of common stock available for sale is approximately 1,300,000. The Blackman Rule 10b5-1 Plan expires on January 31, 2026.</w:t>
      </w:r>
    </w:p>
    <w:p>
      <w:pPr>
        <w:spacing w:after="0" w:line="8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November 14, 2024, Charles N. York II, our Chief Operating and Financial Officer, entered into a pre-arranged written stock sale plan in accordance with Rule 10b5-1 (the “York Rule 10b5-1 Plan”) under the Exchange Act for the sale of shares of our common stock. The York Rule 10b5-1 Plan was entered into during an open trading window in accordance with our policies regarding transactions in our securities and is intended to satisfy the affirmative defense of Rule 10b5-1(c) under the Exchange Act. The York Rule 10b5-1 Plan provides for the potential sale of shares of our common stock, including upon the vesting and settlement of restricted stock units/vesting and exercise of stock options, so long as the market price of our common stock is higher than certain minimum threshold prices specified in the York Rule 10b5-1 Plan, between February 25, 2025 and February 18, 2026. The aggregate number of shares of common stock that will be available for sale under the York Rule 10b5-1 Plan is not yet determinable because the shares available will be net of shares sold to satisfy tax withholding obligations that arise in connection with the vesting and settlement of such restricted stock unit awards. As such, for purposes of this disclosure, the aggregate number of shares of common stock available for sale is approximately 310,601, which reflects the aggregate maximum number of shares underlying Charles York’s restricted stock units which may be sold, without excluding the shares that will be sold to satisfy the tax withholding obligations. The York Rule 10b5-1 Plan expires on February 18, 2026.</w:t>
      </w:r>
    </w:p>
    <w:p>
      <w:pPr>
        <w:spacing w:after="0" w:line="84"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On December 1, 2024, William Grossman, one of our directors, entered into a pre-arranged written stock sale plan in accordance with Rule 10b5-1 (the “Grossman Rule 10b5-1 Plan” and collectively with the Bender Rule 10b5-1 Plan, Blackman Rule 10b5-1 Plan, and York Rule 10b5-1 Plan, the “Plans”) under the Exchange Act for the sale of shares of our common stock. The Grossman Rule 10b5-1 Plan was entered into during an open trading window in accordance with our policies regarding transactions in our securities and is intended to satisfy the affirmative defense of Rule 10b5-1(c) under the Exchange Act. The Grossman Rule 10b5-1 Plan provides for the potential sale of shares of our common stock, including upon the vesting and exercise of stock options, so long as the market price of our common stock is higher than certain minimum threshold prices specified in the Grossman Rule 10b5-1 Plan, between March 2, 2025 and March 1, 2026. There are 30,132 aggregate number of shares of common stock available for sale under the Grossman Rule 10b5-1 Plan. The Grossman Rule 10b5-1 Plan expires on March 1,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9" w:name="page130"/>
    <w:bookmarkEnd w:id="129"/>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2025 Annual Meeting of Stockholders, to be filed with the SEC within 120 days of the fiscal year ended December 31, 2024,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2025 Annual Meeting of Stockholders, to be filed with the SEC within 120 days of the fiscal year ended December 31, 2024,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2025 Annual Meeting of Stockholders, to be filed with the SEC within 120 days of the fiscal year ended December 31, 2024,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2025 Annual Meeting of Stockholders, to be filed with the SEC within 120 days of the fiscal year ended December 31, 2024,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2025 Annual Meeting of Stockholders, to be filed with the SEC within 120 days of the fiscal year ended December 31, 2024, and is incorporated herein by reference.</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13" w:right="65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ind w:left="520"/>
        <w:spacing w:after="0"/>
        <w:tabs>
          <w:tab w:leader="none" w:pos="860" w:val="left"/>
        </w:tabs>
        <w:rPr>
          <w:sz w:val="20"/>
          <w:szCs w:val="20"/>
          <w:color w:val="auto"/>
        </w:rPr>
      </w:pPr>
      <w:r>
        <w:rPr>
          <w:rFonts w:ascii="Times New Roman" w:cs="Times New Roman" w:eastAsia="Times New Roman" w:hAnsi="Times New Roman"/>
          <w:sz w:val="18"/>
          <w:szCs w:val="18"/>
          <w:i w:val="1"/>
          <w:iCs w:val="1"/>
          <w:color w:val="auto"/>
        </w:rPr>
        <w:t>(1)</w:t>
      </w:r>
      <w:r>
        <w:rPr>
          <w:sz w:val="20"/>
          <w:szCs w:val="20"/>
          <w:color w:val="auto"/>
        </w:rPr>
        <w:tab/>
      </w:r>
      <w:r>
        <w:rPr>
          <w:rFonts w:ascii="Times New Roman" w:cs="Times New Roman" w:eastAsia="Times New Roman" w:hAnsi="Times New Roman"/>
          <w:sz w:val="17"/>
          <w:szCs w:val="17"/>
          <w:i w:val="1"/>
          <w:iCs w:val="1"/>
          <w:color w:val="auto"/>
        </w:rPr>
        <w:t>Financial Statements:</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Item 15(a) are filed as part of this Annual Report on Form 10-K under Item 8 “Financial Statements and Supplementary Data.”</w:t>
      </w:r>
    </w:p>
    <w:p>
      <w:pPr>
        <w:spacing w:after="0" w:line="52" w:lineRule="exact"/>
        <w:rPr>
          <w:sz w:val="20"/>
          <w:szCs w:val="20"/>
          <w:color w:val="auto"/>
        </w:rPr>
      </w:pPr>
    </w:p>
    <w:p>
      <w:pPr>
        <w:ind w:left="520"/>
        <w:spacing w:after="0"/>
        <w:tabs>
          <w:tab w:leader="none" w:pos="860" w:val="left"/>
        </w:tabs>
        <w:rPr>
          <w:sz w:val="20"/>
          <w:szCs w:val="20"/>
          <w:color w:val="auto"/>
        </w:rPr>
      </w:pPr>
      <w:r>
        <w:rPr>
          <w:rFonts w:ascii="Times New Roman" w:cs="Times New Roman" w:eastAsia="Times New Roman" w:hAnsi="Times New Roman"/>
          <w:sz w:val="18"/>
          <w:szCs w:val="18"/>
          <w:i w:val="1"/>
          <w:iCs w:val="1"/>
          <w:color w:val="auto"/>
        </w:rPr>
        <w:t>(2)</w:t>
      </w:r>
      <w:r>
        <w:rPr>
          <w:sz w:val="20"/>
          <w:szCs w:val="20"/>
          <w:color w:val="auto"/>
        </w:rPr>
        <w:tab/>
      </w:r>
      <w:r>
        <w:rPr>
          <w:rFonts w:ascii="Times New Roman" w:cs="Times New Roman" w:eastAsia="Times New Roman" w:hAnsi="Times New Roman"/>
          <w:sz w:val="17"/>
          <w:szCs w:val="17"/>
          <w:i w:val="1"/>
          <w:iCs w:val="1"/>
          <w:color w:val="auto"/>
        </w:rPr>
        <w:t>Financial Statement Schedules</w:t>
      </w:r>
    </w:p>
    <w:p>
      <w:pPr>
        <w:spacing w:after="0" w:line="33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52" w:lineRule="exact"/>
        <w:rPr>
          <w:sz w:val="20"/>
          <w:szCs w:val="20"/>
          <w:color w:val="auto"/>
        </w:rPr>
      </w:pPr>
    </w:p>
    <w:p>
      <w:pPr>
        <w:ind w:left="520"/>
        <w:spacing w:after="0"/>
        <w:tabs>
          <w:tab w:leader="none" w:pos="860" w:val="left"/>
        </w:tabs>
        <w:rPr>
          <w:sz w:val="20"/>
          <w:szCs w:val="20"/>
          <w:color w:val="auto"/>
        </w:rPr>
      </w:pPr>
      <w:r>
        <w:rPr>
          <w:rFonts w:ascii="Times New Roman" w:cs="Times New Roman" w:eastAsia="Times New Roman" w:hAnsi="Times New Roman"/>
          <w:sz w:val="18"/>
          <w:szCs w:val="18"/>
          <w:i w:val="1"/>
          <w:iCs w:val="1"/>
          <w:color w:val="auto"/>
        </w:rPr>
        <w:t>(3)</w:t>
        <w:tab/>
        <w:t>Exhibits.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gridSpan w:val="16"/>
          </w:tcPr>
          <w:p>
            <w:pPr>
              <w:ind w:left="78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Form</w:t>
            </w:r>
          </w:p>
        </w:tc>
        <w:tc>
          <w:tcPr>
            <w:tcW w:w="1860" w:type="dxa"/>
            <w:vAlign w:val="bottom"/>
          </w:tcPr>
          <w:p>
            <w:pPr>
              <w:ind w:left="840"/>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2080" w:type="dxa"/>
            <w:vAlign w:val="bottom"/>
          </w:tcPr>
          <w:p>
            <w:pPr>
              <w:jc w:val="center"/>
              <w:ind w:left="291"/>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220" w:type="dxa"/>
            <w:vAlign w:val="bottom"/>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Filed/</w:t>
            </w:r>
          </w:p>
        </w:tc>
      </w:tr>
      <w:tr>
        <w:trPr>
          <w:trHeight w:val="203"/>
        </w:trPr>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jc w:val="center"/>
              <w:ind w:left="291"/>
              <w:spacing w:after="0"/>
              <w:rPr>
                <w:sz w:val="20"/>
                <w:szCs w:val="20"/>
                <w:color w:val="auto"/>
              </w:rPr>
            </w:pPr>
            <w:r>
              <w:rPr>
                <w:rFonts w:ascii="Times New Roman" w:cs="Times New Roman" w:eastAsia="Times New Roman" w:hAnsi="Times New Roman"/>
                <w:sz w:val="17"/>
                <w:szCs w:val="17"/>
                <w:b w:val="1"/>
                <w:bCs w:val="1"/>
                <w:color w:val="auto"/>
                <w:w w:val="98"/>
              </w:rPr>
              <w:t>Filing</w:t>
            </w:r>
          </w:p>
        </w:tc>
        <w:tc>
          <w:tcPr>
            <w:tcW w:w="1220" w:type="dxa"/>
            <w:vAlign w:val="bottom"/>
          </w:tcPr>
          <w:p>
            <w:pPr>
              <w:jc w:val="center"/>
              <w:ind w:left="75"/>
              <w:spacing w:after="0"/>
              <w:rPr>
                <w:sz w:val="20"/>
                <w:szCs w:val="20"/>
                <w:color w:val="auto"/>
              </w:rPr>
            </w:pPr>
            <w:r>
              <w:rPr>
                <w:rFonts w:ascii="Times New Roman" w:cs="Times New Roman" w:eastAsia="Times New Roman" w:hAnsi="Times New Roman"/>
                <w:sz w:val="17"/>
                <w:szCs w:val="17"/>
                <w:b w:val="1"/>
                <w:bCs w:val="1"/>
                <w:color w:val="auto"/>
                <w:w w:val="99"/>
              </w:rPr>
              <w:t>Furnished</w:t>
            </w:r>
          </w:p>
        </w:tc>
      </w:tr>
      <w:tr>
        <w:trPr>
          <w:trHeight w:val="226"/>
        </w:trPr>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80" w:type="dxa"/>
            <w:vAlign w:val="bottom"/>
          </w:tcPr>
          <w:p>
            <w:pPr>
              <w:jc w:val="center"/>
              <w:ind w:left="291"/>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220" w:type="dxa"/>
            <w:vAlign w:val="bottom"/>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w w:val="99"/>
              </w:rPr>
              <w:t>Herewith</w:t>
            </w:r>
          </w:p>
        </w:tc>
      </w:tr>
      <w:tr>
        <w:trPr>
          <w:trHeight w:val="39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37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Restated Certificate of Incorporation, dated June 1,</w:t>
              </w:r>
            </w:hyperlink>
          </w:p>
        </w:tc>
        <w:tc>
          <w:tcPr>
            <w:tcW w:w="2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10-Q</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001-40431</w:t>
            </w: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August 7, 2023</w:t>
            </w:r>
          </w:p>
        </w:tc>
        <w:tc>
          <w:tcPr>
            <w:tcW w:w="12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4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2021, as amended June 22, 2023.</w:t>
              </w:r>
            </w:hyperlink>
          </w:p>
        </w:tc>
        <w:tc>
          <w:tcPr>
            <w:tcW w:w="20" w:type="dxa"/>
            <w:vAlign w:val="bottom"/>
            <w:tcBorders>
              <w:bottom w:val="single" w:sz="8" w:color="0000EE"/>
            </w:tcBorders>
          </w:tcPr>
          <w:p>
            <w:pPr>
              <w:spacing w:after="0"/>
              <w:rPr>
                <w:sz w:val="17"/>
                <w:szCs w:val="17"/>
                <w:color w:val="auto"/>
              </w:rPr>
            </w:pPr>
          </w:p>
        </w:tc>
        <w:tc>
          <w:tcPr>
            <w:tcW w:w="1560" w:type="dxa"/>
            <w:vAlign w:val="bottom"/>
            <w:gridSpan w:val="11"/>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980" w:type="dxa"/>
            <w:vAlign w:val="bottom"/>
            <w:gridSpan w:val="22"/>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Amended and Restated Bylaws, dated February 17,</w:t>
              </w:r>
            </w:hyperlink>
          </w:p>
        </w:tc>
        <w:tc>
          <w:tcPr>
            <w:tcW w:w="40" w:type="dxa"/>
            <w:vAlign w:val="bottom"/>
          </w:tcPr>
          <w:p>
            <w:pPr>
              <w:spacing w:after="0"/>
              <w:rPr>
                <w:sz w:val="24"/>
                <w:szCs w:val="24"/>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001-40431</w:t>
            </w: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February 23, 2023</w:t>
            </w:r>
          </w:p>
        </w:tc>
        <w:tc>
          <w:tcPr>
            <w:tcW w:w="12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76">
              <w:r>
                <w:rPr>
                  <w:rFonts w:ascii="Times New Roman" w:cs="Times New Roman" w:eastAsia="Times New Roman" w:hAnsi="Times New Roman"/>
                  <w:sz w:val="18"/>
                  <w:szCs w:val="18"/>
                  <w:color w:val="0000FF"/>
                  <w:w w:val="98"/>
                </w:rPr>
                <w:t>2023.</w:t>
              </w:r>
            </w:hyperlink>
          </w:p>
        </w:tc>
        <w:tc>
          <w:tcPr>
            <w:tcW w:w="20" w:type="dxa"/>
            <w:vAlign w:val="bottom"/>
            <w:tcBorders>
              <w:top w:val="single" w:sz="8" w:color="0000FF"/>
              <w:bottom w:val="single" w:sz="8" w:color="0000EE"/>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39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Certificate of Ownership and Merger, dated December</w:t>
              </w:r>
            </w:hyperlink>
          </w:p>
        </w:tc>
        <w:tc>
          <w:tcPr>
            <w:tcW w:w="40" w:type="dxa"/>
            <w:vAlign w:val="bottom"/>
          </w:tcPr>
          <w:p>
            <w:pPr>
              <w:spacing w:after="0"/>
              <w:rPr>
                <w:sz w:val="24"/>
                <w:szCs w:val="24"/>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001-40431</w:t>
            </w: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7, 2022</w:t>
            </w:r>
          </w:p>
        </w:tc>
        <w:tc>
          <w:tcPr>
            <w:tcW w:w="12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23, 2021</w:t>
              </w:r>
            </w:hyperlink>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980" w:type="dxa"/>
            <w:vAlign w:val="bottom"/>
            <w:gridSpan w:val="22"/>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Common Stock Certificate</w:t>
              </w:r>
            </w:hyperlink>
          </w:p>
        </w:tc>
        <w:tc>
          <w:tcPr>
            <w:tcW w:w="40" w:type="dxa"/>
            <w:vAlign w:val="bottom"/>
          </w:tcPr>
          <w:p>
            <w:pPr>
              <w:spacing w:after="0"/>
              <w:rPr>
                <w:sz w:val="24"/>
                <w:szCs w:val="24"/>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S-1/A</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333-255754</w:t>
            </w: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May 24, 2021</w:t>
            </w:r>
          </w:p>
        </w:tc>
        <w:tc>
          <w:tcPr>
            <w:tcW w:w="122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39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Amended and Restated Investors’ Rights Agreement,</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333-255754</w:t>
            </w: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May 4, 2021</w:t>
            </w:r>
          </w:p>
        </w:tc>
        <w:tc>
          <w:tcPr>
            <w:tcW w:w="12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35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dated February 1, 2021, by and among Day One</w:t>
              </w:r>
            </w:hyperlink>
          </w:p>
        </w:tc>
        <w:tc>
          <w:tcPr>
            <w:tcW w:w="46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6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Biopharmaceuticals Holding Company, LLC and</w:t>
              </w:r>
            </w:hyperlink>
          </w:p>
        </w:tc>
        <w:tc>
          <w:tcPr>
            <w:tcW w:w="38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980" w:type="dxa"/>
            <w:vAlign w:val="bottom"/>
            <w:gridSpan w:val="22"/>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certain of its stockholders.</w:t>
              </w:r>
            </w:hyperlink>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1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Form of Pre-Funded Warrant</w:t>
              </w:r>
            </w:hyperlink>
          </w:p>
        </w:tc>
        <w:tc>
          <w:tcPr>
            <w:tcW w:w="40" w:type="dxa"/>
            <w:vAlign w:val="bottom"/>
            <w:tcBorders>
              <w:bottom w:val="single" w:sz="8" w:color="0000EE"/>
            </w:tcBorders>
          </w:tcPr>
          <w:p>
            <w:pPr>
              <w:spacing w:after="0"/>
              <w:rPr>
                <w:sz w:val="24"/>
                <w:szCs w:val="24"/>
                <w:color w:val="auto"/>
              </w:rPr>
            </w:pPr>
          </w:p>
        </w:tc>
        <w:tc>
          <w:tcPr>
            <w:tcW w:w="182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001-40431</w:t>
            </w: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July 30, 2024</w:t>
            </w:r>
          </w:p>
        </w:tc>
        <w:tc>
          <w:tcPr>
            <w:tcW w:w="1220" w:type="dxa"/>
            <w:vAlign w:val="bottom"/>
          </w:tcPr>
          <w:p>
            <w:pPr>
              <w:spacing w:after="0"/>
              <w:rPr>
                <w:sz w:val="24"/>
                <w:szCs w:val="24"/>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28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Form of Registration Rights Agreement</w:t>
              </w:r>
            </w:hyperlink>
          </w:p>
        </w:tc>
        <w:tc>
          <w:tcPr>
            <w:tcW w:w="110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001-40431</w:t>
            </w: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July 30, 2024</w:t>
            </w:r>
          </w:p>
        </w:tc>
        <w:tc>
          <w:tcPr>
            <w:tcW w:w="1220" w:type="dxa"/>
            <w:vAlign w:val="bottom"/>
          </w:tcPr>
          <w:p>
            <w:pPr>
              <w:spacing w:after="0"/>
              <w:rPr>
                <w:sz w:val="24"/>
                <w:szCs w:val="24"/>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27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Description of Registrant’s Securities</w:t>
              </w:r>
            </w:hyperlink>
          </w:p>
        </w:tc>
        <w:tc>
          <w:tcPr>
            <w:tcW w:w="20" w:type="dxa"/>
            <w:vAlign w:val="bottom"/>
            <w:tcBorders>
              <w:bottom w:val="single" w:sz="8" w:color="0000EE"/>
            </w:tcBorders>
          </w:tcPr>
          <w:p>
            <w:pPr>
              <w:spacing w:after="0"/>
              <w:rPr>
                <w:sz w:val="24"/>
                <w:szCs w:val="24"/>
                <w:color w:val="auto"/>
              </w:rPr>
            </w:pPr>
          </w:p>
        </w:tc>
        <w:tc>
          <w:tcPr>
            <w:tcW w:w="124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001-40431</w:t>
            </w: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7, 2022</w:t>
            </w:r>
          </w:p>
        </w:tc>
        <w:tc>
          <w:tcPr>
            <w:tcW w:w="1220" w:type="dxa"/>
            <w:vAlign w:val="bottom"/>
          </w:tcPr>
          <w:p>
            <w:pPr>
              <w:spacing w:after="0"/>
              <w:rPr>
                <w:sz w:val="24"/>
                <w:szCs w:val="24"/>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9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Form of Indemnification Agreement with directors and</w:t>
              </w:r>
            </w:hyperlink>
          </w:p>
        </w:tc>
        <w:tc>
          <w:tcPr>
            <w:tcW w:w="40" w:type="dxa"/>
            <w:vAlign w:val="bottom"/>
            <w:tcBorders>
              <w:bottom w:val="single" w:sz="8" w:color="0000FF"/>
            </w:tcBorders>
          </w:tcPr>
          <w:p>
            <w:pPr>
              <w:spacing w:after="0"/>
              <w:rPr>
                <w:sz w:val="24"/>
                <w:szCs w:val="24"/>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S-1</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333-255754</w:t>
            </w: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May 4, 2021</w:t>
            </w:r>
          </w:p>
        </w:tc>
        <w:tc>
          <w:tcPr>
            <w:tcW w:w="12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5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officers</w:t>
              </w:r>
            </w:hyperlink>
          </w:p>
        </w:tc>
        <w:tc>
          <w:tcPr>
            <w:tcW w:w="20" w:type="dxa"/>
            <w:vAlign w:val="bottom"/>
            <w:tcBorders>
              <w:bottom w:val="single" w:sz="8" w:color="0000EE"/>
            </w:tcBorders>
          </w:tcPr>
          <w:p>
            <w:pPr>
              <w:spacing w:after="0"/>
              <w:rPr>
                <w:sz w:val="17"/>
                <w:szCs w:val="17"/>
                <w:color w:val="auto"/>
              </w:rPr>
            </w:pPr>
          </w:p>
        </w:tc>
        <w:tc>
          <w:tcPr>
            <w:tcW w:w="3400" w:type="dxa"/>
            <w:vAlign w:val="bottom"/>
            <w:gridSpan w:val="18"/>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980" w:type="dxa"/>
            <w:vAlign w:val="bottom"/>
            <w:gridSpan w:val="22"/>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Change in Control and Severance Agreement</w:t>
              </w:r>
            </w:hyperlink>
          </w:p>
        </w:tc>
        <w:tc>
          <w:tcPr>
            <w:tcW w:w="40" w:type="dxa"/>
            <w:vAlign w:val="bottom"/>
          </w:tcPr>
          <w:p>
            <w:pPr>
              <w:spacing w:after="0"/>
              <w:rPr>
                <w:sz w:val="24"/>
                <w:szCs w:val="24"/>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001-40431</w:t>
            </w: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7, 2022</w:t>
            </w:r>
          </w:p>
        </w:tc>
        <w:tc>
          <w:tcPr>
            <w:tcW w:w="1220" w:type="dxa"/>
            <w:vAlign w:val="bottom"/>
          </w:tcPr>
          <w:p>
            <w:pPr>
              <w:spacing w:after="0"/>
              <w:rPr>
                <w:sz w:val="24"/>
                <w:szCs w:val="24"/>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46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2021 Equity Incentive Plan and forms of award</w:t>
              </w:r>
            </w:hyperlink>
          </w:p>
        </w:tc>
        <w:tc>
          <w:tcPr>
            <w:tcW w:w="440" w:type="dxa"/>
            <w:vAlign w:val="bottom"/>
            <w:tcBorders>
              <w:top w:val="single" w:sz="8" w:color="0000FF"/>
            </w:tcBorders>
            <w:gridSpan w:val="5"/>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S-8</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333-276372</w:t>
            </w: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January 4, 2024</w:t>
            </w:r>
          </w:p>
        </w:tc>
        <w:tc>
          <w:tcPr>
            <w:tcW w:w="12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3980" w:type="dxa"/>
            <w:vAlign w:val="bottom"/>
            <w:gridSpan w:val="22"/>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agreements</w:t>
              </w:r>
            </w:hyperlink>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84"/>
        </w:trPr>
        <w:tc>
          <w:tcPr>
            <w:tcW w:w="108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128</w:t>
            </w:r>
          </w:p>
        </w:tc>
        <w:tc>
          <w:tcPr>
            <w:tcW w:w="1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2021 Employee Stock Purchase Plan and forms of</w:t>
              </w:r>
            </w:hyperlink>
          </w:p>
        </w:tc>
        <w:tc>
          <w:tcPr>
            <w:tcW w:w="380" w:type="dxa"/>
            <w:vAlign w:val="bottom"/>
            <w:gridSpan w:val="10"/>
          </w:tcPr>
          <w:p>
            <w:pPr>
              <w:spacing w:after="0"/>
              <w:rPr>
                <w:sz w:val="17"/>
                <w:szCs w:val="17"/>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S-8</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333-276372</w:t>
            </w:r>
          </w:p>
        </w:tc>
        <w:tc>
          <w:tcPr>
            <w:tcW w:w="3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January 4, 2024</w:t>
            </w:r>
          </w:p>
        </w:tc>
      </w:tr>
      <w:tr>
        <w:trPr>
          <w:trHeight w:val="196"/>
        </w:trPr>
        <w:tc>
          <w:tcPr>
            <w:tcW w:w="1080" w:type="dxa"/>
            <w:vAlign w:val="bottom"/>
          </w:tcPr>
          <w:p>
            <w:pPr>
              <w:spacing w:after="0"/>
              <w:rPr>
                <w:sz w:val="17"/>
                <w:szCs w:val="17"/>
                <w:color w:val="auto"/>
              </w:rPr>
            </w:pPr>
          </w:p>
        </w:tc>
        <w:tc>
          <w:tcPr>
            <w:tcW w:w="13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award agreements</w:t>
              </w:r>
            </w:hyperlink>
          </w:p>
        </w:tc>
        <w:tc>
          <w:tcPr>
            <w:tcW w:w="20" w:type="dxa"/>
            <w:vAlign w:val="bottom"/>
            <w:tcBorders>
              <w:bottom w:val="single" w:sz="8" w:color="0000EE"/>
            </w:tcBorders>
          </w:tcPr>
          <w:p>
            <w:pPr>
              <w:spacing w:after="0"/>
              <w:rPr>
                <w:sz w:val="17"/>
                <w:szCs w:val="17"/>
                <w:color w:val="auto"/>
              </w:rPr>
            </w:pPr>
          </w:p>
        </w:tc>
        <w:tc>
          <w:tcPr>
            <w:tcW w:w="2700" w:type="dxa"/>
            <w:vAlign w:val="bottom"/>
            <w:gridSpan w:val="23"/>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9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2022 Equity Inducement Plan and forms of agreement</w:t>
              </w:r>
            </w:hyperlink>
          </w:p>
        </w:tc>
        <w:tc>
          <w:tcPr>
            <w:tcW w:w="120" w:type="dxa"/>
            <w:vAlign w:val="bottom"/>
            <w:gridSpan w:val="5"/>
          </w:tcPr>
          <w:p>
            <w:pPr>
              <w:spacing w:after="0"/>
              <w:rPr>
                <w:sz w:val="24"/>
                <w:szCs w:val="24"/>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S-8</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333-268071</w:t>
            </w:r>
          </w:p>
        </w:tc>
        <w:tc>
          <w:tcPr>
            <w:tcW w:w="3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October 31, 2022</w:t>
            </w: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7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Office Lease, dated June 26, 2024, by and between</w:t>
            </w:r>
          </w:p>
        </w:tc>
        <w:tc>
          <w:tcPr>
            <w:tcW w:w="320" w:type="dxa"/>
            <w:vAlign w:val="bottom"/>
            <w:gridSpan w:val="9"/>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1080" w:type="dxa"/>
            <w:vAlign w:val="bottom"/>
          </w:tcPr>
          <w:p>
            <w:pPr>
              <w:spacing w:after="0"/>
              <w:rPr>
                <w:sz w:val="17"/>
                <w:szCs w:val="17"/>
                <w:color w:val="auto"/>
              </w:rPr>
            </w:pPr>
          </w:p>
        </w:tc>
        <w:tc>
          <w:tcPr>
            <w:tcW w:w="388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Arcus Biosciences, Inc., a Delaware corporation, and</w:t>
            </w:r>
          </w:p>
        </w:tc>
        <w:tc>
          <w:tcPr>
            <w:tcW w:w="16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5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Day One Biopharmaceuticals, Inc.</w:t>
            </w:r>
          </w:p>
        </w:tc>
        <w:tc>
          <w:tcPr>
            <w:tcW w:w="20" w:type="dxa"/>
            <w:vAlign w:val="bottom"/>
            <w:tcBorders>
              <w:bottom w:val="single" w:sz="8" w:color="0000EE"/>
            </w:tcBorders>
          </w:tcPr>
          <w:p>
            <w:pPr>
              <w:spacing w:after="0"/>
              <w:rPr>
                <w:sz w:val="17"/>
                <w:szCs w:val="17"/>
                <w:color w:val="auto"/>
              </w:rPr>
            </w:pPr>
          </w:p>
        </w:tc>
        <w:tc>
          <w:tcPr>
            <w:tcW w:w="1520" w:type="dxa"/>
            <w:vAlign w:val="bottom"/>
            <w:gridSpan w:val="19"/>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9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Asset Transfer and License Agreement, effective as of</w:t>
              </w:r>
            </w:hyperlink>
          </w:p>
        </w:tc>
        <w:tc>
          <w:tcPr>
            <w:tcW w:w="60" w:type="dxa"/>
            <w:vAlign w:val="bottom"/>
            <w:gridSpan w:val="3"/>
          </w:tcPr>
          <w:p>
            <w:pPr>
              <w:spacing w:after="0"/>
              <w:rPr>
                <w:sz w:val="24"/>
                <w:szCs w:val="24"/>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S-1</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333-255754</w:t>
            </w:r>
          </w:p>
        </w:tc>
        <w:tc>
          <w:tcPr>
            <w:tcW w:w="3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May 4, 2021</w:t>
            </w:r>
          </w:p>
        </w:tc>
      </w:tr>
      <w:tr>
        <w:trPr>
          <w:trHeight w:val="196"/>
        </w:trPr>
        <w:tc>
          <w:tcPr>
            <w:tcW w:w="1080" w:type="dxa"/>
            <w:vAlign w:val="bottom"/>
          </w:tcPr>
          <w:p>
            <w:pPr>
              <w:spacing w:after="0"/>
              <w:rPr>
                <w:sz w:val="17"/>
                <w:szCs w:val="17"/>
                <w:color w:val="auto"/>
              </w:rPr>
            </w:pPr>
          </w:p>
        </w:tc>
        <w:tc>
          <w:tcPr>
            <w:tcW w:w="31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December 16, 2019, by and between DOT</w:t>
              </w:r>
            </w:hyperlink>
          </w:p>
        </w:tc>
        <w:tc>
          <w:tcPr>
            <w:tcW w:w="94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9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Therapeutics-1, Inc. and Millennium Pharmaceuticals,</w:t>
              </w:r>
            </w:hyperlink>
          </w:p>
        </w:tc>
        <w:tc>
          <w:tcPr>
            <w:tcW w:w="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040" w:type="dxa"/>
            <w:vAlign w:val="bottom"/>
            <w:gridSpan w:val="27"/>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Inc.</w:t>
              </w:r>
            </w:hyperlink>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40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License Agreement for RAF, effective as of December</w:t>
              </w:r>
            </w:hyperlink>
          </w:p>
        </w:tc>
        <w:tc>
          <w:tcPr>
            <w:tcW w:w="2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S-1</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333-255754</w:t>
            </w:r>
          </w:p>
        </w:tc>
        <w:tc>
          <w:tcPr>
            <w:tcW w:w="3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May 4, 2021</w:t>
            </w:r>
          </w:p>
        </w:tc>
      </w:tr>
      <w:tr>
        <w:trPr>
          <w:trHeight w:val="196"/>
        </w:trPr>
        <w:tc>
          <w:tcPr>
            <w:tcW w:w="1080" w:type="dxa"/>
            <w:vAlign w:val="bottom"/>
          </w:tcPr>
          <w:p>
            <w:pPr>
              <w:spacing w:after="0"/>
              <w:rPr>
                <w:sz w:val="17"/>
                <w:szCs w:val="17"/>
                <w:color w:val="auto"/>
              </w:rPr>
            </w:pPr>
          </w:p>
        </w:tc>
        <w:tc>
          <w:tcPr>
            <w:tcW w:w="37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16, 2019, by and between Sunesis Pharmaceuticals,</w:t>
              </w:r>
            </w:hyperlink>
          </w:p>
        </w:tc>
        <w:tc>
          <w:tcPr>
            <w:tcW w:w="28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5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Inc. and DOT Therapeutics-1, Inc.</w:t>
              </w:r>
            </w:hyperlink>
          </w:p>
        </w:tc>
        <w:tc>
          <w:tcPr>
            <w:tcW w:w="20" w:type="dxa"/>
            <w:vAlign w:val="bottom"/>
            <w:tcBorders>
              <w:bottom w:val="single" w:sz="8" w:color="0000EE"/>
            </w:tcBorders>
          </w:tcPr>
          <w:p>
            <w:pPr>
              <w:spacing w:after="0"/>
              <w:rPr>
                <w:sz w:val="17"/>
                <w:szCs w:val="17"/>
                <w:color w:val="auto"/>
              </w:rPr>
            </w:pPr>
          </w:p>
        </w:tc>
        <w:tc>
          <w:tcPr>
            <w:tcW w:w="1520" w:type="dxa"/>
            <w:vAlign w:val="bottom"/>
            <w:gridSpan w:val="19"/>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8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License Agreement, dated February 10, 2021, by and</w:t>
              </w:r>
            </w:hyperlink>
          </w:p>
        </w:tc>
        <w:tc>
          <w:tcPr>
            <w:tcW w:w="160" w:type="dxa"/>
            <w:vAlign w:val="bottom"/>
            <w:gridSpan w:val="6"/>
          </w:tcPr>
          <w:p>
            <w:pPr>
              <w:spacing w:after="0"/>
              <w:rPr>
                <w:sz w:val="24"/>
                <w:szCs w:val="24"/>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S-1</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333-255754</w:t>
            </w:r>
          </w:p>
        </w:tc>
        <w:tc>
          <w:tcPr>
            <w:tcW w:w="3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May 4, 2021</w:t>
            </w:r>
          </w:p>
        </w:tc>
      </w:tr>
      <w:tr>
        <w:trPr>
          <w:trHeight w:val="196"/>
        </w:trPr>
        <w:tc>
          <w:tcPr>
            <w:tcW w:w="1080" w:type="dxa"/>
            <w:vAlign w:val="bottom"/>
          </w:tcPr>
          <w:p>
            <w:pPr>
              <w:spacing w:after="0"/>
              <w:rPr>
                <w:sz w:val="17"/>
                <w:szCs w:val="17"/>
                <w:color w:val="auto"/>
              </w:rPr>
            </w:pPr>
          </w:p>
        </w:tc>
        <w:tc>
          <w:tcPr>
            <w:tcW w:w="39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between Merck KGaA, Darmstadt, Germany and Day</w:t>
              </w:r>
            </w:hyperlink>
          </w:p>
        </w:tc>
        <w:tc>
          <w:tcPr>
            <w:tcW w:w="1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040" w:type="dxa"/>
            <w:vAlign w:val="bottom"/>
            <w:gridSpan w:val="27"/>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One Biopharmaceuticals, Inc.</w:t>
              </w:r>
            </w:hyperlink>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40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Stock Exchange Agreement, dated May 4, 2021, by and</w:t>
              </w:r>
            </w:hyperlink>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S-1</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333-255754</w:t>
            </w:r>
          </w:p>
        </w:tc>
        <w:tc>
          <w:tcPr>
            <w:tcW w:w="3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May 4, 2021</w:t>
            </w:r>
          </w:p>
        </w:tc>
      </w:tr>
      <w:tr>
        <w:trPr>
          <w:trHeight w:val="196"/>
        </w:trPr>
        <w:tc>
          <w:tcPr>
            <w:tcW w:w="1080" w:type="dxa"/>
            <w:vAlign w:val="bottom"/>
          </w:tcPr>
          <w:p>
            <w:pPr>
              <w:spacing w:after="0"/>
              <w:rPr>
                <w:sz w:val="17"/>
                <w:szCs w:val="17"/>
                <w:color w:val="auto"/>
              </w:rPr>
            </w:pPr>
          </w:p>
        </w:tc>
        <w:tc>
          <w:tcPr>
            <w:tcW w:w="38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between Day One Biopharmaceuticals Holding Co.,</w:t>
              </w:r>
            </w:hyperlink>
          </w:p>
        </w:tc>
        <w:tc>
          <w:tcPr>
            <w:tcW w:w="24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1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LLC and Millennium Pharmaceuticals, Inc.</w:t>
              </w:r>
            </w:hyperlink>
          </w:p>
        </w:tc>
        <w:tc>
          <w:tcPr>
            <w:tcW w:w="20" w:type="dxa"/>
            <w:vAlign w:val="bottom"/>
            <w:tcBorders>
              <w:bottom w:val="single" w:sz="8" w:color="0000EE"/>
            </w:tcBorders>
          </w:tcPr>
          <w:p>
            <w:pPr>
              <w:spacing w:after="0"/>
              <w:rPr>
                <w:sz w:val="17"/>
                <w:szCs w:val="17"/>
                <w:color w:val="auto"/>
              </w:rPr>
            </w:pPr>
          </w:p>
        </w:tc>
        <w:tc>
          <w:tcPr>
            <w:tcW w:w="88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9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Amendment No. 1 to the License Agreement for RAF,</w:t>
              </w:r>
            </w:hyperlink>
          </w:p>
        </w:tc>
        <w:tc>
          <w:tcPr>
            <w:tcW w:w="60" w:type="dxa"/>
            <w:vAlign w:val="bottom"/>
            <w:gridSpan w:val="3"/>
          </w:tcPr>
          <w:p>
            <w:pPr>
              <w:spacing w:after="0"/>
              <w:rPr>
                <w:sz w:val="24"/>
                <w:szCs w:val="24"/>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8-K</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001-40431</w:t>
            </w:r>
          </w:p>
        </w:tc>
        <w:tc>
          <w:tcPr>
            <w:tcW w:w="3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March 7, 2024</w:t>
            </w:r>
          </w:p>
        </w:tc>
      </w:tr>
      <w:tr>
        <w:trPr>
          <w:trHeight w:val="196"/>
        </w:trPr>
        <w:tc>
          <w:tcPr>
            <w:tcW w:w="1080" w:type="dxa"/>
            <w:vAlign w:val="bottom"/>
          </w:tcPr>
          <w:p>
            <w:pPr>
              <w:spacing w:after="0"/>
              <w:rPr>
                <w:sz w:val="17"/>
                <w:szCs w:val="17"/>
                <w:color w:val="auto"/>
              </w:rPr>
            </w:pPr>
          </w:p>
        </w:tc>
        <w:tc>
          <w:tcPr>
            <w:tcW w:w="34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dated March 4, 2024, by and between Day One</w:t>
              </w:r>
            </w:hyperlink>
          </w:p>
        </w:tc>
        <w:tc>
          <w:tcPr>
            <w:tcW w:w="58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0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Biopharmaceuticals, Inc. and Sunesis Pharmaceuticals,</w:t>
              </w:r>
            </w:hyperlink>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040" w:type="dxa"/>
            <w:vAlign w:val="bottom"/>
            <w:gridSpan w:val="27"/>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Inc.</w:t>
              </w:r>
            </w:hyperlink>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040" w:type="dxa"/>
            <w:vAlign w:val="bottom"/>
            <w:gridSpan w:val="27"/>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Asset Purchase Agreement, dated May 29, 2024.</w:t>
              </w:r>
            </w:hyperlink>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001-40431</w:t>
            </w:r>
          </w:p>
        </w:tc>
        <w:tc>
          <w:tcPr>
            <w:tcW w:w="3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August 2, 2024</w:t>
            </w: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340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Exclusive License Agreement by and between</w:t>
              </w:r>
            </w:hyperlink>
          </w:p>
        </w:tc>
        <w:tc>
          <w:tcPr>
            <w:tcW w:w="120" w:type="dxa"/>
            <w:vAlign w:val="bottom"/>
            <w:tcBorders>
              <w:top w:val="single" w:sz="8" w:color="0000FF"/>
            </w:tcBorders>
            <w:gridSpan w:val="2"/>
          </w:tcPr>
          <w:p>
            <w:pPr>
              <w:spacing w:after="0"/>
              <w:rPr>
                <w:sz w:val="24"/>
                <w:szCs w:val="24"/>
                <w:color w:val="auto"/>
              </w:rPr>
            </w:pPr>
          </w:p>
        </w:tc>
        <w:tc>
          <w:tcPr>
            <w:tcW w:w="520" w:type="dxa"/>
            <w:vAlign w:val="bottom"/>
            <w:gridSpan w:val="11"/>
          </w:tcPr>
          <w:p>
            <w:pPr>
              <w:spacing w:after="0"/>
              <w:rPr>
                <w:sz w:val="24"/>
                <w:szCs w:val="24"/>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001-40431</w:t>
            </w:r>
          </w:p>
        </w:tc>
        <w:tc>
          <w:tcPr>
            <w:tcW w:w="3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August 2, 2024</w:t>
            </w:r>
          </w:p>
        </w:tc>
      </w:tr>
      <w:tr>
        <w:trPr>
          <w:trHeight w:val="196"/>
        </w:trPr>
        <w:tc>
          <w:tcPr>
            <w:tcW w:w="1080" w:type="dxa"/>
            <w:vAlign w:val="bottom"/>
          </w:tcPr>
          <w:p>
            <w:pPr>
              <w:spacing w:after="0"/>
              <w:rPr>
                <w:sz w:val="17"/>
                <w:szCs w:val="17"/>
                <w:color w:val="auto"/>
              </w:rPr>
            </w:pPr>
          </w:p>
        </w:tc>
        <w:tc>
          <w:tcPr>
            <w:tcW w:w="27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MabCare Therapeutics and Day One</w:t>
              </w:r>
            </w:hyperlink>
          </w:p>
        </w:tc>
        <w:tc>
          <w:tcPr>
            <w:tcW w:w="134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3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Biopharmaceuticals, Inc. dated June 17, 2024.</w:t>
              </w:r>
            </w:hyperlink>
          </w:p>
        </w:tc>
        <w:tc>
          <w:tcPr>
            <w:tcW w:w="66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0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Exclusive License Agreement by and between Day One</w:t>
              </w:r>
            </w:hyperlink>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001-40431</w:t>
            </w:r>
          </w:p>
        </w:tc>
        <w:tc>
          <w:tcPr>
            <w:tcW w:w="34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October 30, 2024</w:t>
            </w:r>
          </w:p>
        </w:tc>
      </w:tr>
      <w:tr>
        <w:trPr>
          <w:trHeight w:val="196"/>
        </w:trPr>
        <w:tc>
          <w:tcPr>
            <w:tcW w:w="1080" w:type="dxa"/>
            <w:vAlign w:val="bottom"/>
          </w:tcPr>
          <w:p>
            <w:pPr>
              <w:spacing w:after="0"/>
              <w:rPr>
                <w:sz w:val="17"/>
                <w:szCs w:val="17"/>
                <w:color w:val="auto"/>
              </w:rPr>
            </w:pPr>
          </w:p>
        </w:tc>
        <w:tc>
          <w:tcPr>
            <w:tcW w:w="40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Biopharmaceuticals, Inc. and Ipsen Pharma SAS dated</w:t>
              </w:r>
            </w:hyperlink>
          </w:p>
        </w:tc>
        <w:tc>
          <w:tcPr>
            <w:tcW w:w="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040" w:type="dxa"/>
            <w:vAlign w:val="bottom"/>
            <w:gridSpan w:val="27"/>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July 23, 2024.</w:t>
              </w:r>
            </w:hyperlink>
          </w:p>
        </w:tc>
        <w:tc>
          <w:tcPr>
            <w:tcW w:w="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40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8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80" w:type="dxa"/>
            <w:vAlign w:val="bottom"/>
          </w:tcPr>
          <w:p>
            <w:pPr>
              <w:spacing w:after="0" w:line="20" w:lineRule="exact"/>
              <w:rPr>
                <w:sz w:val="1"/>
                <w:szCs w:val="1"/>
                <w:color w:val="auto"/>
              </w:rPr>
            </w:pPr>
          </w:p>
        </w:tc>
        <w:tc>
          <w:tcPr>
            <w:tcW w:w="1640" w:type="dxa"/>
            <w:vAlign w:val="bottom"/>
            <w:tcBorders>
              <w:right w:val="single" w:sz="8" w:color="0000EE"/>
            </w:tcBorders>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41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40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8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X</w:t>
            </w:r>
          </w:p>
        </w:tc>
      </w:tr>
      <w:tr>
        <w:trPr>
          <w:trHeight w:val="885"/>
        </w:trPr>
        <w:tc>
          <w:tcPr>
            <w:tcW w:w="108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129</w:t>
            </w:r>
          </w:p>
        </w:tc>
        <w:tc>
          <w:tcPr>
            <w:tcW w:w="17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2" w:name="page133"/>
    <w:bookmarkEnd w:id="132"/>
    <w:tbl>
      <w:tblPr>
        <w:tblLayout w:type="fixed"/>
        <w:tblInd w:w="12"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0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Consent of Pricewaterhouse Coopers LLP, Independent</w:t>
            </w:r>
          </w:p>
        </w:tc>
        <w:tc>
          <w:tcPr>
            <w:tcW w:w="5660" w:type="dxa"/>
            <w:vAlign w:val="bottom"/>
          </w:tcPr>
          <w:p>
            <w:pPr>
              <w:ind w:left="552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60" w:type="dxa"/>
            <w:vAlign w:val="bottom"/>
          </w:tcPr>
          <w:p>
            <w:pPr>
              <w:spacing w:after="0"/>
              <w:rPr>
                <w:sz w:val="17"/>
                <w:szCs w:val="17"/>
                <w:color w:val="auto"/>
              </w:rPr>
            </w:pPr>
          </w:p>
        </w:tc>
        <w:tc>
          <w:tcPr>
            <w:tcW w:w="40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w:t>
            </w:r>
          </w:p>
        </w:tc>
        <w:tc>
          <w:tcPr>
            <w:tcW w:w="56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3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w:t>
            </w:r>
          </w:p>
        </w:tc>
        <w:tc>
          <w:tcPr>
            <w:tcW w:w="720" w:type="dxa"/>
            <w:vAlign w:val="bottom"/>
            <w:gridSpan w:val="7"/>
          </w:tcPr>
          <w:p>
            <w:pPr>
              <w:spacing w:after="0"/>
              <w:rPr>
                <w:sz w:val="24"/>
                <w:szCs w:val="24"/>
                <w:color w:val="auto"/>
              </w:rPr>
            </w:pPr>
          </w:p>
        </w:tc>
        <w:tc>
          <w:tcPr>
            <w:tcW w:w="5660" w:type="dxa"/>
            <w:vAlign w:val="bottom"/>
          </w:tcPr>
          <w:p>
            <w:pPr>
              <w:ind w:left="552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60" w:type="dxa"/>
            <w:vAlign w:val="bottom"/>
          </w:tcPr>
          <w:p>
            <w:pPr>
              <w:spacing w:after="0"/>
              <w:rPr>
                <w:sz w:val="17"/>
                <w:szCs w:val="17"/>
                <w:color w:val="auto"/>
              </w:rPr>
            </w:pPr>
          </w:p>
        </w:tc>
        <w:tc>
          <w:tcPr>
            <w:tcW w:w="40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w:t>
            </w:r>
          </w:p>
        </w:tc>
        <w:tc>
          <w:tcPr>
            <w:tcW w:w="56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5660" w:type="dxa"/>
            <w:vAlign w:val="bottom"/>
          </w:tcPr>
          <w:p>
            <w:pPr>
              <w:ind w:left="552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60" w:type="dxa"/>
            <w:vAlign w:val="bottom"/>
          </w:tcPr>
          <w:p>
            <w:pPr>
              <w:spacing w:after="0"/>
              <w:rPr>
                <w:sz w:val="17"/>
                <w:szCs w:val="17"/>
                <w:color w:val="auto"/>
              </w:rPr>
            </w:pPr>
          </w:p>
        </w:tc>
        <w:tc>
          <w:tcPr>
            <w:tcW w:w="37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300" w:type="dxa"/>
            <w:vAlign w:val="bottom"/>
            <w:gridSpan w:val="4"/>
          </w:tcPr>
          <w:p>
            <w:pPr>
              <w:spacing w:after="0"/>
              <w:rPr>
                <w:sz w:val="17"/>
                <w:szCs w:val="17"/>
                <w:color w:val="auto"/>
              </w:rPr>
            </w:pPr>
          </w:p>
        </w:tc>
        <w:tc>
          <w:tcPr>
            <w:tcW w:w="56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0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0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56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40" w:type="dxa"/>
            <w:vAlign w:val="bottom"/>
            <w:gridSpan w:val="2"/>
          </w:tcPr>
          <w:p>
            <w:pPr>
              <w:spacing w:after="0"/>
              <w:rPr>
                <w:sz w:val="24"/>
                <w:szCs w:val="24"/>
                <w:color w:val="auto"/>
              </w:rPr>
            </w:pPr>
          </w:p>
        </w:tc>
        <w:tc>
          <w:tcPr>
            <w:tcW w:w="5660" w:type="dxa"/>
            <w:vAlign w:val="bottom"/>
          </w:tcPr>
          <w:p>
            <w:pPr>
              <w:ind w:left="552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60" w:type="dxa"/>
            <w:vAlign w:val="bottom"/>
          </w:tcPr>
          <w:p>
            <w:pPr>
              <w:spacing w:after="0"/>
              <w:rPr>
                <w:sz w:val="17"/>
                <w:szCs w:val="17"/>
                <w:color w:val="auto"/>
              </w:rPr>
            </w:pPr>
          </w:p>
        </w:tc>
        <w:tc>
          <w:tcPr>
            <w:tcW w:w="37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300" w:type="dxa"/>
            <w:vAlign w:val="bottom"/>
            <w:gridSpan w:val="4"/>
          </w:tcPr>
          <w:p>
            <w:pPr>
              <w:spacing w:after="0"/>
              <w:rPr>
                <w:sz w:val="17"/>
                <w:szCs w:val="17"/>
                <w:color w:val="auto"/>
              </w:rPr>
            </w:pPr>
          </w:p>
        </w:tc>
        <w:tc>
          <w:tcPr>
            <w:tcW w:w="56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0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0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56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4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560" w:type="dxa"/>
            <w:vAlign w:val="bottom"/>
            <w:gridSpan w:val="6"/>
          </w:tcPr>
          <w:p>
            <w:pPr>
              <w:spacing w:after="0"/>
              <w:rPr>
                <w:sz w:val="24"/>
                <w:szCs w:val="24"/>
                <w:color w:val="auto"/>
              </w:rPr>
            </w:pPr>
          </w:p>
        </w:tc>
        <w:tc>
          <w:tcPr>
            <w:tcW w:w="5660" w:type="dxa"/>
            <w:vAlign w:val="bottom"/>
          </w:tcPr>
          <w:p>
            <w:pPr>
              <w:ind w:left="552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60" w:type="dxa"/>
            <w:vAlign w:val="bottom"/>
          </w:tcPr>
          <w:p>
            <w:pPr>
              <w:spacing w:after="0"/>
              <w:rPr>
                <w:sz w:val="17"/>
                <w:szCs w:val="17"/>
                <w:color w:val="auto"/>
              </w:rPr>
            </w:pPr>
          </w:p>
        </w:tc>
        <w:tc>
          <w:tcPr>
            <w:tcW w:w="36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c>
          <w:tcPr>
            <w:tcW w:w="440" w:type="dxa"/>
            <w:vAlign w:val="bottom"/>
            <w:gridSpan w:val="5"/>
          </w:tcPr>
          <w:p>
            <w:pPr>
              <w:spacing w:after="0"/>
              <w:rPr>
                <w:sz w:val="17"/>
                <w:szCs w:val="17"/>
                <w:color w:val="auto"/>
              </w:rPr>
            </w:pPr>
          </w:p>
        </w:tc>
        <w:tc>
          <w:tcPr>
            <w:tcW w:w="56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8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w:t>
            </w:r>
          </w:p>
        </w:tc>
        <w:tc>
          <w:tcPr>
            <w:tcW w:w="180" w:type="dxa"/>
            <w:vAlign w:val="bottom"/>
            <w:gridSpan w:val="3"/>
          </w:tcPr>
          <w:p>
            <w:pPr>
              <w:spacing w:after="0"/>
              <w:rPr>
                <w:sz w:val="17"/>
                <w:szCs w:val="17"/>
                <w:color w:val="auto"/>
              </w:rPr>
            </w:pPr>
          </w:p>
        </w:tc>
        <w:tc>
          <w:tcPr>
            <w:tcW w:w="56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3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1660" w:type="dxa"/>
            <w:vAlign w:val="bottom"/>
            <w:gridSpan w:val="10"/>
          </w:tcPr>
          <w:p>
            <w:pPr>
              <w:spacing w:after="0"/>
              <w:rPr>
                <w:sz w:val="17"/>
                <w:szCs w:val="17"/>
                <w:color w:val="auto"/>
              </w:rPr>
            </w:pPr>
          </w:p>
        </w:tc>
        <w:tc>
          <w:tcPr>
            <w:tcW w:w="566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Compensation Recovery Policy</w:t>
            </w:r>
          </w:p>
        </w:tc>
        <w:tc>
          <w:tcPr>
            <w:tcW w:w="5660" w:type="dxa"/>
            <w:vAlign w:val="bottom"/>
          </w:tcPr>
          <w:p>
            <w:pPr>
              <w:ind w:left="552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60" w:type="dxa"/>
            <w:vAlign w:val="bottom"/>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11"/>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45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660" w:type="dxa"/>
            <w:vAlign w:val="bottom"/>
          </w:tcPr>
          <w:p>
            <w:pPr>
              <w:ind w:left="5520"/>
              <w:spacing w:after="0"/>
              <w:rPr>
                <w:sz w:val="20"/>
                <w:szCs w:val="20"/>
                <w:color w:val="auto"/>
              </w:rPr>
            </w:pPr>
            <w:r>
              <w:rPr>
                <w:rFonts w:ascii="Times New Roman" w:cs="Times New Roman" w:eastAsia="Times New Roman" w:hAnsi="Times New Roman"/>
                <w:sz w:val="18"/>
                <w:szCs w:val="18"/>
                <w:color w:val="auto"/>
                <w:w w:val="91"/>
              </w:rPr>
              <w:t>X</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660" w:type="dxa"/>
            <w:vAlign w:val="bottom"/>
          </w:tcPr>
          <w:p>
            <w:pPr>
              <w:ind w:left="5520"/>
              <w:spacing w:after="0"/>
              <w:rPr>
                <w:sz w:val="20"/>
                <w:szCs w:val="20"/>
                <w:color w:val="auto"/>
              </w:rPr>
            </w:pPr>
            <w:r>
              <w:rPr>
                <w:rFonts w:ascii="Times New Roman" w:cs="Times New Roman" w:eastAsia="Times New Roman" w:hAnsi="Times New Roman"/>
                <w:sz w:val="18"/>
                <w:szCs w:val="18"/>
                <w:color w:val="auto"/>
                <w:w w:val="91"/>
              </w:rPr>
              <w:t>X</w:t>
            </w: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5660" w:type="dxa"/>
            <w:vAlign w:val="bottom"/>
          </w:tcPr>
          <w:p>
            <w:pPr>
              <w:ind w:left="552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60" w:type="dxa"/>
            <w:vAlign w:val="bottom"/>
          </w:tcPr>
          <w:p>
            <w:pPr>
              <w:spacing w:after="0"/>
              <w:rPr>
                <w:sz w:val="20"/>
                <w:szCs w:val="20"/>
                <w:color w:val="auto"/>
              </w:rPr>
            </w:pPr>
          </w:p>
        </w:tc>
        <w:tc>
          <w:tcPr>
            <w:tcW w:w="4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660" w:type="dxa"/>
            <w:vAlign w:val="bottom"/>
          </w:tcPr>
          <w:p>
            <w:pPr>
              <w:spacing w:after="0"/>
              <w:rPr>
                <w:sz w:val="20"/>
                <w:szCs w:val="20"/>
                <w:color w:val="auto"/>
              </w:rPr>
            </w:pP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Inline XBRL Taxonomy Extension Definition Linkbase</w:t>
            </w:r>
          </w:p>
        </w:tc>
        <w:tc>
          <w:tcPr>
            <w:tcW w:w="5660" w:type="dxa"/>
            <w:vAlign w:val="bottom"/>
          </w:tcPr>
          <w:p>
            <w:pPr>
              <w:ind w:left="552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60" w:type="dxa"/>
            <w:vAlign w:val="bottom"/>
          </w:tcPr>
          <w:p>
            <w:pPr>
              <w:spacing w:after="0"/>
              <w:rPr>
                <w:sz w:val="20"/>
                <w:szCs w:val="20"/>
                <w:color w:val="auto"/>
              </w:rPr>
            </w:pPr>
          </w:p>
        </w:tc>
        <w:tc>
          <w:tcPr>
            <w:tcW w:w="4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5660" w:type="dxa"/>
            <w:vAlign w:val="bottom"/>
          </w:tcPr>
          <w:p>
            <w:pPr>
              <w:spacing w:after="0"/>
              <w:rPr>
                <w:sz w:val="20"/>
                <w:szCs w:val="20"/>
                <w:color w:val="auto"/>
              </w:rPr>
            </w:pP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5660" w:type="dxa"/>
            <w:vAlign w:val="bottom"/>
          </w:tcPr>
          <w:p>
            <w:pPr>
              <w:ind w:left="552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60" w:type="dxa"/>
            <w:vAlign w:val="bottom"/>
          </w:tcPr>
          <w:p>
            <w:pPr>
              <w:spacing w:after="0"/>
              <w:rPr>
                <w:sz w:val="20"/>
                <w:szCs w:val="20"/>
                <w:color w:val="auto"/>
              </w:rPr>
            </w:pPr>
          </w:p>
        </w:tc>
        <w:tc>
          <w:tcPr>
            <w:tcW w:w="4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5660" w:type="dxa"/>
            <w:vAlign w:val="bottom"/>
          </w:tcPr>
          <w:p>
            <w:pPr>
              <w:spacing w:after="0"/>
              <w:rPr>
                <w:sz w:val="20"/>
                <w:szCs w:val="20"/>
                <w:color w:val="auto"/>
              </w:rPr>
            </w:pP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5660" w:type="dxa"/>
            <w:vAlign w:val="bottom"/>
          </w:tcPr>
          <w:p>
            <w:pPr>
              <w:ind w:left="552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60" w:type="dxa"/>
            <w:vAlign w:val="bottom"/>
          </w:tcPr>
          <w:p>
            <w:pPr>
              <w:spacing w:after="0"/>
              <w:rPr>
                <w:sz w:val="20"/>
                <w:szCs w:val="20"/>
                <w:color w:val="auto"/>
              </w:rPr>
            </w:pPr>
          </w:p>
        </w:tc>
        <w:tc>
          <w:tcPr>
            <w:tcW w:w="4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660" w:type="dxa"/>
            <w:vAlign w:val="bottom"/>
          </w:tcPr>
          <w:p>
            <w:pPr>
              <w:spacing w:after="0"/>
              <w:rPr>
                <w:sz w:val="20"/>
                <w:szCs w:val="20"/>
                <w:color w:val="auto"/>
              </w:rPr>
            </w:pPr>
          </w:p>
        </w:tc>
      </w:tr>
      <w:tr>
        <w:trPr>
          <w:trHeight w:val="63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5660" w:type="dxa"/>
            <w:vAlign w:val="bottom"/>
          </w:tcPr>
          <w:p>
            <w:pPr>
              <w:ind w:left="552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60" w:type="dxa"/>
            <w:vAlign w:val="bottom"/>
          </w:tcPr>
          <w:p>
            <w:pPr>
              <w:spacing w:after="0"/>
              <w:rPr>
                <w:sz w:val="20"/>
                <w:szCs w:val="20"/>
                <w:color w:val="auto"/>
              </w:rPr>
            </w:pPr>
          </w:p>
        </w:tc>
        <w:tc>
          <w:tcPr>
            <w:tcW w:w="4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document and included in Exhibit 101)</w:t>
            </w:r>
          </w:p>
        </w:tc>
        <w:tc>
          <w:tcPr>
            <w:tcW w:w="5660" w:type="dxa"/>
            <w:vAlign w:val="bottom"/>
          </w:tcPr>
          <w:p>
            <w:pPr>
              <w:spacing w:after="0"/>
              <w:rPr>
                <w:sz w:val="20"/>
                <w:szCs w:val="20"/>
                <w:color w:val="auto"/>
              </w:rPr>
            </w:pPr>
          </w:p>
        </w:tc>
      </w:tr>
    </w:tbl>
    <w:p>
      <w:pPr>
        <w:spacing w:after="0" w:line="90" w:lineRule="exact"/>
        <w:rPr>
          <w:sz w:val="20"/>
          <w:szCs w:val="20"/>
          <w:color w:val="auto"/>
        </w:rPr>
      </w:pPr>
    </w:p>
    <w:p>
      <w:pPr>
        <w:ind w:left="-8" w:right="3100" w:firstLine="8"/>
        <w:spacing w:after="0" w:line="532" w:lineRule="auto"/>
        <w:tabs>
          <w:tab w:leader="none" w:pos="35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has omitted portions of the exhibit as permitted under Item 601(b)(10) of Regulations S-K. ^ Indicates management contract or compensatory plan.</w:t>
      </w:r>
    </w:p>
    <w:p>
      <w:pPr>
        <w:spacing w:after="0" w:line="200" w:lineRule="exact"/>
        <w:rPr>
          <w:sz w:val="20"/>
          <w:szCs w:val="20"/>
          <w:color w:val="auto"/>
        </w:rPr>
      </w:pPr>
    </w:p>
    <w:p>
      <w:pPr>
        <w:spacing w:after="0" w:line="394"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72"/>
          </w:cols>
          <w:pgMar w:left="328" w:top="1404" w:right="799" w:bottom="1440" w:gutter="0" w:footer="0" w:header="0"/>
        </w:sectPr>
      </w:pPr>
    </w:p>
    <w:bookmarkStart w:id="133" w:name="page134"/>
    <w:bookmarkEnd w:id="133"/>
    <w:p>
      <w:pPr>
        <w:spacing w:after="0" w:line="86" w:lineRule="exact"/>
        <w:rPr>
          <w:sz w:val="20"/>
          <w:szCs w:val="20"/>
          <w:color w:val="auto"/>
        </w:rPr>
      </w:pPr>
    </w:p>
    <w:p>
      <w:pPr>
        <w:ind w:firstLine="8"/>
        <w:spacing w:after="0" w:line="282" w:lineRule="auto"/>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has omitted schedules and exhibits pursuant to Item 601(a)(5) of Regulation S-K. The Registrant agrees to furnish supplementally a copy of the omitted schedules and exhibits to the SEC upon request</w:t>
      </w:r>
    </w:p>
    <w:p>
      <w:pPr>
        <w:spacing w:after="0" w:line="54" w:lineRule="exact"/>
        <w:rPr>
          <w:sz w:val="20"/>
          <w:szCs w:val="20"/>
          <w:color w:val="auto"/>
        </w:rPr>
      </w:pPr>
    </w:p>
    <w:p>
      <w:pPr>
        <w:ind w:right="80" w:firstLine="8"/>
        <w:spacing w:after="0" w:line="282" w:lineRule="auto"/>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February 25, 2025</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ONE BIOPHARMACEUTICALS,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Jeremy Bender, Ph.D., M.B.A.</w:t>
            </w:r>
          </w:p>
        </w:tc>
      </w:tr>
      <w:tr>
        <w:trPr>
          <w:trHeight w:val="191"/>
        </w:trPr>
        <w:tc>
          <w:tcPr>
            <w:tcW w:w="600" w:type="dxa"/>
            <w:vAlign w:val="bottom"/>
          </w:tcPr>
          <w:p>
            <w:pPr>
              <w:spacing w:after="0"/>
              <w:rPr>
                <w:sz w:val="16"/>
                <w:szCs w:val="16"/>
                <w:color w:val="auto"/>
              </w:rPr>
            </w:pPr>
          </w:p>
        </w:tc>
        <w:tc>
          <w:tcPr>
            <w:tcW w:w="5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Jeremy Bender, Ph.D., M.B.A.</w:t>
            </w:r>
          </w:p>
        </w:tc>
      </w:tr>
      <w:tr>
        <w:trPr>
          <w:trHeight w:val="216"/>
        </w:trPr>
        <w:tc>
          <w:tcPr>
            <w:tcW w:w="6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0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DAY ONE BIOPHARMACEUTICALS, INC.</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N. York II, M.B.A.</w:t>
            </w:r>
          </w:p>
        </w:tc>
      </w:tr>
      <w:tr>
        <w:trPr>
          <w:trHeight w:val="211"/>
        </w:trPr>
        <w:tc>
          <w:tcPr>
            <w:tcW w:w="6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Charles N. York II, M.B.A.</w:t>
            </w:r>
          </w:p>
        </w:tc>
      </w:tr>
    </w:tbl>
    <w:p>
      <w:pPr>
        <w:jc w:val="center"/>
        <w:ind w:left="-259"/>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p>
      <w:pPr>
        <w:spacing w:after="0" w:line="7"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4720" w:space="720"/>
            <w:col w:w="5800"/>
          </w:cols>
          <w:pgMar w:left="320" w:top="1413"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35" w:name="page136"/>
    <w:bookmarkEnd w:id="135"/>
    <w:p>
      <w:pPr>
        <w:spacing w:after="0" w:line="8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Jeremy Bender, Ph. D., M.B.A and Charles N. York II, M.B.A.,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8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40" w:right="339" w:bottom="1440" w:gutter="0" w:footer="0" w:header="0"/>
        </w:sectPr>
      </w:pPr>
    </w:p>
    <w:p>
      <w:pPr>
        <w:spacing w:after="0" w:line="18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2885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71"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Jeremy Bender, Ph.D., M.B.A.</w:t>
      </w:r>
    </w:p>
    <w:p>
      <w:pPr>
        <w:spacing w:after="0" w:line="200" w:lineRule="exact"/>
        <w:rPr>
          <w:sz w:val="20"/>
          <w:szCs w:val="20"/>
          <w:color w:val="auto"/>
        </w:rPr>
      </w:pPr>
    </w:p>
    <w:p>
      <w:pPr>
        <w:spacing w:after="0" w:line="22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Charles N. York II, M.B.A.</w:t>
      </w:r>
    </w:p>
    <w:p>
      <w:pPr>
        <w:spacing w:after="0" w:line="22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Garry Nicholson,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Garry Nicholson</w:t>
      </w:r>
    </w:p>
    <w:p>
      <w:pPr>
        <w:spacing w:after="0" w:line="22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Habib Dable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Habib Dable</w:t>
      </w:r>
    </w:p>
    <w:p>
      <w:pPr>
        <w:spacing w:after="0" w:line="22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Scott Garland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Scott Garland</w:t>
      </w:r>
    </w:p>
    <w:p>
      <w:pPr>
        <w:spacing w:after="0" w:line="22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Michael Gladstone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Michael Gladstone</w:t>
      </w:r>
    </w:p>
    <w:p>
      <w:pPr>
        <w:spacing w:after="0" w:line="22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/s/ William Grossman,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885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9"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William Grossman, M.D., Ph.D.</w:t>
      </w:r>
    </w:p>
    <w:p>
      <w:pPr>
        <w:spacing w:after="0" w:line="22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Natalie Holles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Natalie Holles</w:t>
      </w:r>
    </w:p>
    <w:p>
      <w:pPr>
        <w:spacing w:after="0" w:line="22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John A. Josey,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John A. Josey, Ph.D., M.B.A.</w:t>
      </w:r>
    </w:p>
    <w:p>
      <w:pPr>
        <w:spacing w:after="0" w:line="22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/s/ Saira Ramasastry, M.S., M.Phil.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885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9"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Saira Ramasastry, M.S., M.Phil.</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5"/>
                <w:szCs w:val="15"/>
                <w:color w:val="auto"/>
              </w:rPr>
            </w:pPr>
          </w:p>
        </w:tc>
        <w:tc>
          <w:tcPr>
            <w:tcW w:w="19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7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1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 w:type="dxa"/>
            <w:vAlign w:val="bottom"/>
          </w:tcPr>
          <w:p>
            <w:pPr>
              <w:spacing w:after="0"/>
              <w:rPr>
                <w:sz w:val="20"/>
                <w:szCs w:val="20"/>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6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0" w:type="dxa"/>
            <w:vAlign w:val="bottom"/>
          </w:tcPr>
          <w:p>
            <w:pPr>
              <w:spacing w:after="0"/>
              <w:rPr>
                <w:sz w:val="20"/>
                <w:szCs w:val="20"/>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661"/>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and Director</w:t>
            </w:r>
          </w:p>
        </w:tc>
        <w:tc>
          <w:tcPr>
            <w:tcW w:w="180" w:type="dxa"/>
            <w:vAlign w:val="bottom"/>
          </w:tcPr>
          <w:p>
            <w:pPr>
              <w:spacing w:after="0"/>
              <w:rPr>
                <w:sz w:val="24"/>
                <w:szCs w:val="24"/>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66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661"/>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66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661"/>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66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661"/>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66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2025</w:t>
            </w:r>
          </w:p>
        </w:tc>
      </w:tr>
    </w:tbl>
    <w:p>
      <w:pPr>
        <w:spacing w:after="0" w:line="393" w:lineRule="exact"/>
        <w:rPr>
          <w:sz w:val="20"/>
          <w:szCs w:val="20"/>
          <w:color w:val="auto"/>
        </w:rPr>
      </w:pPr>
    </w:p>
    <w:p>
      <w:pPr>
        <w:sectPr>
          <w:pgSz w:w="11900" w:h="16838" w:orient="portrait"/>
          <w:cols w:equalWidth="0" w:num="2">
            <w:col w:w="3080" w:space="640"/>
            <w:col w:w="7520"/>
          </w:cols>
          <w:pgMar w:left="320" w:top="1440" w:right="3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6" w:name="page137"/>
    <w:bookmarkEnd w:id="136"/>
    <w:tbl>
      <w:tblPr>
        <w:tblLayout w:type="fixed"/>
        <w:tblInd w:w="1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180" w:type="dxa"/>
            <w:vAlign w:val="bottom"/>
          </w:tcPr>
          <w:p>
            <w:pPr>
              <w:spacing w:after="0"/>
              <w:rPr>
                <w:sz w:val="20"/>
                <w:szCs w:val="20"/>
                <w:color w:val="auto"/>
              </w:rPr>
            </w:pPr>
          </w:p>
        </w:tc>
      </w:tr>
      <w:tr>
        <w:trPr>
          <w:trHeight w:val="432"/>
        </w:trPr>
        <w:tc>
          <w:tcPr>
            <w:tcW w:w="90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238)</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196"/>
        </w:trPr>
        <w:tc>
          <w:tcPr>
            <w:tcW w:w="5520" w:type="dxa"/>
            <w:vAlign w:val="bottom"/>
            <w:tcBorders>
              <w:top w:val="single" w:sz="8" w:color="0000FF"/>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80" w:type="dxa"/>
            <w:vAlign w:val="bottom"/>
            <w:tcBorders>
              <w:top w:val="single" w:sz="8" w:color="0000FF"/>
            </w:tcBorders>
          </w:tcPr>
          <w:p>
            <w:pPr>
              <w:spacing w:after="0"/>
              <w:rPr>
                <w:sz w:val="17"/>
                <w:szCs w:val="17"/>
                <w:color w:val="auto"/>
              </w:rPr>
            </w:pPr>
          </w:p>
        </w:tc>
        <w:tc>
          <w:tcPr>
            <w:tcW w:w="3460" w:type="dxa"/>
            <w:vAlign w:val="bottom"/>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12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Balance Sheets</w:t>
            </w:r>
          </w:p>
        </w:tc>
        <w:tc>
          <w:tcPr>
            <w:tcW w:w="7940" w:type="dxa"/>
            <w:vAlign w:val="bottom"/>
            <w:gridSpan w:val="8"/>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906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Statements of Operations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18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906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Statements of Comprehensive Loss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20"/>
        </w:trPr>
        <w:tc>
          <w:tcPr>
            <w:tcW w:w="1900" w:type="dxa"/>
            <w:vAlign w:val="bottom"/>
            <w:tcBorders>
              <w:left w:val="single" w:sz="8" w:color="0000EE"/>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258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Statements of Stockholders’ Equity</w:t>
            </w:r>
          </w:p>
        </w:tc>
        <w:tc>
          <w:tcPr>
            <w:tcW w:w="6480" w:type="dxa"/>
            <w:vAlign w:val="bottom"/>
            <w:gridSpan w:val="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196"/>
        </w:trPr>
        <w:tc>
          <w:tcPr>
            <w:tcW w:w="1900" w:type="dxa"/>
            <w:vAlign w:val="bottom"/>
            <w:tcBorders>
              <w:bottom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Statements of Cash Flows</w:t>
            </w:r>
          </w:p>
        </w:tc>
        <w:tc>
          <w:tcPr>
            <w:tcW w:w="20" w:type="dxa"/>
            <w:vAlign w:val="bottom"/>
            <w:tcBorders>
              <w:bottom w:val="single" w:sz="8" w:color="0000EE"/>
            </w:tcBorders>
          </w:tcPr>
          <w:p>
            <w:pPr>
              <w:spacing w:after="0"/>
              <w:rPr>
                <w:sz w:val="17"/>
                <w:szCs w:val="17"/>
                <w:color w:val="auto"/>
              </w:rPr>
            </w:pPr>
          </w:p>
        </w:tc>
        <w:tc>
          <w:tcPr>
            <w:tcW w:w="7140" w:type="dxa"/>
            <w:vAlign w:val="bottom"/>
            <w:gridSpan w:val="5"/>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196"/>
        </w:trPr>
        <w:tc>
          <w:tcPr>
            <w:tcW w:w="906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r>
      <w:tr>
        <w:trPr>
          <w:trHeight w:val="885"/>
        </w:trPr>
        <w:tc>
          <w:tcPr>
            <w:tcW w:w="11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5"/>
              </w:rPr>
              <w:t>F-1</w:t>
            </w:r>
          </w:p>
        </w:tc>
        <w:tc>
          <w:tcPr>
            <w:tcW w:w="218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48360" cy="643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848360" cy="643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308"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Day One Biopharmaceuticals, Inc.</w:t>
      </w:r>
    </w:p>
    <w:p>
      <w:pPr>
        <w:spacing w:after="0" w:line="17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188"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 xml:space="preserve">We have audited the accompanying balance sheets of Day One Biopharmaceuticals, Inc. (the "Company") as of December 31, 2024 and 2023, and the related statements of operations, of comprehensive loss, of redeemable convertible preferred shares, redeemable noncontrolling interest and stockholders’ equity/members’ (deficit) and of cash flows for the years then ended, including the related notes (collectively referred to as the "financial statements"). We also have audited the Company's internal control over financial reporting as of December 31, 2024,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Committee of Sponsoring Organizations of the Treadway Commission (COSO).</w:t>
      </w:r>
    </w:p>
    <w:p>
      <w:pPr>
        <w:spacing w:after="0" w:line="179"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 xml:space="preserve">In our opinion, the financial statements referred to above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COSO.</w:t>
      </w:r>
    </w:p>
    <w:p>
      <w:pPr>
        <w:spacing w:after="0" w:line="17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188"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ind w:right="340"/>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7"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6" w:lineRule="exact"/>
        <w:rPr>
          <w:sz w:val="20"/>
          <w:szCs w:val="20"/>
          <w:color w:val="auto"/>
        </w:rPr>
      </w:pPr>
    </w:p>
    <w:p>
      <w:pPr>
        <w:ind w:right="4980"/>
        <w:spacing w:after="0" w:line="250" w:lineRule="auto"/>
        <w:rPr>
          <w:sz w:val="20"/>
          <w:szCs w:val="20"/>
          <w:color w:val="auto"/>
        </w:rPr>
      </w:pPr>
      <w:r>
        <w:rPr>
          <w:rFonts w:ascii="Georgia" w:cs="Georgia" w:eastAsia="Georgia" w:hAnsi="Georgia"/>
          <w:sz w:val="16"/>
          <w:szCs w:val="16"/>
          <w:color w:val="auto"/>
        </w:rPr>
        <w:t>PricewaterhouseCoopers LLP, 601 South Figueroa Street, Los Angeles, California 90017 T: (213) 356 6000, www.pwc.com/us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48360" cy="643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8483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188"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88"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financial statements that was communicated or required to be communicated to the audit committee and that (i) relates to accounts or disclosures that are material to the financial statements and (ii)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7"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Accrued Clinical Trial Expenses</w:t>
      </w:r>
    </w:p>
    <w:p>
      <w:pPr>
        <w:spacing w:after="0" w:line="17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As described in Notes 2 and 4 to the financial statements, the Company records accrued liabilities for estimated costs of clinical trials conducted by third-party service providers. As disclosed by management, these costs are accrued based on factors such as estimates of the work completed and in accordance with terms established with third-party service providers under the service agreements. Management makes judgments and estimates in determining the accrued liabilities for estimated costs of clinical trials each reporting period and monitors patient enrollment levels and related activities to the extent possible through internal reviews, correspondence with clinical research organizations (“CROs”) and review of contractual terms. Within accrued expenses and other current liabilities, management has recorded $13.1 million of accrued research and development expenses as of December 31, 2024, a portion of which relates to accrued clinical trial expenses.</w:t>
      </w:r>
    </w:p>
    <w:p>
      <w:pPr>
        <w:spacing w:after="0" w:line="193" w:lineRule="exact"/>
        <w:rPr>
          <w:sz w:val="20"/>
          <w:szCs w:val="20"/>
          <w:color w:val="auto"/>
        </w:rPr>
      </w:pPr>
    </w:p>
    <w:p>
      <w:pPr>
        <w:jc w:val="both"/>
        <w:ind w:right="280"/>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accrued clinical trial expenses is a critical audit matter are (i) the significant judgment by management when developing the estimate of the accrued clinical trial expenses; and (ii) a high degree of auditor judgment and effort in performing procedures related to management’s estimate of the accrued clinical trial expenses.</w:t>
      </w:r>
    </w:p>
    <w:p>
      <w:pPr>
        <w:spacing w:after="0" w:line="177"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financial statements. These procedures included testing the effectiveness of controls relating to management’s estimate of accrued clinical trial expenses, including controls over the estimates of the work completed in accordance with terms established with third-party service providers under the service agreements. These procedures also included, among others, (i) testing management’s process for estimating accrued clinical trial expenses, (ii) evaluating the appropriateness of</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48360" cy="643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8483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method used by management to develop the estimate, (iii) testing the completeness and accuracy of the data used by management to develop the estimate related to invoicing to date under the contracts and costs incurred for services received, and (iv) evaluating the reasonableness of the estimated costs incurred for the services which have not been invoiced by tracing to underlying supporting documentation, such as underlying contracts, invoices and information received from certain third party service providers,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Los Angeles, California</w:t>
      </w:r>
    </w:p>
    <w:p>
      <w:pPr>
        <w:spacing w:after="0"/>
        <w:rPr>
          <w:sz w:val="20"/>
          <w:szCs w:val="20"/>
          <w:color w:val="auto"/>
        </w:rPr>
      </w:pPr>
      <w:r>
        <w:rPr>
          <w:rFonts w:ascii="Georgia" w:cs="Georgia" w:eastAsia="Georgia" w:hAnsi="Georgia"/>
          <w:sz w:val="18"/>
          <w:szCs w:val="18"/>
          <w:color w:val="auto"/>
        </w:rPr>
        <w:t>February 25, 2025</w:t>
      </w:r>
    </w:p>
    <w:p>
      <w:pPr>
        <w:spacing w:after="0" w:line="186"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2023.</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0" w:name="page141"/>
    <w:bookmarkEnd w:id="140"/>
    <w:p>
      <w:pPr>
        <w:ind w:left="2540"/>
        <w:spacing w:after="0"/>
        <w:rPr>
          <w:sz w:val="20"/>
          <w:szCs w:val="20"/>
          <w:color w:val="auto"/>
        </w:rPr>
      </w:pPr>
      <w:r>
        <w:rPr>
          <w:rFonts w:ascii="Times New Roman" w:cs="Times New Roman" w:eastAsia="Times New Roman" w:hAnsi="Times New Roman"/>
          <w:sz w:val="18"/>
          <w:szCs w:val="18"/>
          <w:b w:val="1"/>
          <w:bCs w:val="1"/>
          <w:color w:val="auto"/>
        </w:rPr>
        <w:t>Report of Ernst &amp; Young LLP,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Members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One Biopharmaceuticals,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Day One Biopharmaceuticals, Inc. (the Company) as of December 31, 2022, the related statement of operations, comprehensive loss, redeemable convertible preferred shares, redeemable noncontrolling interest and stockholders’ equity/members’ (deficit) and cash flow for the period ended December 31, 2022, and the related notes (collectively referred to as the “financial statements”). In our opinion, the financial statements present fairly, in all material respects, the financial position of the Company at December 31, 2022 and the results of its operations and its cash flows for the period ended December 31, 2022, in conformity with U.S. generally accepted accounting principles.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2021 to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7"/>
                <w:szCs w:val="17"/>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r>
      <w:tr>
        <w:trPr>
          <w:trHeight w:val="19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124,968</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230,784</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406,752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135,563</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13,876</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13,413</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562,330</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375,274</w:t>
            </w:r>
          </w:p>
        </w:tc>
        <w:tc>
          <w:tcPr>
            <w:tcW w:w="100" w:type="dxa"/>
            <w:vAlign w:val="bottom"/>
          </w:tcPr>
          <w:p>
            <w:pPr>
              <w:spacing w:after="0"/>
              <w:rPr>
                <w:sz w:val="17"/>
                <w:szCs w:val="17"/>
                <w:color w:val="auto"/>
              </w:rPr>
            </w:pPr>
          </w:p>
        </w:tc>
      </w:tr>
      <w:tr>
        <w:trPr>
          <w:trHeight w:val="19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15,630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7"/>
                <w:szCs w:val="17"/>
                <w:color w:val="auto"/>
              </w:rPr>
            </w:pPr>
          </w:p>
        </w:tc>
      </w:tr>
      <w:tr>
        <w:trPr>
          <w:trHeight w:val="236"/>
        </w:trPr>
        <w:tc>
          <w:tcPr>
            <w:tcW w:w="74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582,788</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376,048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3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68,625</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26,524</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73,451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29,508</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portion of deferred revenue</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portion of operating lease liabilities</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long-term liability</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40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80,037</w:t>
            </w:r>
          </w:p>
        </w:tc>
        <w:tc>
          <w:tcPr>
            <w:tcW w:w="3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29,508</w:t>
            </w:r>
          </w:p>
        </w:tc>
        <w:tc>
          <w:tcPr>
            <w:tcW w:w="100" w:type="dxa"/>
            <w:vAlign w:val="bottom"/>
            <w:tcBorders>
              <w:top w:val="single" w:sz="8" w:color="CFF0FC"/>
            </w:tcBorders>
          </w:tcPr>
          <w:p>
            <w:pPr>
              <w:spacing w:after="0"/>
              <w:rPr>
                <w:sz w:val="17"/>
                <w:szCs w:val="17"/>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$0.0001 par value; 500,000,000 shares authorized as of December 31, 2024 and December</w:t>
            </w:r>
          </w:p>
        </w:tc>
        <w:tc>
          <w:tcPr>
            <w:tcW w:w="2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31, 2023; 101,116,162 and 87,227,132 shares issued and outstanding as of December 31, 2024 and</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8"/>
                <w:szCs w:val="18"/>
                <w:color w:val="auto"/>
              </w:rPr>
            </w:pPr>
          </w:p>
        </w:tc>
      </w:tr>
      <w:tr>
        <w:trPr>
          <w:trHeight w:val="20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1,056,738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805,107</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(554,081 )</w:t>
            </w:r>
          </w:p>
        </w:tc>
        <w:tc>
          <w:tcPr>
            <w:tcW w:w="240" w:type="dxa"/>
            <w:vAlign w:val="bottom"/>
          </w:tcPr>
          <w:p>
            <w:pPr>
              <w:spacing w:after="0"/>
              <w:rPr>
                <w:sz w:val="17"/>
                <w:szCs w:val="17"/>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(458,585 )</w:t>
            </w:r>
          </w:p>
        </w:tc>
      </w:tr>
      <w:tr>
        <w:trPr>
          <w:trHeight w:val="196"/>
        </w:trPr>
        <w:tc>
          <w:tcPr>
            <w:tcW w:w="74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502,751</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346,540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582,788</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376,048</w:t>
            </w:r>
          </w:p>
        </w:tc>
        <w:tc>
          <w:tcPr>
            <w:tcW w:w="10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-3582670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-2785110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-2767965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-1988185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-1464945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-161925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 revenue, net</w:t>
            </w:r>
          </w:p>
        </w:tc>
        <w:tc>
          <w:tcPr>
            <w:tcW w:w="118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57,217</w:t>
            </w:r>
          </w:p>
        </w:tc>
        <w:tc>
          <w:tcPr>
            <w:tcW w:w="3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License revenue</w:t>
            </w:r>
          </w:p>
        </w:tc>
        <w:tc>
          <w:tcPr>
            <w:tcW w:w="1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73,944</w:t>
            </w:r>
          </w:p>
        </w:tc>
        <w:tc>
          <w:tcPr>
            <w:tcW w:w="3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1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131,161</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and operating expenses:</w:t>
            </w:r>
          </w:p>
        </w:tc>
        <w:tc>
          <w:tcPr>
            <w:tcW w:w="1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product revenue</w:t>
            </w:r>
          </w:p>
        </w:tc>
        <w:tc>
          <w:tcPr>
            <w:tcW w:w="1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5,279</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227,702</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130,521</w:t>
            </w: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115,450</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75,543</w:t>
            </w:r>
          </w:p>
        </w:tc>
        <w:tc>
          <w:tcPr>
            <w:tcW w:w="3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cost and operating expenses</w:t>
            </w:r>
          </w:p>
        </w:tc>
        <w:tc>
          <w:tcPr>
            <w:tcW w:w="1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348,431</w:t>
            </w:r>
          </w:p>
        </w:tc>
        <w:tc>
          <w:tcPr>
            <w:tcW w:w="3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206,064</w:t>
            </w:r>
          </w:p>
        </w:tc>
        <w:tc>
          <w:tcPr>
            <w:tcW w:w="3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146,909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1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(217,270 )</w:t>
            </w:r>
          </w:p>
        </w:tc>
        <w:tc>
          <w:tcPr>
            <w:tcW w:w="460" w:type="dxa"/>
            <w:vAlign w:val="bottom"/>
          </w:tcPr>
          <w:p>
            <w:pPr>
              <w:spacing w:after="0"/>
              <w:rPr>
                <w:sz w:val="17"/>
                <w:szCs w:val="17"/>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(206,064 )</w:t>
            </w:r>
          </w:p>
        </w:tc>
        <w:tc>
          <w:tcPr>
            <w:tcW w:w="480" w:type="dxa"/>
            <w:vAlign w:val="bottom"/>
          </w:tcPr>
          <w:p>
            <w:pPr>
              <w:spacing w:after="0"/>
              <w:rPr>
                <w:sz w:val="17"/>
                <w:szCs w:val="17"/>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(146,909 )</w:t>
            </w: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Non-operating income:</w:t>
            </w:r>
          </w:p>
        </w:tc>
        <w:tc>
          <w:tcPr>
            <w:tcW w:w="11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from sale of priority review voucher</w:t>
            </w:r>
          </w:p>
        </w:tc>
        <w:tc>
          <w:tcPr>
            <w:tcW w:w="1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108,000</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 income, net</w:t>
            </w:r>
          </w:p>
        </w:tc>
        <w:tc>
          <w:tcPr>
            <w:tcW w:w="1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19,701</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17,187</w:t>
            </w: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(40 )</w:t>
            </w:r>
          </w:p>
        </w:tc>
        <w:tc>
          <w:tcPr>
            <w:tcW w:w="480" w:type="dxa"/>
            <w:vAlign w:val="bottom"/>
          </w:tcPr>
          <w:p>
            <w:pPr>
              <w:spacing w:after="0"/>
              <w:rPr>
                <w:sz w:val="17"/>
                <w:szCs w:val="17"/>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non-operating income, net</w:t>
            </w:r>
          </w:p>
        </w:tc>
        <w:tc>
          <w:tcPr>
            <w:tcW w:w="118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128,918</w:t>
            </w:r>
          </w:p>
        </w:tc>
        <w:tc>
          <w:tcPr>
            <w:tcW w:w="3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17,147</w:t>
            </w:r>
          </w:p>
        </w:tc>
        <w:tc>
          <w:tcPr>
            <w:tcW w:w="3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1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(88,352 )</w:t>
            </w:r>
          </w:p>
        </w:tc>
        <w:tc>
          <w:tcPr>
            <w:tcW w:w="460" w:type="dxa"/>
            <w:vAlign w:val="bottom"/>
          </w:tcPr>
          <w:p>
            <w:pPr>
              <w:spacing w:after="0"/>
              <w:rPr>
                <w:sz w:val="17"/>
                <w:szCs w:val="17"/>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(188,917 )</w:t>
            </w:r>
          </w:p>
        </w:tc>
        <w:tc>
          <w:tcPr>
            <w:tcW w:w="480" w:type="dxa"/>
            <w:vAlign w:val="bottom"/>
          </w:tcPr>
          <w:p>
            <w:pPr>
              <w:spacing w:after="0"/>
              <w:rPr>
                <w:sz w:val="17"/>
                <w:szCs w:val="17"/>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(142,181 )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 expense</w:t>
            </w:r>
          </w:p>
        </w:tc>
        <w:tc>
          <w:tcPr>
            <w:tcW w:w="11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(7,144 )</w:t>
            </w:r>
          </w:p>
        </w:tc>
        <w:tc>
          <w:tcPr>
            <w:tcW w:w="46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(95,496 )</w:t>
            </w:r>
          </w:p>
        </w:tc>
        <w:tc>
          <w:tcPr>
            <w:tcW w:w="460" w:type="dxa"/>
            <w:vAlign w:val="bottom"/>
          </w:tcPr>
          <w:p>
            <w:pPr>
              <w:spacing w:after="0"/>
              <w:rPr>
                <w:sz w:val="17"/>
                <w:szCs w:val="17"/>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(188,917 )</w:t>
            </w:r>
          </w:p>
        </w:tc>
        <w:tc>
          <w:tcPr>
            <w:tcW w:w="480" w:type="dxa"/>
            <w:vAlign w:val="bottom"/>
          </w:tcPr>
          <w:p>
            <w:pPr>
              <w:spacing w:after="0"/>
              <w:rPr>
                <w:sz w:val="17"/>
                <w:szCs w:val="17"/>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(142,181 )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per share - basic</w:t>
            </w:r>
          </w:p>
        </w:tc>
        <w:tc>
          <w:tcPr>
            <w:tcW w:w="118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(1.02 )</w:t>
            </w: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(2.37 )</w:t>
            </w: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(2.17 )</w:t>
            </w: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 diluted</w:t>
            </w:r>
          </w:p>
        </w:tc>
        <w:tc>
          <w:tcPr>
            <w:tcW w:w="118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(1.02 )</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(2.37 )</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(2.17 )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6"/>
                <w:szCs w:val="16"/>
                <w:color w:val="auto"/>
              </w:rPr>
              <w:t>Weighted-average number of common shares used in net loss per</w:t>
            </w:r>
          </w:p>
        </w:tc>
        <w:tc>
          <w:tcPr>
            <w:tcW w:w="118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93,234,195</w:t>
            </w:r>
          </w:p>
        </w:tc>
        <w:tc>
          <w:tcPr>
            <w:tcW w:w="3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79,773,004</w:t>
            </w:r>
          </w:p>
        </w:tc>
        <w:tc>
          <w:tcPr>
            <w:tcW w:w="3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65,466,773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shd w:val="clear" w:color="auto" w:fill="CFF0FC"/>
          </w:tcPr>
          <w:p>
            <w:pPr>
              <w:ind w:left="20"/>
              <w:spacing w:after="0" w:line="176" w:lineRule="exact"/>
              <w:rPr>
                <w:sz w:val="20"/>
                <w:szCs w:val="20"/>
                <w:color w:val="auto"/>
              </w:rPr>
            </w:pPr>
            <w:r>
              <w:rPr>
                <w:rFonts w:ascii="Times New Roman" w:cs="Times New Roman" w:eastAsia="Times New Roman" w:hAnsi="Times New Roman"/>
                <w:sz w:val="16"/>
                <w:szCs w:val="16"/>
                <w:color w:val="auto"/>
              </w:rPr>
              <w:t>share - basic</w:t>
            </w:r>
          </w:p>
        </w:tc>
        <w:tc>
          <w:tcPr>
            <w:tcW w:w="1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vMerge w:val="continue"/>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54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Weighted-average number of common shares used in net loss per</w:t>
            </w:r>
          </w:p>
        </w:tc>
        <w:tc>
          <w:tcPr>
            <w:tcW w:w="1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93,234,195</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79,773,004</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65,466,773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share - diluted</w:t>
            </w:r>
          </w:p>
        </w:tc>
        <w:tc>
          <w:tcPr>
            <w:tcW w:w="1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-2828290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-2828290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-2039620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-2039620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-1242695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-1242695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-967740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-967740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-693420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-676275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-693420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-676275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-281940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-264795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-281940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-264795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3" w:name="page144"/>
    <w:bookmarkEnd w:id="1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r>
      <w:tr>
        <w:trPr>
          <w:trHeight w:val="19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(95,496 )</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(188,917 )</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(142,181 )</w:t>
            </w:r>
          </w:p>
        </w:tc>
      </w:tr>
      <w:tr>
        <w:trPr>
          <w:trHeight w:val="20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Unrealized gain (loss) on available-for-sale securities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(71 )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(95,421 )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(188,837 )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(142,252 )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-162560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-162560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4" w:name="page145"/>
    <w:bookmarkEnd w:id="144"/>
    <w:p>
      <w:pPr>
        <w:ind w:left="4560"/>
        <w:spacing w:after="0"/>
        <w:rPr>
          <w:sz w:val="20"/>
          <w:szCs w:val="20"/>
          <w:color w:val="auto"/>
        </w:rPr>
      </w:pPr>
      <w:r>
        <w:rPr>
          <w:rFonts w:ascii="Times New Roman" w:cs="Times New Roman" w:eastAsia="Times New Roman" w:hAnsi="Times New Roman"/>
          <w:sz w:val="14"/>
          <w:szCs w:val="14"/>
          <w:b w:val="1"/>
          <w:bCs w:val="1"/>
          <w:color w:val="auto"/>
        </w:rPr>
        <w:t>Day One Biopharmaceuticals, Inc.</w:t>
      </w:r>
    </w:p>
    <w:p>
      <w:pPr>
        <w:ind w:left="4520"/>
        <w:spacing w:after="0" w:line="229" w:lineRule="auto"/>
        <w:rPr>
          <w:sz w:val="20"/>
          <w:szCs w:val="20"/>
          <w:color w:val="auto"/>
        </w:rPr>
      </w:pPr>
      <w:r>
        <w:rPr>
          <w:rFonts w:ascii="Times New Roman" w:cs="Times New Roman" w:eastAsia="Times New Roman" w:hAnsi="Times New Roman"/>
          <w:sz w:val="14"/>
          <w:szCs w:val="14"/>
          <w:b w:val="1"/>
          <w:bCs w:val="1"/>
          <w:color w:val="auto"/>
        </w:rPr>
        <w:t>Statements of Stockholders’ Equity</w:t>
      </w:r>
    </w:p>
    <w:p>
      <w:pPr>
        <w:ind w:left="4560"/>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1"/>
                <w:szCs w:val="11"/>
                <w:color w:val="auto"/>
              </w:rPr>
            </w:pPr>
          </w:p>
        </w:tc>
        <w:tc>
          <w:tcPr>
            <w:tcW w:w="2180" w:type="dxa"/>
            <w:vAlign w:val="bottom"/>
            <w:gridSpan w:val="3"/>
            <w:vMerge w:val="restart"/>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124"/>
        </w:trPr>
        <w:tc>
          <w:tcPr>
            <w:tcW w:w="3400" w:type="dxa"/>
            <w:vAlign w:val="bottom"/>
          </w:tcPr>
          <w:p>
            <w:pPr>
              <w:spacing w:after="0"/>
              <w:rPr>
                <w:sz w:val="10"/>
                <w:szCs w:val="10"/>
                <w:color w:val="auto"/>
              </w:rPr>
            </w:pPr>
          </w:p>
        </w:tc>
        <w:tc>
          <w:tcPr>
            <w:tcW w:w="218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ind w:right="306"/>
              <w:spacing w:after="0" w:line="124" w:lineRule="exact"/>
              <w:rPr>
                <w:sz w:val="20"/>
                <w:szCs w:val="20"/>
                <w:color w:val="auto"/>
              </w:rPr>
            </w:pPr>
            <w:r>
              <w:rPr>
                <w:rFonts w:ascii="Times New Roman" w:cs="Times New Roman" w:eastAsia="Times New Roman" w:hAnsi="Times New Roman"/>
                <w:sz w:val="11"/>
                <w:szCs w:val="11"/>
                <w:b w:val="1"/>
                <w:bCs w:val="1"/>
                <w:color w:val="auto"/>
              </w:rPr>
              <w:t>Paid-In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320"/>
              <w:spacing w:after="0" w:line="124" w:lineRule="exact"/>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140" w:type="dxa"/>
            <w:vAlign w:val="bottom"/>
          </w:tcPr>
          <w:p>
            <w:pPr>
              <w:spacing w:after="0"/>
              <w:rPr>
                <w:sz w:val="10"/>
                <w:szCs w:val="10"/>
                <w:color w:val="auto"/>
              </w:rPr>
            </w:pPr>
          </w:p>
        </w:tc>
        <w:tc>
          <w:tcPr>
            <w:tcW w:w="1160" w:type="dxa"/>
            <w:vAlign w:val="bottom"/>
            <w:gridSpan w:val="2"/>
          </w:tcPr>
          <w:p>
            <w:pPr>
              <w:jc w:val="right"/>
              <w:ind w:right="460"/>
              <w:spacing w:after="0" w:line="124"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0"/>
                <w:szCs w:val="10"/>
                <w:color w:val="auto"/>
              </w:rPr>
            </w:pPr>
          </w:p>
        </w:tc>
        <w:tc>
          <w:tcPr>
            <w:tcW w:w="116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6"/>
              </w:rPr>
              <w:t>Equity/Members'</w:t>
            </w:r>
          </w:p>
        </w:tc>
        <w:tc>
          <w:tcPr>
            <w:tcW w:w="0" w:type="dxa"/>
            <w:vAlign w:val="bottom"/>
          </w:tcPr>
          <w:p>
            <w:pPr>
              <w:spacing w:after="0"/>
              <w:rPr>
                <w:sz w:val="1"/>
                <w:szCs w:val="1"/>
                <w:color w:val="auto"/>
              </w:rPr>
            </w:pPr>
          </w:p>
        </w:tc>
      </w:tr>
      <w:tr>
        <w:trPr>
          <w:trHeight w:val="115"/>
        </w:trPr>
        <w:tc>
          <w:tcPr>
            <w:tcW w:w="3400" w:type="dxa"/>
            <w:vAlign w:val="bottom"/>
          </w:tcPr>
          <w:p>
            <w:pPr>
              <w:spacing w:after="0"/>
              <w:rPr>
                <w:sz w:val="10"/>
                <w:szCs w:val="10"/>
                <w:color w:val="auto"/>
              </w:rPr>
            </w:pPr>
          </w:p>
        </w:tc>
        <w:tc>
          <w:tcPr>
            <w:tcW w:w="1120" w:type="dxa"/>
            <w:vAlign w:val="bottom"/>
            <w:tcBorders>
              <w:bottom w:val="single" w:sz="8" w:color="auto"/>
            </w:tcBorders>
          </w:tcPr>
          <w:p>
            <w:pPr>
              <w:jc w:val="right"/>
              <w:ind w:right="3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84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06"/>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w w:val="96"/>
              </w:rPr>
              <w:t>Comprehensive Loss</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2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06"/>
              <w:spacing w:after="0" w:line="115" w:lineRule="exact"/>
              <w:rPr>
                <w:sz w:val="20"/>
                <w:szCs w:val="20"/>
                <w:color w:val="auto"/>
              </w:rPr>
            </w:pPr>
            <w:r>
              <w:rPr>
                <w:rFonts w:ascii="Times New Roman" w:cs="Times New Roman" w:eastAsia="Times New Roman" w:hAnsi="Times New Roman"/>
                <w:sz w:val="11"/>
                <w:szCs w:val="11"/>
                <w:b w:val="1"/>
                <w:bCs w:val="1"/>
                <w:color w:val="auto"/>
                <w:w w:val="98"/>
              </w:rPr>
              <w:t>(Deficit)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11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61,952,292</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7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w:t>
            </w:r>
          </w:p>
        </w:tc>
        <w:tc>
          <w:tcPr>
            <w:tcW w:w="380" w:type="dxa"/>
            <w:vAlign w:val="bottom"/>
            <w:gridSpan w:val="2"/>
            <w:shd w:val="clear" w:color="auto" w:fill="CFF0FC"/>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408,629</w:t>
            </w:r>
          </w:p>
        </w:tc>
        <w:tc>
          <w:tcPr>
            <w:tcW w:w="3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(127,487 )</w:t>
            </w:r>
          </w:p>
        </w:tc>
        <w:tc>
          <w:tcPr>
            <w:tcW w:w="14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281,148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400" w:type="dxa"/>
            <w:vAlign w:val="bottom"/>
            <w:tcBorders>
              <w:top w:val="single" w:sz="8" w:color="CFF0FC"/>
            </w:tcBorders>
          </w:tcPr>
          <w:p>
            <w:pPr>
              <w:ind w:left="20"/>
              <w:spacing w:after="0" w:line="102" w:lineRule="exact"/>
              <w:rPr>
                <w:sz w:val="20"/>
                <w:szCs w:val="20"/>
                <w:color w:val="auto"/>
              </w:rPr>
            </w:pPr>
            <w:r>
              <w:rPr>
                <w:rFonts w:ascii="Times New Roman" w:cs="Times New Roman" w:eastAsia="Times New Roman" w:hAnsi="Times New Roman"/>
                <w:sz w:val="11"/>
                <w:szCs w:val="11"/>
                <w:color w:val="auto"/>
              </w:rPr>
              <w:t>Issuance of common stock pursuant to follow-on offering, net of</w:t>
            </w:r>
          </w:p>
        </w:tc>
        <w:tc>
          <w:tcPr>
            <w:tcW w:w="11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costs of $10,864</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11,500,000</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161,609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161,610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235,474</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3,649</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3,649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upon release of restricted stock units</w:t>
            </w: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79,441</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4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pursuant to Employee Stock Purchase Plan</w:t>
            </w: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97,413</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642</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642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Unvested common stock forfeiture</w:t>
            </w:r>
          </w:p>
        </w:tc>
        <w:tc>
          <w:tcPr>
            <w:tcW w:w="13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(406,444 )</w:t>
            </w: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Share-based compensation expenses</w:t>
            </w:r>
          </w:p>
        </w:tc>
        <w:tc>
          <w:tcPr>
            <w:tcW w:w="13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27,242</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27,242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Unrealized loss on available-for-sale securities</w:t>
            </w:r>
          </w:p>
        </w:tc>
        <w:tc>
          <w:tcPr>
            <w:tcW w:w="13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(71 )</w:t>
            </w: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(71 )</w:t>
            </w:r>
          </w:p>
        </w:tc>
        <w:tc>
          <w:tcPr>
            <w:tcW w:w="0" w:type="dxa"/>
            <w:vAlign w:val="bottom"/>
          </w:tcPr>
          <w:p>
            <w:pPr>
              <w:spacing w:after="0"/>
              <w:rPr>
                <w:sz w:val="1"/>
                <w:szCs w:val="1"/>
                <w:color w:val="auto"/>
              </w:rPr>
            </w:pPr>
          </w:p>
        </w:tc>
      </w:tr>
      <w:tr>
        <w:trPr>
          <w:trHeight w:val="121"/>
        </w:trPr>
        <w:tc>
          <w:tcPr>
            <w:tcW w:w="34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 attributable to common stockholders/members'</w:t>
            </w: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(142,181 )</w:t>
            </w: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(142,181 )</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0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11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73,458,176</w:t>
            </w:r>
          </w:p>
        </w:tc>
        <w:tc>
          <w:tcPr>
            <w:tcW w:w="220" w:type="dxa"/>
            <w:vAlign w:val="bottom"/>
          </w:tcPr>
          <w:p>
            <w:pPr>
              <w:spacing w:after="0"/>
              <w:rPr>
                <w:sz w:val="10"/>
                <w:szCs w:val="10"/>
                <w:color w:val="auto"/>
              </w:rPr>
            </w:pPr>
          </w:p>
        </w:tc>
        <w:tc>
          <w:tcPr>
            <w:tcW w:w="840" w:type="dxa"/>
            <w:vAlign w:val="bottom"/>
          </w:tcPr>
          <w:p>
            <w:pPr>
              <w:jc w:val="right"/>
              <w:ind w:right="7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w:t>
            </w:r>
          </w:p>
        </w:tc>
        <w:tc>
          <w:tcPr>
            <w:tcW w:w="200" w:type="dxa"/>
            <w:vAlign w:val="bottom"/>
          </w:tcPr>
          <w:p>
            <w:pPr>
              <w:spacing w:after="0"/>
              <w:rPr>
                <w:sz w:val="10"/>
                <w:szCs w:val="10"/>
                <w:color w:val="auto"/>
              </w:rPr>
            </w:pPr>
          </w:p>
        </w:tc>
        <w:tc>
          <w:tcPr>
            <w:tcW w:w="180" w:type="dxa"/>
            <w:vAlign w:val="bottom"/>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601,771</w:t>
            </w:r>
          </w:p>
        </w:tc>
        <w:tc>
          <w:tcPr>
            <w:tcW w:w="220" w:type="dxa"/>
            <w:vAlign w:val="bottom"/>
          </w:tcPr>
          <w:p>
            <w:pPr>
              <w:spacing w:after="0"/>
              <w:rPr>
                <w:sz w:val="10"/>
                <w:szCs w:val="10"/>
                <w:color w:val="auto"/>
              </w:rPr>
            </w:pP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(71 )</w:t>
            </w: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(269,668 )</w:t>
            </w:r>
          </w:p>
        </w:tc>
        <w:tc>
          <w:tcPr>
            <w:tcW w:w="14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332,039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40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1"/>
                <w:szCs w:val="11"/>
                <w:color w:val="auto"/>
              </w:rPr>
              <w:t>Issuance of common stock pursuant to follow-on offering, net of</w:t>
            </w:r>
          </w:p>
        </w:tc>
        <w:tc>
          <w:tcPr>
            <w:tcW w:w="11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4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9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10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9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106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costs of $10,827</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13,269,231</w:t>
            </w: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161,407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161,409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88,459</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1,338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upon release of restricted stock units</w:t>
            </w: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317,245</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4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pursuant to Employee Stock Purchase Plan</w:t>
            </w: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115,421</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Unvested common stock forfeiture</w:t>
            </w:r>
          </w:p>
        </w:tc>
        <w:tc>
          <w:tcPr>
            <w:tcW w:w="13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(21,400 )</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4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Share-based compensation expenses</w:t>
            </w:r>
          </w:p>
        </w:tc>
        <w:tc>
          <w:tcPr>
            <w:tcW w:w="13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39,341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39,341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3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80</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 attributable to common stockholders</w:t>
            </w: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(188,917 )</w:t>
            </w:r>
          </w:p>
        </w:tc>
        <w:tc>
          <w:tcPr>
            <w:tcW w:w="140" w:type="dxa"/>
            <w:vAlign w:val="bottom"/>
          </w:tcPr>
          <w:p>
            <w:pPr>
              <w:spacing w:after="0"/>
              <w:rPr>
                <w:sz w:val="10"/>
                <w:szCs w:val="10"/>
                <w:color w:val="auto"/>
              </w:rPr>
            </w:pPr>
          </w:p>
        </w:tc>
        <w:tc>
          <w:tcPr>
            <w:tcW w:w="11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(188,917 )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11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87,227,132</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7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805,107</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(458,585 )</w:t>
            </w:r>
          </w:p>
        </w:tc>
        <w:tc>
          <w:tcPr>
            <w:tcW w:w="14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346,540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00" w:type="dxa"/>
            <w:vAlign w:val="bottom"/>
            <w:tcBorders>
              <w:top w:val="single" w:sz="8" w:color="CFF0FC"/>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1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172,163</w:t>
            </w:r>
          </w:p>
        </w:tc>
        <w:tc>
          <w:tcPr>
            <w:tcW w:w="220" w:type="dxa"/>
            <w:vAlign w:val="bottom"/>
            <w:tcBorders>
              <w:top w:val="single" w:sz="8" w:color="CFF0FC"/>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2,267</w:t>
            </w: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2,267</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upon release of restricted stock units</w:t>
            </w: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680,963</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4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pursuant to Employee Stock Purchase Plan</w:t>
            </w: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171,442</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1,906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private placement, net of</w:t>
            </w:r>
          </w:p>
        </w:tc>
        <w:tc>
          <w:tcPr>
            <w:tcW w:w="1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placement agent fees and offering costs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12,893,213</w:t>
            </w: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178,176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178,177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4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prefunded warrants to purchase common stock in connection</w:t>
            </w: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with private placement, net of issuance costs</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20,941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Unvested common stock forfeiture</w:t>
            </w:r>
          </w:p>
        </w:tc>
        <w:tc>
          <w:tcPr>
            <w:tcW w:w="13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(28,751 )</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4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Share-based compensation expenses</w:t>
            </w:r>
          </w:p>
        </w:tc>
        <w:tc>
          <w:tcPr>
            <w:tcW w:w="13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48,341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48,341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3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75</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(95,496 )</w:t>
            </w:r>
          </w:p>
        </w:tc>
        <w:tc>
          <w:tcPr>
            <w:tcW w:w="140" w:type="dxa"/>
            <w:vAlign w:val="bottom"/>
          </w:tcPr>
          <w:p>
            <w:pPr>
              <w:spacing w:after="0"/>
              <w:rPr>
                <w:sz w:val="10"/>
                <w:szCs w:val="10"/>
                <w:color w:val="auto"/>
              </w:rPr>
            </w:pPr>
          </w:p>
        </w:tc>
        <w:tc>
          <w:tcPr>
            <w:tcW w:w="11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(95,496 )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4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11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101,116,162</w:t>
            </w: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7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1,056,738</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84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(554,081 )</w:t>
            </w:r>
          </w:p>
        </w:tc>
        <w:tc>
          <w:tcPr>
            <w:tcW w:w="14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502,751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-2545080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-2545080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-2545080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-2545080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-2545080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-1842770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-1842770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-1842770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-1842770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-1842770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-967740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-967740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-967740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-967740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-967740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45" w:name="page146"/>
    <w:bookmarkEnd w:id="14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8"/>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r>
      <w:tr>
        <w:trPr>
          <w:trHeight w:val="199"/>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(95,496 )</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(188,917 )</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(142,181 )</w:t>
            </w:r>
          </w:p>
        </w:tc>
      </w:tr>
      <w:tr>
        <w:trPr>
          <w:trHeight w:val="203"/>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Acquired in-process research and development assets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48,263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39,341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27,242</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expense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Accretion of discounts on short-term investments, net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(6,389 )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(10,078 )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(2,030 )</w:t>
            </w: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operating right-of-use asset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from sale of priority review voucher</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(108,000 )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(13,876 )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(3,243 )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(4,556 )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(3,322 )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(546 )</w:t>
            </w: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(300 )</w:t>
            </w: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(1,484 )</w:t>
            </w: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42,101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9,241</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(273 )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(405 )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(347 )</w:t>
            </w:r>
          </w:p>
        </w:tc>
      </w:tr>
      <w:tr>
        <w:trPr>
          <w:trHeight w:val="203"/>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long-term liability</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196"/>
        </w:trPr>
        <w:tc>
          <w:tcPr>
            <w:tcW w:w="7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(78,113 )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(146,853 )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(109,874 )</w:t>
            </w:r>
          </w:p>
        </w:tc>
      </w:tr>
      <w:tr>
        <w:trPr>
          <w:trHeight w:val="20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for purchase of short-term investments</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(658,616 )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(443,838 )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(394,206 )</w:t>
            </w: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maturity of short-term investments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139,158</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short-term investments</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79,409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acquired intangible assets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(17,100 )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priority review voucher</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108,000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acquired in-process research and development assets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(55,000 )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(3,000 )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for purchase of property and equipment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(2,169 )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(26 )</w:t>
            </w:r>
          </w:p>
        </w:tc>
      </w:tr>
      <w:tr>
        <w:trPr>
          <w:trHeight w:val="20"/>
        </w:trPr>
        <w:tc>
          <w:tcPr>
            <w:tcW w:w="70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(230,994 )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(255,074 )</w:t>
            </w:r>
          </w:p>
        </w:tc>
      </w:tr>
      <w:tr>
        <w:trPr>
          <w:trHeight w:val="203"/>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private placement, net of placement agent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fees and offering costs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prefunded warrants to purchase common stock in connection with private</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placement, net of issuance costs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20,941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net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161,610</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upon stock option exercises</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upon Employee Stock Purchase Plan purchase</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17"/>
                <w:szCs w:val="17"/>
                <w:color w:val="auto"/>
              </w:rPr>
            </w:pPr>
          </w:p>
        </w:tc>
      </w:tr>
      <w:tr>
        <w:trPr>
          <w:trHeight w:val="196"/>
        </w:trPr>
        <w:tc>
          <w:tcPr>
            <w:tcW w:w="70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Cash provided by financing activities</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203,291</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163,997</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(105,816 )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(199,047 )</w:t>
            </w:r>
          </w:p>
        </w:tc>
      </w:tr>
      <w:tr>
        <w:trPr>
          <w:trHeight w:val="203"/>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230,784</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85,262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284,309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85,262</w:t>
            </w:r>
          </w:p>
        </w:tc>
        <w:tc>
          <w:tcPr>
            <w:tcW w:w="100" w:type="dxa"/>
            <w:vAlign w:val="bottom"/>
          </w:tcPr>
          <w:p>
            <w:pPr>
              <w:spacing w:after="0"/>
              <w:rPr>
                <w:sz w:val="17"/>
                <w:szCs w:val="17"/>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paid</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activities:</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not yet paid for license agreement milestone payment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Right-of-use asset obtained in exchange for new operating lease liabilities</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-2373630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-2373630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-1071245</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-1071245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-805180</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-805180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ind w:left="430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Organization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ind w:right="280" w:firstLine="562"/>
        <w:spacing w:after="0" w:line="282" w:lineRule="auto"/>
        <w:rPr>
          <w:sz w:val="20"/>
          <w:szCs w:val="20"/>
          <w:color w:val="auto"/>
        </w:rPr>
      </w:pPr>
      <w:r>
        <w:rPr>
          <w:rFonts w:ascii="Times New Roman" w:cs="Times New Roman" w:eastAsia="Times New Roman" w:hAnsi="Times New Roman"/>
          <w:sz w:val="18"/>
          <w:szCs w:val="18"/>
          <w:color w:val="auto"/>
        </w:rPr>
        <w:t>Day One Biopharmaceuticals, Inc. is a commercial-stage company focused on advancing medicines for childhood and adult diseases with equal intensity. The Company was founded in November 2018 and is headquartered in Brisbane, CA.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240" w:firstLine="562"/>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commercial-stage companies in the biopharmaceutical industry including, but not limited to, uncertainties related to clinical effectiveness of the product, commercialization of products, regulatory approvals, dependence on key products, key personnel and third-party service providers such as contract research organizations (“CROs”), protection of intellectual property rights and the ability to make milestone, royalty or other payments due under any license, collaboration or supply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62"/>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prepared in accordance with accounting principles generally accepted in the United States of America, or U.S. GAAP, and include the accounts of the Company’s subsidiaries. All intercompany transactions and balances have been eliminated in consolidation.</w:t>
      </w:r>
    </w:p>
    <w:p>
      <w:pPr>
        <w:spacing w:after="0" w:line="54" w:lineRule="exact"/>
        <w:rPr>
          <w:sz w:val="20"/>
          <w:szCs w:val="20"/>
          <w:color w:val="auto"/>
        </w:rPr>
      </w:pPr>
    </w:p>
    <w:p>
      <w:pPr>
        <w:ind w:right="100" w:firstLine="562"/>
        <w:spacing w:after="0" w:line="282"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the authoritative GAAP as found in Accounting Standards Codification, or ASC, and Accounting Standards Updates, or ASU, of the Financial Accounting Standards Board, or FASB.</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 xml:space="preserve">The Company assesses and determines its ability to continue as a going concern in accordance with the provisions of ASC Topic 205-40, </w:t>
      </w:r>
      <w:r>
        <w:rPr>
          <w:rFonts w:ascii="Times New Roman" w:cs="Times New Roman" w:eastAsia="Times New Roman" w:hAnsi="Times New Roman"/>
          <w:sz w:val="18"/>
          <w:szCs w:val="18"/>
          <w:i w:val="1"/>
          <w:iCs w:val="1"/>
          <w:color w:val="auto"/>
        </w:rPr>
        <w:t>Presentation of Financial Statements—Going Concern</w:t>
      </w:r>
      <w:r>
        <w:rPr>
          <w:rFonts w:ascii="Times New Roman" w:cs="Times New Roman" w:eastAsia="Times New Roman" w:hAnsi="Times New Roman"/>
          <w:sz w:val="18"/>
          <w:szCs w:val="18"/>
          <w:color w:val="auto"/>
        </w:rPr>
        <w:t>, which requires the Company to evaluate whether there are conditions or events that raise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about its ability to continue as a going concern within one year after the date that its annual and interim financial statements are issued. Certain additional financial statement disclosures are required if such conditions or events are identified. Determining the extent, if any, to which conditions or events raise substantial doubt about the Company’s ability to continue as a going concern, or the extent to which mitigating plans sufficiently alleviate any such substantial doubt, as well as whether or not liquidation is imminent, requires significant judgment by management.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20" w:firstLine="56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and disclosure of contingent assets and liabilities at the date of the financial statements, and the reported amounts of expenses during the reporting period. Estimates and assumptions made in the accompanying financial statements include, but are not limited to, accruals for research and development expenses, variable consideration and other relevant inputs impacting the gross and net revenue recognition, the valuation of share-based awards, and the valuation of deferred tax assets. The Company bases its estimates on historical experience and on various other assumptions that are believed to be reasonable. Actual results may differ from those estimates or assumptions.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7" w:name="page148"/>
    <w:bookmarkEnd w:id="14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520" w:firstLine="562"/>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the Company to significant concentrations of credit risk consist primarily of cash, cash equivalents, short-term investments, and accounts receivable. Amounts on deposit may at times exceed federally insured limits. The Company is exposed to credit risk in the event of default by the financial institutions holding its cash, cash equivalents and short-term investments that are recorded on its balance sheet. Per policy, the Company mitigates its risk by investing in high-grade instruments and limiting the concentration in any one non-United States government or government backed issuer, which limits its exposure. The Company has not experienced any losses on its cash, cash equivalents and short-term investments.</w:t>
      </w:r>
    </w:p>
    <w:p>
      <w:pPr>
        <w:spacing w:after="0" w:line="75"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two individual customers accounted for 94.3% of total net product revenue, with these individual customers representing 66.2% and 28.1% of the Company's total net product revenue. As of December 31, 2024, two customers accounted for 88.7% of the accounts receivable balance, with these individual customers representing 64.5% and 24.2% of the accounts receivable balance. No other individual customers account for more than 10.0% of net product sales or accounts receivable. The Company monitors the financial condition of its customers so that it can appropriately respond to changes in their creditworthiness. To date, the Company has not experienced any losses with respect to the collection of its accounts receivable.</w:t>
      </w:r>
    </w:p>
    <w:p>
      <w:pPr>
        <w:spacing w:after="0" w:line="79"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risks and uncertainties and believes that changes in any of the following areas could have a material adverse effect on the Company's future financial position or results of its operations: ability to obtain future financing; regulatory requirements for approval and market acceptance of, and reimbursement for, product candidates; performance of third-party clinical research organizations and manufacturers upon which the Company relies; development of sales channels; protection of the Company’s intellectual property; litigation or claims against the Company based on intellectual property, patent, product, regulatory or other factors; changes to the market landscape; and the Company’s ability to attract and retain employees necessary to support its growth.</w:t>
      </w:r>
    </w:p>
    <w:p>
      <w:pPr>
        <w:spacing w:after="0" w:line="79" w:lineRule="exact"/>
        <w:rPr>
          <w:sz w:val="20"/>
          <w:szCs w:val="20"/>
          <w:color w:val="auto"/>
        </w:rPr>
      </w:pPr>
    </w:p>
    <w:p>
      <w:pPr>
        <w:ind w:right="40" w:firstLine="562"/>
        <w:spacing w:after="0" w:line="261"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commercial and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640" w:firstLine="562"/>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purchase to be cash equivalents. The Company’s cash equivalents consist of investments in money market funds, U.S. government agency securities, and U.S. treasury securities. Cash equivalents are recognized at amortized cost, which approximates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investments are comprised of U.S. treasury securities and U.S. government agency securities. Investments are classified at the time of purchase, based on management’s intent, as held-to-maturity, available-for-sale, or trading. All of the Company’s investments are classified as available-for-sale. Available-for-sale securities are carried at estimated fair value with unrealized holdings gains and losses (net of tax effects) on such investments reported in other comprehensive income as a separate component on the statements of comprehensive loss. Fair value is determined based on quoted market rates when observable or by utilizing data points that are observable, such as quoted prices, interest rates, and yield curves.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8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For available-for-sale securities, the Company determines if any impairment is related to credit loss or non-credit loss. In making the assessment of whether a loss is from credit or other factors, management considers the extent to which fair value is less than amortized cost, any changes to the rating of the security by a rating agency and adverse conditions related to the security, among other factors. If this assessment indicates that a credit loss exists, the present value of cash flows expected to be collected from the security are compared to the amortized cost basis of the security. If the present value of cash flows is less than the amortized cost basis, a credit loss exists and an allowance is created, limited by the amount that the fair value is less than amortized cost basis. Subsequent activity related to the credit loss component in the form of write-offs or recoveries is recognized as part of the allowance for credit losses on available-for-sale securities.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80" w:firstLine="562"/>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1—Observable inputs such as unadjusted, quoted prices in active markets for identical assets or liabilities at the measurement date;</w:t>
      </w:r>
    </w:p>
    <w:p>
      <w:pPr>
        <w:spacing w:after="0" w:line="225" w:lineRule="exact"/>
        <w:rPr>
          <w:sz w:val="20"/>
          <w:szCs w:val="20"/>
          <w:color w:val="auto"/>
        </w:rPr>
      </w:pPr>
    </w:p>
    <w:p>
      <w:pPr>
        <w:jc w:val="both"/>
        <w:ind w:left="520" w:right="280"/>
        <w:spacing w:after="0" w:line="266" w:lineRule="auto"/>
        <w:rPr>
          <w:sz w:val="20"/>
          <w:szCs w:val="20"/>
          <w:color w:val="auto"/>
        </w:rPr>
      </w:pPr>
      <w:r>
        <w:rPr>
          <w:rFonts w:ascii="Times New Roman" w:cs="Times New Roman" w:eastAsia="Times New Roman" w:hAnsi="Times New Roman"/>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17"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2" w:lineRule="exact"/>
        <w:rPr>
          <w:sz w:val="20"/>
          <w:szCs w:val="20"/>
          <w:color w:val="auto"/>
        </w:rPr>
      </w:pPr>
    </w:p>
    <w:p>
      <w:pPr>
        <w:ind w:right="120" w:firstLine="569"/>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accompanying balance sheets for cash equivalents, prepaid expenses, other current assets, accounts payable, accrued expenses and other current liabilities approximate their fair values, due to their short-term nature.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Accounts receivable, net consists of trade receivables which are amounts due from the Company's specialty pharmacy and specialty distributor customers related to product sales. The Company records trade receivables net of discounts, chargebacks, and any allowances for potential credit losses. An allowance for credit losses is determined based on the financial condition and creditworthiness of customers and the Company considers economic factors and events or trends expected to affect future collections experience. Any allowance would reduce the net receivables to the amount that is expected to be collected. The payment history of the Company’s customers will be considered in future assessments of collectability as these patterns are established over a longer period of time. For the year ended December 31, 2024, the Company did not record any expected credit losses related to outstanding accounts receivable.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20" w:firstLine="562"/>
        <w:spacing w:after="0" w:line="266" w:lineRule="auto"/>
        <w:rPr>
          <w:sz w:val="20"/>
          <w:szCs w:val="20"/>
          <w:color w:val="auto"/>
        </w:rPr>
      </w:pPr>
      <w:r>
        <w:rPr>
          <w:rFonts w:ascii="Times New Roman" w:cs="Times New Roman" w:eastAsia="Times New Roman" w:hAnsi="Times New Roman"/>
          <w:sz w:val="18"/>
          <w:szCs w:val="18"/>
          <w:color w:val="auto"/>
        </w:rPr>
        <w:t>The Company began capitalizing inventory for OJEMDA upon approval by the U.S. Food and Drug Administration, or FDA, in April 2024. OJEMDA is approved for the treatment of patients 6 months of age and older with relapsed or refractory pediatric low-grade glioma, or pLGG, harboring a BRAF fusion rearrangement, 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BRAF V600 mutation. Prior to regulatory approval, all direct and indirect manufacturing costs were charged to research and development expense in the period incurred.</w:t>
      </w:r>
    </w:p>
    <w:p>
      <w:pPr>
        <w:spacing w:after="0" w:line="54" w:lineRule="exact"/>
        <w:rPr>
          <w:sz w:val="20"/>
          <w:szCs w:val="20"/>
          <w:color w:val="auto"/>
        </w:rPr>
      </w:pPr>
    </w:p>
    <w:p>
      <w:pPr>
        <w:ind w:right="40" w:firstLine="562"/>
        <w:spacing w:after="0" w:line="258" w:lineRule="auto"/>
        <w:rPr>
          <w:sz w:val="20"/>
          <w:szCs w:val="20"/>
          <w:color w:val="auto"/>
        </w:rPr>
      </w:pPr>
      <w:r>
        <w:rPr>
          <w:rFonts w:ascii="Times New Roman" w:cs="Times New Roman" w:eastAsia="Times New Roman" w:hAnsi="Times New Roman"/>
          <w:sz w:val="18"/>
          <w:szCs w:val="18"/>
          <w:color w:val="auto"/>
        </w:rPr>
        <w:t>Inventory is comprised of raw materials, work-in-process and finished goods, and includes costs related to third-party contract manufacturing, packaging, freight-in and overhead. Inventory is stated at the lower of cost or net realizable value with cost based on the first-in-first-out method. Raw and intermediate materials that may be used for either research and development or commercial purposes where the intended use is not yet known are classified as inventory until the material is consumed or otherwise allocated for research and development. If the material is used or otherwise allocated for research and development, it is expensed as research and development in the period that determination is made.</w:t>
      </w:r>
    </w:p>
    <w:p>
      <w:pPr>
        <w:spacing w:after="0" w:line="75" w:lineRule="exact"/>
        <w:rPr>
          <w:sz w:val="20"/>
          <w:szCs w:val="20"/>
          <w:color w:val="auto"/>
        </w:rPr>
      </w:pPr>
    </w:p>
    <w:p>
      <w:pPr>
        <w:ind w:right="100" w:firstLine="562"/>
        <w:spacing w:after="0" w:line="256"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it writes down any excess and obsolete inventories to their estimated realizable value in the period in which the impairment is first identified. Such impairment charges, should they occur, are recorded within cost of product revenue. The determination of whether inventory costs will be realizable requires estimates by management. If actual market conditions are less favorable than projected by management, additional write-downs of inventory may be required, which would be recorded as a cost of product revenue in the statements of operations. There were no expenses recorded for excess inventory or other impairments during the year ended December 31,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120" w:firstLine="562"/>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Depreciation is recognized using the straight-line method over the estimated useful lives of the related assets ranging from three to five years, and leasehold improvements are amortized over the shorter of the lease term or the estimated useful life of the asset. As of December 31, 2024 and 2023, property and equipment, net was not material. Depreciation expense for each of the years ended December 31, 2024, 2023, and 2022 was immaterial.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Contractual arrangements that meet the definition of a lease are classified as operating or finance leases and are recorded on the balance sheets as both a right-of-use asset, or ROU asset, and lease liability, calculated by discounting fixed lease payments over the lease term at the rate implicit in the lease or the Company’s incremental borrowing rate, or IBR. Lease ROU assets and lease obligations are recognized based on the present value of the future minimum lease payments over the lease term at commencement date. The Company currently does not have any finance leases.</w:t>
      </w:r>
    </w:p>
    <w:p>
      <w:pPr>
        <w:spacing w:after="0" w:line="81"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Operating lease ROU assets are adjusted for (i) payments made at or before the commencement date, (ii) initial direct costs incurred, and (iii) tenant incentives under the lease. As the implicit rate for the operating leases are not determinable, the Company determines its IBR based on the information available at the applicable lease commencement date. The IBR is determined by using the rate of interest that the Company would pay to borrow on a collateralized basis an amount equal to the lease payments for a similar term and in a similar economic environment where the asset is located. The Company considers a lease term to be the noncancelable period that it has the right to use the underlying asset, including any periods where it is reasonably certain the Company will exercise any option to extend the contract.</w:t>
      </w:r>
    </w:p>
    <w:p>
      <w:pPr>
        <w:spacing w:after="0" w:line="79"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Lease costs for minimum lease payments for operating leases are recognized on a straight-line basis over the lease term. Lease liabilities are increased by interest and reduced by payments each period, and the ROU asset is amortized over the lease term. Variable lease costs are recorded when incurred. In measuring the ROU assets and lease liabilities, the Company has elected to combine lease and non-lease components. The Company excludes short-term leases, if any, having initial terms of 12 months or less at lease commencement as an accounting policy election, and recognizes rent expense on a straight-line basis over the lease term for these types of leases.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jc w:val="both"/>
        <w:ind w:right="200" w:firstLine="562"/>
        <w:spacing w:after="0" w:line="266" w:lineRule="auto"/>
        <w:rPr>
          <w:sz w:val="20"/>
          <w:szCs w:val="20"/>
          <w:color w:val="auto"/>
        </w:rPr>
      </w:pPr>
      <w:r>
        <w:rPr>
          <w:rFonts w:ascii="Times New Roman" w:cs="Times New Roman" w:eastAsia="Times New Roman" w:hAnsi="Times New Roman"/>
          <w:sz w:val="18"/>
          <w:szCs w:val="18"/>
          <w:color w:val="auto"/>
        </w:rPr>
        <w:t>Upon FDA approval and commercial launch of OJEMDA in April 2024, the Company capitalized the $9.0 million milestone payment to Viracta Therapeutics, Inc. (f/k/a Sunesis Pharmaceuticals, Inc.), or Viracta, for a specified regulatory milestone as a finite-lived intangible asset. Upon the sale of the Priority Review Voucher, or PRV, in May 2024 to fully satisfy PRV-related obligations of the Company's license agreement with Viracta, dated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December 16, 2019, as amended, the Company capitalized the $8.1 million payment to Viracta as a finite-lived intangible asset. The intangible assets will be amortized on a straight-line basis over each of the estimated useful life of the underlying intellectual property of 7.3 years. Amortization expense will be recorded as cost of product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 group, which consist of property and equipment and right-of-use assets,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been recognized in the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60" w:firstLine="562"/>
        <w:spacing w:after="0" w:line="254" w:lineRule="auto"/>
        <w:rPr>
          <w:sz w:val="20"/>
          <w:szCs w:val="20"/>
          <w:color w:val="auto"/>
        </w:rPr>
      </w:pPr>
      <w:r>
        <w:rPr>
          <w:rFonts w:ascii="Times New Roman" w:cs="Times New Roman" w:eastAsia="Times New Roman" w:hAnsi="Times New Roman"/>
          <w:sz w:val="18"/>
          <w:szCs w:val="18"/>
          <w:color w:val="auto"/>
        </w:rPr>
        <w:t>The Company recognizes net product and license revenue in accordance with ASC Topic 606, Revenue from Contracts with Customers, or ASC 606, which outlines a five-step process for recognizing revenue from contracts with customers: (i) identify the contract with the customer, (ii) identify the performance obligations in the contract, (iii) determine the transaction price, (iv) allocate the transaction price to the separate performance obligations in the contract, and (v) recognize revenue associated with the performance obligations as they are satisfied. The Company only applies the five-step model to contracts when it is probable that the Company will collect the consideration it is entitled to in exchange for the goods or services it transfers to the customer. Once a contract is determined to be within the scope of ASC 606, the Company determines the performance obligations that are distinct. The Company recognizes as revenues the amount of the transaction price that is allocated to each respective performance obligation when the performance obligation is satisfied.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jc w:val="both"/>
        <w:ind w:right="200" w:firstLine="562"/>
        <w:spacing w:after="0" w:line="266" w:lineRule="auto"/>
        <w:rPr>
          <w:sz w:val="20"/>
          <w:szCs w:val="20"/>
          <w:color w:val="auto"/>
        </w:rPr>
      </w:pPr>
      <w:r>
        <w:rPr>
          <w:rFonts w:ascii="Times New Roman" w:cs="Times New Roman" w:eastAsia="Times New Roman" w:hAnsi="Times New Roman"/>
          <w:sz w:val="18"/>
          <w:szCs w:val="18"/>
          <w:color w:val="auto"/>
        </w:rPr>
        <w:t>The Company recognizes net product revenue from OJEMDA for the treatment of patients 6 months of age and older with relapsed or refractory pLGG harboring a BRAF fusion rearrangement, or BRAF V600 mutation, which it began selling in May 2024 through contractual arrangements with its specialty pharmacy and specialty distributor customers.</w:t>
      </w:r>
    </w:p>
    <w:p>
      <w:pPr>
        <w:spacing w:after="0" w:line="68" w:lineRule="exact"/>
        <w:rPr>
          <w:sz w:val="20"/>
          <w:szCs w:val="20"/>
          <w:color w:val="auto"/>
        </w:rPr>
      </w:pPr>
    </w:p>
    <w:p>
      <w:pPr>
        <w:ind w:right="100" w:firstLine="562"/>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delivery of OJEMDA to its customers constitutes a single performance obligation. There are no other promises to deliver goods or services beyond what is specified in each accepted customer order. Net product revenue is recognized at the transaction price when the customer obtains control of the Company’s product, which occurs at a point in time upon delivery of the product to the customer.</w:t>
      </w:r>
    </w:p>
    <w:p>
      <w:pPr>
        <w:spacing w:after="0" w:line="68" w:lineRule="exact"/>
        <w:rPr>
          <w:sz w:val="20"/>
          <w:szCs w:val="20"/>
          <w:color w:val="auto"/>
        </w:rPr>
      </w:pPr>
    </w:p>
    <w:p>
      <w:pPr>
        <w:jc w:val="both"/>
        <w:ind w:right="80" w:firstLine="562"/>
        <w:spacing w:after="0" w:line="266" w:lineRule="auto"/>
        <w:rPr>
          <w:sz w:val="20"/>
          <w:szCs w:val="20"/>
          <w:color w:val="auto"/>
        </w:rPr>
      </w:pPr>
      <w:r>
        <w:rPr>
          <w:rFonts w:ascii="Times New Roman" w:cs="Times New Roman" w:eastAsia="Times New Roman" w:hAnsi="Times New Roman"/>
          <w:sz w:val="18"/>
          <w:szCs w:val="18"/>
          <w:color w:val="auto"/>
        </w:rPr>
        <w:t>The Company has assessed the existence of a significant financing component in the agreements with its customers. The trade payment terms with the Company’s customers do not exceed one year and therefore the Company has elected to apply the practical expedient and no amount of consideration has been allocated as a financing component.</w:t>
      </w:r>
    </w:p>
    <w:p>
      <w:pPr>
        <w:spacing w:after="0" w:line="68" w:lineRule="exact"/>
        <w:rPr>
          <w:sz w:val="20"/>
          <w:szCs w:val="20"/>
          <w:color w:val="auto"/>
        </w:rPr>
      </w:pPr>
    </w:p>
    <w:p>
      <w:pPr>
        <w:ind w:right="120" w:firstLine="562"/>
        <w:spacing w:after="0" w:line="272" w:lineRule="auto"/>
        <w:rPr>
          <w:sz w:val="20"/>
          <w:szCs w:val="20"/>
          <w:color w:val="auto"/>
        </w:rPr>
      </w:pPr>
      <w:r>
        <w:rPr>
          <w:rFonts w:ascii="Times New Roman" w:cs="Times New Roman" w:eastAsia="Times New Roman" w:hAnsi="Times New Roman"/>
          <w:sz w:val="17"/>
          <w:szCs w:val="17"/>
          <w:color w:val="auto"/>
        </w:rPr>
        <w:t>Net product revenues from the sale of OJEMDA are recorded at the transaction price, which include adjustments for discounts and allowances, including estimated cash discounts, government chargebacks, government rebates, specialty distributor fees, copay assistance, and returns. These adjustments represent variable consideration under ASC 606 and are estimated using the expected value method or most likely amount method and are recorded when revenue is recognized on the sale of the product.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remaining in the distribution channel, as well as expectations about the market for the product and anticipated introduction of competitive products. Overall, these reserves reflect the Company’s best estimates of the amount of consideration to which it is entitled based on the terms of the respective underlying contracts.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1" w:name="page152"/>
    <w:bookmarkEnd w:id="151"/>
    <w:p>
      <w:pPr>
        <w:spacing w:after="0" w:line="86" w:lineRule="exact"/>
        <w:rPr>
          <w:sz w:val="20"/>
          <w:szCs w:val="20"/>
          <w:color w:val="auto"/>
        </w:rPr>
      </w:pPr>
    </w:p>
    <w:p>
      <w:pPr>
        <w:ind w:right="140" w:firstLine="562"/>
        <w:spacing w:after="0" w:line="258" w:lineRule="auto"/>
        <w:rPr>
          <w:sz w:val="20"/>
          <w:szCs w:val="20"/>
          <w:color w:val="auto"/>
        </w:rPr>
      </w:pPr>
      <w:r>
        <w:rPr>
          <w:rFonts w:ascii="Times New Roman" w:cs="Times New Roman" w:eastAsia="Times New Roman" w:hAnsi="Times New Roman"/>
          <w:sz w:val="18"/>
          <w:szCs w:val="18"/>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Actual amounts of consideration ultimately received may differ from the Company’s estimates. If actual results in the future vary from the Company’s original estimates, the Company will adjust these estimates, which would affect net product revenue and earnings in the period such variances become known.</w:t>
      </w:r>
    </w:p>
    <w:p>
      <w:pPr>
        <w:spacing w:after="0" w:line="73" w:lineRule="exact"/>
        <w:rPr>
          <w:sz w:val="20"/>
          <w:szCs w:val="20"/>
          <w:color w:val="auto"/>
        </w:rPr>
      </w:pPr>
    </w:p>
    <w:p>
      <w:pPr>
        <w:ind w:right="540"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Discounts </w:t>
      </w:r>
      <w:r>
        <w:rPr>
          <w:rFonts w:ascii="Times New Roman" w:cs="Times New Roman" w:eastAsia="Times New Roman" w:hAnsi="Times New Roman"/>
          <w:sz w:val="18"/>
          <w:szCs w:val="18"/>
          <w:color w:val="auto"/>
        </w:rPr>
        <w:t>— The Company estimates cash discounts based on contractual terms and expectations regarding future customer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patterns. The adjustments are recorded in the same period the related revenue is recognized, resulting in a reduction of product revenue and accounts receivable.</w:t>
      </w:r>
    </w:p>
    <w:p>
      <w:pPr>
        <w:spacing w:after="0" w:line="65" w:lineRule="exact"/>
        <w:rPr>
          <w:sz w:val="20"/>
          <w:szCs w:val="20"/>
          <w:color w:val="auto"/>
        </w:rPr>
      </w:pPr>
    </w:p>
    <w:p>
      <w:pPr>
        <w:ind w:right="100" w:firstLine="56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Government Chargebacks </w:t>
      </w:r>
      <w:r>
        <w:rPr>
          <w:rFonts w:ascii="Times New Roman" w:cs="Times New Roman" w:eastAsia="Times New Roman" w:hAnsi="Times New Roman"/>
          <w:sz w:val="18"/>
          <w:szCs w:val="18"/>
          <w:color w:val="auto"/>
        </w:rPr>
        <w:t>— Chargebacks for fees and discounts to qualified government healthcare providers represent the estimated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from contractual commitments to sell products to qualified U.S. Department of Veterans Affairs hospitals and 340B entities at prices lower than the list prices charged to customers who directly purchase the product from the Company. The 340B Drug Discount Program is a U.S. federal government program created in 1992 that requires drug manufacturers to provide outpatient drugs to eligible health care organizations and covered entities at significantly reduced prices. Customers charge the Company for the difference between what they pay for the product and the statutory selling price to the qualified government entity. These reserves are established in the same period that the related revenue is recognized, resulting in a reduction of product revenue and accounts receivables, net. Chargeback amounts are generally determined at the time of resale to the qualified government healthcare provider by customers, and the Company generally issues credits for such amounts within a few weeks of the Customer’s notification to the Company of the resale. Reserves for chargebacks consist of chargebacks that customers have claimed, but for which the Company has not yet issued a credit and credits that the Company expects to issue for product that has been recognized as revenue, but which remains in the distribution channel inventories at the end of each reporting period.</w:t>
      </w:r>
    </w:p>
    <w:p>
      <w:pPr>
        <w:spacing w:after="0" w:line="84" w:lineRule="exact"/>
        <w:rPr>
          <w:sz w:val="20"/>
          <w:szCs w:val="20"/>
          <w:color w:val="auto"/>
        </w:rPr>
      </w:pPr>
    </w:p>
    <w:p>
      <w:pPr>
        <w:ind w:right="20" w:firstLine="56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 The Company is subject to discount obligations under state Medicaid programs and Medicare. These reserves are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same period the related revenue is recognized, resulting in a reduction of product revenue and the establishment of a current liability which is included in accrued expenses and other current liabilities. For Medicare, the Company also estimates the number of patients in the prescription drug coverage gap for whom the Company will owe an additional liability under the Medicare Part D program. For Medicaid programs, the Company estimates the portion of sales attributed to Medicaid patients and records a liability for the rebates to be paid to the respective state Medicaid programs.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77" w:lineRule="exact"/>
        <w:rPr>
          <w:sz w:val="20"/>
          <w:szCs w:val="20"/>
          <w:color w:val="auto"/>
        </w:rPr>
      </w:pPr>
    </w:p>
    <w:p>
      <w:pPr>
        <w:jc w:val="both"/>
        <w:ind w:right="120" w:firstLine="56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Specialty Distributor Fees </w:t>
      </w:r>
      <w:r>
        <w:rPr>
          <w:rFonts w:ascii="Times New Roman" w:cs="Times New Roman" w:eastAsia="Times New Roman" w:hAnsi="Times New Roman"/>
          <w:sz w:val="18"/>
          <w:szCs w:val="18"/>
          <w:color w:val="auto"/>
        </w:rPr>
        <w:t>— The Company pays fees to our specialty distributor customers for distribution services provided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sales of OJEMDA. These specialty distributor fees are based on a contractually determined fixed percentage of sales. The adjustments are recorded in the same period the related revenue is recognized, resulting in a reduction of product revenue and the establishment of a current liability which is included in accrued expenses and other current liabilities.</w:t>
      </w:r>
    </w:p>
    <w:p>
      <w:pPr>
        <w:spacing w:after="0" w:line="72"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Copay Assistance </w:t>
      </w:r>
      <w:r>
        <w:rPr>
          <w:rFonts w:ascii="Times New Roman" w:cs="Times New Roman" w:eastAsia="Times New Roman" w:hAnsi="Times New Roman"/>
          <w:sz w:val="18"/>
          <w:szCs w:val="18"/>
          <w:color w:val="auto"/>
        </w:rPr>
        <w:t>— The Company offers a co-pay assistance program, which is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as accrued expenses and other current liabilities.</w:t>
      </w:r>
    </w:p>
    <w:p>
      <w:pPr>
        <w:spacing w:after="0" w:line="75" w:lineRule="exact"/>
        <w:rPr>
          <w:sz w:val="20"/>
          <w:szCs w:val="20"/>
          <w:color w:val="auto"/>
        </w:rPr>
      </w:pPr>
    </w:p>
    <w:p>
      <w:pPr>
        <w:ind w:firstLine="56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 Consistent with industry practice, the Company’s contracts with customers for OJEMDA generally provide for returns only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is damaged or defective upon delivery, if there is a shipment error, and for certain customers, if the product is within an eligible expiry window. The Company currently estimates product return reserves using available industry data and its own sales information, including its visibility into the inventory remaining in the distribution channel. The Company believes the returns of OJEMDA will be minimal because our customers often carry limited inventory given the price of our products, and the limited number of patients. These reserves are established in the same period that the related revenue is recognized.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ind w:right="320" w:firstLine="562"/>
        <w:spacing w:after="0" w:line="266" w:lineRule="auto"/>
        <w:rPr>
          <w:sz w:val="20"/>
          <w:szCs w:val="20"/>
          <w:color w:val="auto"/>
        </w:rPr>
      </w:pPr>
      <w:r>
        <w:rPr>
          <w:rFonts w:ascii="Times New Roman" w:cs="Times New Roman" w:eastAsia="Times New Roman" w:hAnsi="Times New Roman"/>
          <w:sz w:val="18"/>
          <w:szCs w:val="18"/>
          <w:color w:val="auto"/>
        </w:rPr>
        <w:t>The Company generates license revenue from the Ipsen License Agreement, pursuant to which, the Company licensed to Ipsen Pharma SAS, or Ipsen, the right to commercialize tovorafenib in all territories outside the United States and agreed to provide certain research and development and manufacturing services.</w:t>
      </w:r>
    </w:p>
    <w:p>
      <w:pPr>
        <w:spacing w:after="0" w:line="68"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Under the terms of the Ipsen License Agreement, (i) Ipsen paid the Company an upfront license fee in the amount of $70.8 million and (ii) Ipsen Biopharmaceuticals, Inc., or the Investor, a fully-owned United States affiliate of Ipsen, purchased 2,341,495 shares of the Company’s common stock in a private placement for $40.0 million, at a price per share representing a 17.0% premium to the volume weighted average price, or VWAP, of the Company’s common stock as traded on The Nasdaq Stock Market LLC for the ten consecutive trading days prior to and including the date of the Company’s public release of U.S. GAAP revenue for the quarter ended June 30, 2024 on July 30, 2024, or the Revenue Release, and the ten consecutive trading days following the Revenue Release, in accordance with the terms set forth in an investment agreement by and between the Company and the Investor dated July 23, 2024. The Company is also eligible to receive up to approximately $330.0 million based on exchange rates as of the reporting date in additional commercial launch and sales-based milestone payments, as well as tiered, double-digit royalty payments starting at mid-teens percentage of annual net sales of tovorafenib, subject to customary adjustments specified in the Ipsen License Agreement.</w:t>
      </w:r>
    </w:p>
    <w:p>
      <w:pPr>
        <w:spacing w:after="0" w:line="80" w:lineRule="exact"/>
        <w:rPr>
          <w:sz w:val="20"/>
          <w:szCs w:val="20"/>
          <w:color w:val="auto"/>
        </w:rPr>
      </w:pPr>
    </w:p>
    <w:p>
      <w:pPr>
        <w:ind w:right="240" w:firstLine="562"/>
        <w:spacing w:after="0" w:line="266" w:lineRule="auto"/>
        <w:rPr>
          <w:sz w:val="20"/>
          <w:szCs w:val="20"/>
          <w:color w:val="auto"/>
        </w:rPr>
      </w:pPr>
      <w:r>
        <w:rPr>
          <w:rFonts w:ascii="Times New Roman" w:cs="Times New Roman" w:eastAsia="Times New Roman" w:hAnsi="Times New Roman"/>
          <w:sz w:val="18"/>
          <w:szCs w:val="18"/>
          <w:color w:val="auto"/>
        </w:rPr>
        <w:t>The commercial launch milestones related to first commercial sale(s) in certain territories, sales-based milestones and royalties are recognized as revenue when the related sales occur as the license of intellectual property is deemed to be the predominant item to which the commercial launch milestones, sales-based milestones and royalties relate.</w:t>
      </w:r>
    </w:p>
    <w:p>
      <w:pPr>
        <w:spacing w:after="0" w:line="68"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Upon execution of the Ipsen License Agreement, the transaction price was determined to be $78.2 million, representing the aggregate of the upfront license fee of $70.8 million and the premium paid by Ipsen on its equity investment in the Company of $7.4 million (the excess of the value of the shares of the Company issued to Ipsen), representing additional consideration from Ipsen for the rights under the Ipsen License Agreement.</w:t>
      </w:r>
    </w:p>
    <w:p>
      <w:pPr>
        <w:spacing w:after="0" w:line="68" w:lineRule="exact"/>
        <w:rPr>
          <w:sz w:val="20"/>
          <w:szCs w:val="20"/>
          <w:color w:val="auto"/>
        </w:rPr>
      </w:pPr>
    </w:p>
    <w:p>
      <w:pPr>
        <w:ind w:right="720" w:firstLine="562"/>
        <w:spacing w:after="0" w:line="282" w:lineRule="auto"/>
        <w:rPr>
          <w:sz w:val="20"/>
          <w:szCs w:val="20"/>
          <w:color w:val="auto"/>
        </w:rPr>
      </w:pPr>
      <w:r>
        <w:rPr>
          <w:rFonts w:ascii="Times New Roman" w:cs="Times New Roman" w:eastAsia="Times New Roman" w:hAnsi="Times New Roman"/>
          <w:sz w:val="18"/>
          <w:szCs w:val="18"/>
          <w:color w:val="auto"/>
        </w:rPr>
        <w:t>The transaction price is then allocated to each performance obligation on a relative stand-alone selling price basis, for which the Company recognizes revenue against each performance obligation as or when the performance obligations under the contract are satisfied.</w:t>
      </w:r>
    </w:p>
    <w:p>
      <w:pPr>
        <w:spacing w:after="0" w:line="54"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81" w:lineRule="exact"/>
        <w:rPr>
          <w:sz w:val="20"/>
          <w:szCs w:val="20"/>
          <w:color w:val="auto"/>
        </w:rPr>
      </w:pPr>
    </w:p>
    <w:p>
      <w:pPr>
        <w:ind w:right="120" w:firstLine="562"/>
        <w:spacing w:after="0" w:line="266" w:lineRule="auto"/>
        <w:rPr>
          <w:sz w:val="20"/>
          <w:szCs w:val="20"/>
          <w:color w:val="auto"/>
        </w:rPr>
      </w:pPr>
      <w:r>
        <w:rPr>
          <w:rFonts w:ascii="Times New Roman" w:cs="Times New Roman" w:eastAsia="Times New Roman" w:hAnsi="Times New Roman"/>
          <w:sz w:val="18"/>
          <w:szCs w:val="18"/>
          <w:color w:val="auto"/>
        </w:rPr>
        <w:t>When consideration is received from a customer prior to transferring goods or services to the customer under the terms of a contract, a contract liability is recorded within deferred revenue. Contract liabilities within deferred revenue are recognized as revenue after control of the goods or services is transferred to the customer and all revenue recognition criteria have been met.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ind w:right="180" w:firstLine="562"/>
        <w:spacing w:after="0" w:line="266" w:lineRule="auto"/>
        <w:rPr>
          <w:sz w:val="20"/>
          <w:szCs w:val="20"/>
          <w:color w:val="auto"/>
        </w:rPr>
      </w:pPr>
      <w:r>
        <w:rPr>
          <w:rFonts w:ascii="Times New Roman" w:cs="Times New Roman" w:eastAsia="Times New Roman" w:hAnsi="Times New Roman"/>
          <w:sz w:val="18"/>
          <w:szCs w:val="18"/>
          <w:color w:val="auto"/>
        </w:rPr>
        <w:t>Our cost of product revenue includes the cost of inventory sold, amortization expense of intangible assets and third-party royalties payable on our net product revenue. Cost of product revenue may also include costs related to excess or obsolete inventory adjustment charges, abnormal costs, unabsorbed manufacturing and overhead costs, and manufacturing variances.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62"/>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acquiring technology and intellectual property licenses that have no alternative future uses; costs incurred under agreements with third-party contract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research organizations, contract manufacturing organizations and other third parties that conduct clinical trials on the Company’s behalf; other costs associated with research and development programs, including laboratory materials and supplies; employee-related costs, including salaries, benefits and share-based compensation expense, for the Company’s research and development personnel; and facilities and other overhead expenses, including expenses for rent and facilities maintenance, and amortization. The Company expenses research and development costs as incurred. The Company is obligated to make upfront payments upon execution of certain research and development agreements. Advance payments, including nonrefundable amounts, for goods or services that will be used or rendered for future research and development activities are deferred. Such amounts are recognized as expense as the related goods are delivered or the related services are performed, or such time when the Company does not expect the goods to be delivered or services to be performed.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100" w:firstLine="569"/>
        <w:spacing w:after="0" w:line="256" w:lineRule="auto"/>
        <w:rPr>
          <w:sz w:val="20"/>
          <w:szCs w:val="20"/>
          <w:color w:val="auto"/>
        </w:rPr>
      </w:pPr>
      <w:r>
        <w:rPr>
          <w:rFonts w:ascii="Times New Roman" w:cs="Times New Roman" w:eastAsia="Times New Roman" w:hAnsi="Times New Roman"/>
          <w:sz w:val="18"/>
          <w:szCs w:val="18"/>
          <w:color w:val="auto"/>
        </w:rPr>
        <w:t>The Company records accrued liabilities for estimated costs of our clinical trials conducted by third-party service providers. The Company records the estimated costs of the clinical trials as research and development expense based upon the estimated amount of services provided but not yet invoiced. The Company accrues for these costs based on factors such as estimates of the work completed and in accordance with terms established with third-party service providers under the service agreements. The Company makes judgments and estimates in determining the accrued liabilities balance in each reporting period. As actual costs become known, the Company adjusts its accrued liabilities. The Company has not experienced any material differences between accrued costs and actual costs incurred.</w:t>
      </w:r>
    </w:p>
    <w:p>
      <w:pPr>
        <w:spacing w:after="0" w:line="79"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The Company makes payments in connection with the clinical trials under contracts with contract research organizations who conduct and manage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In the event the Company makes advance payments for goods or services that will be used or rendered for future research and development activities, the payments are deferred and capitalized as a prepaid expense and recognized as expense as the goods are received or the related services are rendered. Such payments are evaluated for current or long-term classification based on when they are expected to be realized.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60" w:firstLine="562"/>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of the recovery of the expenditure. Amounts incurred are classified as general and administrative expenses in the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Black-Scholes option-pricing model, used to estimate fair value of stock options awards, requires the use of the following assumptions:</w:t>
      </w:r>
    </w:p>
    <w:p>
      <w:pPr>
        <w:spacing w:after="0" w:line="115" w:lineRule="exact"/>
        <w:rPr>
          <w:sz w:val="20"/>
          <w:szCs w:val="20"/>
          <w:color w:val="auto"/>
        </w:rPr>
      </w:pPr>
    </w:p>
    <w:p>
      <w:pPr>
        <w:ind w:left="680" w:hanging="372"/>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Company’s closing price on the Nasdaq market at the grant date.</w:t>
      </w:r>
    </w:p>
    <w:p>
      <w:pPr>
        <w:spacing w:after="0" w:line="117" w:lineRule="exact"/>
        <w:rPr>
          <w:rFonts w:ascii="Times New Roman" w:cs="Times New Roman" w:eastAsia="Times New Roman" w:hAnsi="Times New Roman"/>
          <w:sz w:val="18"/>
          <w:szCs w:val="18"/>
          <w:color w:val="auto"/>
        </w:rPr>
      </w:pPr>
    </w:p>
    <w:p>
      <w:pPr>
        <w:ind w:left="680" w:hanging="372"/>
        <w:spacing w:after="0" w:line="257"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share-based awards are expected to be outstanding. The expected term for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is calculated using the simplified method, as the weighted-average vesting term of the award and the award’s contract period (generally 10 years). The Company utilizes this method due to lack of historical exercise data and the plain-vanilla nature of the Company’s service condition share-based awards. For the Company's performance condition stock option awards, the Company calculated the expected term by taking into consideration the options' contractual life, the timing of when milestones are expected to be achieved, and the expected exercise period by a holder from the vesting date until the contractual term (generally 10 years).</w:t>
      </w:r>
    </w:p>
    <w:p>
      <w:pPr>
        <w:spacing w:after="0" w:line="74" w:lineRule="exact"/>
        <w:rPr>
          <w:rFonts w:ascii="Times New Roman" w:cs="Times New Roman" w:eastAsia="Times New Roman" w:hAnsi="Times New Roman"/>
          <w:sz w:val="18"/>
          <w:szCs w:val="18"/>
          <w:color w:val="auto"/>
        </w:rPr>
      </w:pPr>
    </w:p>
    <w:p>
      <w:pPr>
        <w:ind w:left="680" w:right="120" w:hanging="372"/>
        <w:spacing w:after="0" w:line="267"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—Since the Company does not have sufficient trading history for its common stock, the expected volatility is estimated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average historical volatilities of common stock of comparable publicly traded biopharmaceutical companies over a period equal to the expected term of the stock option grants. The comparable biopharmaceutical companies are chosen based on their size, stage in the life cycle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86" w:lineRule="exact"/>
        <w:rPr>
          <w:sz w:val="20"/>
          <w:szCs w:val="20"/>
          <w:color w:val="auto"/>
        </w:rPr>
      </w:pPr>
    </w:p>
    <w:p>
      <w:pPr>
        <w:ind w:left="680"/>
        <w:spacing w:after="0" w:line="282" w:lineRule="auto"/>
        <w:rPr>
          <w:sz w:val="20"/>
          <w:szCs w:val="20"/>
          <w:color w:val="auto"/>
        </w:rPr>
      </w:pPr>
      <w:r>
        <w:rPr>
          <w:rFonts w:ascii="Times New Roman" w:cs="Times New Roman" w:eastAsia="Times New Roman" w:hAnsi="Times New Roman"/>
          <w:sz w:val="18"/>
          <w:szCs w:val="18"/>
          <w:color w:val="auto"/>
        </w:rPr>
        <w:t>or area of specialty. The Company will continue to apply this process until sufficient historical information regarding the volatility of the common stock price becomes available.</w:t>
      </w:r>
    </w:p>
    <w:p>
      <w:pPr>
        <w:spacing w:after="0" w:line="52" w:lineRule="exact"/>
        <w:rPr>
          <w:sz w:val="20"/>
          <w:szCs w:val="20"/>
          <w:color w:val="auto"/>
        </w:rPr>
      </w:pPr>
    </w:p>
    <w:p>
      <w:pPr>
        <w:ind w:left="680" w:hanging="372"/>
        <w:spacing w:after="0" w:line="284"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in effect at the time of grant for zero-coupon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with maturities approximately equal to the expected term of the awards.</w:t>
      </w:r>
    </w:p>
    <w:p>
      <w:pPr>
        <w:spacing w:after="0" w:line="50" w:lineRule="exact"/>
        <w:rPr>
          <w:rFonts w:ascii="Times New Roman" w:cs="Times New Roman" w:eastAsia="Times New Roman" w:hAnsi="Times New Roman"/>
          <w:sz w:val="18"/>
          <w:szCs w:val="18"/>
          <w:color w:val="auto"/>
        </w:rPr>
      </w:pPr>
    </w:p>
    <w:p>
      <w:pPr>
        <w:ind w:left="680" w:right="80" w:hanging="372"/>
        <w:spacing w:after="0" w:line="284"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Company has never paid dividends on the common stock and has no plans to pay dividends on its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the expected dividend yield use is zero.</w:t>
      </w:r>
    </w:p>
    <w:p>
      <w:pPr>
        <w:spacing w:after="0" w:line="52" w:lineRule="exact"/>
        <w:rPr>
          <w:sz w:val="20"/>
          <w:szCs w:val="20"/>
          <w:color w:val="auto"/>
        </w:rPr>
      </w:pPr>
    </w:p>
    <w:p>
      <w:pPr>
        <w:ind w:right="140" w:firstLine="562"/>
        <w:spacing w:after="0" w:line="256" w:lineRule="auto"/>
        <w:rPr>
          <w:sz w:val="20"/>
          <w:szCs w:val="20"/>
          <w:color w:val="auto"/>
        </w:rPr>
      </w:pPr>
      <w:r>
        <w:rPr>
          <w:rFonts w:ascii="Times New Roman" w:cs="Times New Roman" w:eastAsia="Times New Roman" w:hAnsi="Times New Roman"/>
          <w:sz w:val="18"/>
          <w:szCs w:val="18"/>
          <w:color w:val="auto"/>
        </w:rPr>
        <w:t>The fair value of restricted stock units granted is determined based on the stock price on the date of grant. The Company uses the straight-line attribution method for recognizing share-based compensation expense for awards with service condition. The Company recognizes share-based compensation expense for awards with performance conditions when it is probable that the condition will be met, and the award will vest. The Company recognizes forfeitures by reducing the expense in the same period the forfeitures occur. The Company classifies share-based compensation expense in the statements of operations in the same manner in which the award recipients’ payroll costs are classified or in which the award recipients’ service payments are classified.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Income taxes are accounted for using the asset-and-liability method. Deferred tax 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as income in the period that includes the enactment date. Changes in deferred tax assets and liabilities are recorded in the provision for income taxes.</w:t>
      </w:r>
    </w:p>
    <w:p>
      <w:pPr>
        <w:spacing w:after="0" w:line="79" w:lineRule="exact"/>
        <w:rPr>
          <w:sz w:val="20"/>
          <w:szCs w:val="20"/>
          <w:color w:val="auto"/>
        </w:rPr>
      </w:pPr>
    </w:p>
    <w:p>
      <w:pPr>
        <w:ind w:right="100" w:firstLine="562"/>
        <w:spacing w:after="0" w:line="256"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Valuation allowances are provided, if based upon the weight of available evidence, it is more likely than not that some or all of the deferred tax assets will not be realized.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79" w:lineRule="exact"/>
        <w:rPr>
          <w:sz w:val="20"/>
          <w:szCs w:val="20"/>
          <w:color w:val="auto"/>
        </w:rPr>
      </w:pPr>
    </w:p>
    <w:p>
      <w:pPr>
        <w:ind w:right="80" w:firstLine="562"/>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in which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likely to be realized upon ultimate settlement with the related tax authority.</w:t>
      </w:r>
    </w:p>
    <w:p>
      <w:pPr>
        <w:spacing w:after="0" w:line="72" w:lineRule="exact"/>
        <w:rPr>
          <w:sz w:val="20"/>
          <w:szCs w:val="20"/>
          <w:color w:val="auto"/>
        </w:rPr>
      </w:pPr>
    </w:p>
    <w:p>
      <w:pPr>
        <w:ind w:right="100" w:firstLine="562"/>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related to uncertain tax positions. These reserves are based on a determination of whether and how much of a tax benefit taken by the Company in its filings or positions is more likely than not to be realized following resolution of any potential contingencies related to the tax benefit. Potential interest related to the underpayment of income taxes will be classified as a component of income tax expense and any related penalties will be classified as income tax expense.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140" w:firstLine="562"/>
        <w:spacing w:after="0" w:line="256" w:lineRule="auto"/>
        <w:rPr>
          <w:sz w:val="20"/>
          <w:szCs w:val="20"/>
          <w:color w:val="auto"/>
        </w:rPr>
      </w:pPr>
      <w:r>
        <w:rPr>
          <w:rFonts w:ascii="Times New Roman" w:cs="Times New Roman" w:eastAsia="Times New Roman" w:hAnsi="Times New Roman"/>
          <w:sz w:val="18"/>
          <w:szCs w:val="18"/>
          <w:color w:val="auto"/>
        </w:rPr>
        <w:t>The Company calculates basic and diluted net loss per share in conformity with the two-class method required for participating securities. Under the two-class method, basic net loss per share is computed by dividing the net loss by the weighted average number of common shares outstanding during the period, without consideration of potential dilutive securities. Diluted net loss per share is computed by dividing the net loss, after adjusting it for loss attributable to redeemable noncontrolling interest, in any, by the sum of the weighted average number of common stock shares outstanding during the period plus the dilutive effects of potentially dilutive securities outstanding during the period. Potentially dilutive securities include incentive shares, unvested restricted common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5" w:name="page156"/>
    <w:bookmarkEnd w:id="155"/>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shares and redeemable convertible preferred shares, prior to the IPO. Potentially dilutive securities include unvested restricted stock awards, unvested restricted stock units and stock options, after the IPO. For all periods presented, diluted net loss per share is the same as basic net loss per share since the effect of including potential common stock shares is anti-dilutive and incentive shares participation thresholds were not met.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right="200" w:firstLine="562"/>
        <w:spacing w:after="0" w:line="266" w:lineRule="auto"/>
        <w:rPr>
          <w:sz w:val="20"/>
          <w:szCs w:val="20"/>
          <w:color w:val="auto"/>
        </w:rPr>
      </w:pPr>
      <w:r>
        <w:rPr>
          <w:rFonts w:ascii="Times New Roman" w:cs="Times New Roman" w:eastAsia="Times New Roman" w:hAnsi="Times New Roman"/>
          <w:sz w:val="18"/>
          <w:szCs w:val="18"/>
          <w:color w:val="auto"/>
        </w:rPr>
        <w:t>Comprehensive loss represents all changes in stockholders' equity except those resulting from and distributions to stockholders. The Company’s unrealized gains and losses on available-for-sale securities represent the only component of other comprehensive loss that are excluded from the reported net loss and that are presented in the statements of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the transparency and decision usefulness of income tax disclosures by requiring disclosure of disaggregated income taxes paid, prescribes standard categories for the components of the effective tax rate reconciliation, and modifies other income tax-related disclosures. The ASU is effective for fiscal years beginning after December 15, 2024 and allows for adoption on a prospective basis, with a retrospective option. The Company is currently evaluating the effect of this update on its financial statement disclosures.</w:t>
      </w:r>
    </w:p>
    <w:p>
      <w:pPr>
        <w:spacing w:after="0" w:line="75"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disclosure, in the notes to financial statements, of specified information about certain costs and expenses at each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reporting period. The ASU is effective for fiscal years beginning after December 15, 2026 and allows for adoption on a prospective basis, with a retrospective option. Early adoption is permitted. The Company is currently evaluating the effect of this update on its financial statement disclosures.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260"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Segment Reporting (Topic 280) –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requires incremental disclosure of segment information on an interim and annual basis. This ASU is effective for public entities for fiscal years beginning after December 15, 2023, and interim periods within fiscal years beginning after December 15, 2024. Retrospective application to all prior periods presented in the financial statements is required for public entities. The Company adopted ASU 2023-07 on January 1, 2024, which resulted in additional disclosures of significant segment expenses and other segment items as well as incremental qualitative disclosures. See Note 13 "Segment Reporting" in the accompanying notes to the financial statements for further detail.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Recurring Fair Value Measurements</w:t>
      </w:r>
    </w:p>
    <w:p>
      <w:pPr>
        <w:spacing w:after="0" w:line="121"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instruments as of December 31, 2024 and 2023, which are measured at fair value on a recurring basis by level within the fair value hierarchy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10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0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311,487</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311,487</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183,375</w:t>
            </w:r>
          </w:p>
        </w:tc>
        <w:tc>
          <w:tcPr>
            <w:tcW w:w="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183,375</w:t>
            </w:r>
          </w:p>
        </w:tc>
        <w:tc>
          <w:tcPr>
            <w:tcW w:w="100" w:type="dxa"/>
            <w:vAlign w:val="bottom"/>
          </w:tcPr>
          <w:p>
            <w:pPr>
              <w:spacing w:after="0"/>
              <w:rPr>
                <w:sz w:val="18"/>
                <w:szCs w:val="18"/>
                <w:color w:val="auto"/>
              </w:rPr>
            </w:pPr>
          </w:p>
        </w:tc>
      </w:tr>
      <w:tr>
        <w:trPr>
          <w:trHeight w:val="25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494,862</w:t>
            </w:r>
          </w:p>
        </w:tc>
        <w:tc>
          <w:tcPr>
            <w:tcW w:w="128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511,590</w:t>
            </w:r>
          </w:p>
        </w:tc>
        <w:tc>
          <w:tcPr>
            <w:tcW w:w="100" w:type="dxa"/>
            <w:vAlign w:val="bottom"/>
            <w:shd w:val="clear" w:color="auto" w:fill="CFF0FC"/>
          </w:tcPr>
          <w:p>
            <w:pPr>
              <w:spacing w:after="0"/>
              <w:rPr>
                <w:sz w:val="21"/>
                <w:szCs w:val="21"/>
                <w:color w:val="auto"/>
              </w:rPr>
            </w:pPr>
          </w:p>
        </w:tc>
      </w:tr>
      <w:tr>
        <w:trPr>
          <w:trHeight w:val="845"/>
        </w:trPr>
        <w:tc>
          <w:tcPr>
            <w:tcW w:w="48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F-20</w:t>
            </w: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-1071245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-1053465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-1071245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-1053465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-1071245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-1053465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10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246,208</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309,410</w:t>
            </w:r>
          </w:p>
        </w:tc>
        <w:tc>
          <w:tcPr>
            <w:tcW w:w="128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-170815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Company's money market funds are classified as Level 1 because they are measured using observable inputs from active markets for identical assets.</w:t>
      </w:r>
    </w:p>
    <w:p>
      <w:pPr>
        <w:spacing w:after="0" w:line="54"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Company's U.S. treasury securities and U.S. government agency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assets or liabilities classified as Level 3 as of December 31, 2024 and 2023.</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categories during the periods presented.</w:t>
      </w:r>
    </w:p>
    <w:p>
      <w:pPr>
        <w:spacing w:after="0" w:line="11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estimated fair value of the Company's cash equivalents, available-for-sale securities classified as short-term investments, and associated unrealized gains and losses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4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104,838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108,210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4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spacing w:after="0"/>
              <w:rPr>
                <w:sz w:val="12"/>
                <w:szCs w:val="12"/>
                <w:color w:val="auto"/>
              </w:rPr>
            </w:pPr>
          </w:p>
        </w:tc>
        <w:tc>
          <w:tcPr>
            <w:tcW w:w="124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4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110,645</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135,554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135,554</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-2425065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-2425065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-2425065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-1722120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-1704975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-1722120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-1704975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-1722120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-1704975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-736600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-736600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-736600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maturities of our cash equivalents and available-for-sale securities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Mature in one year or less</w:t>
            </w:r>
          </w:p>
        </w:tc>
        <w:tc>
          <w:tcPr>
            <w:tcW w:w="3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511,505</w:t>
            </w:r>
          </w:p>
        </w:tc>
        <w:tc>
          <w:tcPr>
            <w:tcW w:w="28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511,505</w:t>
            </w:r>
          </w:p>
        </w:tc>
        <w:tc>
          <w:tcPr>
            <w:tcW w:w="2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511,590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3680" w:type="dxa"/>
            <w:vAlign w:val="bottom"/>
          </w:tcPr>
          <w:p>
            <w:pPr>
              <w:spacing w:after="0"/>
              <w:rPr>
                <w:sz w:val="24"/>
                <w:szCs w:val="24"/>
                <w:color w:val="auto"/>
              </w:rPr>
            </w:pPr>
          </w:p>
        </w:tc>
        <w:tc>
          <w:tcPr>
            <w:tcW w:w="342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F-21</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-1071245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-1053465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Mature in one year or less</w:t>
            </w: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356,404</w:t>
            </w:r>
          </w:p>
        </w:tc>
        <w:tc>
          <w:tcPr>
            <w:tcW w:w="28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356,404</w:t>
            </w:r>
          </w:p>
        </w:tc>
        <w:tc>
          <w:tcPr>
            <w:tcW w:w="2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356,413</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-25400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regularly reviews the changes to the rating of its securities and monitors the surrounding economic conditions to assess the risk of expected credit losses. As of December 31, 2024 and 2023, there were no securities that were in an unrealized loss position for more than 12 months. As of December 31, 2024 and 2023, the unrealized losses, if any, on the Company’s short-term investments were primarily caused by interest rate increases. The Company does not expect the issuers to settle any security at a price less than the amortized cost basis of the investment with the contractual cash flows of these investments guaranteed by the issuer. No allowance for credit losses has been recorded since it is not more-likely-than-not that the Company will be required to sell the investments before recovery of their amortized cost basis. Realized gains and losses were immaterial for the year ended December 31, 2024. There were no realized gains and losses for the year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Balance Sheet Items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98"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4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8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4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milestone payment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related expenses</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professional service expenses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3,758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2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00" w:type="dxa"/>
            <w:vAlign w:val="bottom"/>
          </w:tcPr>
          <w:p>
            <w:pPr>
              <w:spacing w:after="0"/>
              <w:rPr>
                <w:sz w:val="18"/>
                <w:szCs w:val="18"/>
                <w:color w:val="auto"/>
              </w:rPr>
            </w:pPr>
          </w:p>
        </w:tc>
        <w:tc>
          <w:tcPr>
            <w:tcW w:w="8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68,625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-1705610</wp:posOffset>
            </wp:positionV>
            <wp:extent cx="514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-1705610</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10"/>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with finite lives: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agreement milestone payment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PRV-related obligation payment</w:t>
            </w: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 gross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(1,470 )</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-453390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incurred amortization expense of $1.5 million for the year ended December 31,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aggregate amortization expense for amortizable finite-lived intangible assets as of December 31, 2024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80" w:type="dxa"/>
            <w:vAlign w:val="bottom"/>
          </w:tcPr>
          <w:p>
            <w:pPr>
              <w:spacing w:after="0"/>
              <w:rPr>
                <w:sz w:val="12"/>
                <w:szCs w:val="12"/>
                <w:color w:val="auto"/>
              </w:rPr>
            </w:pPr>
          </w:p>
        </w:tc>
        <w:tc>
          <w:tcPr>
            <w:tcW w:w="24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82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4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0"/>
        </w:trPr>
        <w:tc>
          <w:tcPr>
            <w:tcW w:w="8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FF0FC"/>
          </w:tcPr>
          <w:p>
            <w:pPr>
              <w:spacing w:after="0"/>
              <w:rPr>
                <w:sz w:val="18"/>
                <w:szCs w:val="18"/>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shd w:val="clear" w:color="auto" w:fill="CFF0FC"/>
          </w:tcPr>
          <w:p>
            <w:pPr>
              <w:spacing w:after="0"/>
              <w:rPr>
                <w:sz w:val="18"/>
                <w:szCs w:val="18"/>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future expected amortization expense</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Significant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asset purchase agreement</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December 16, 2019, a subsidiary of the Company entered into an asset purchase agreement, or the Takeda Asset Agreement, with Millennium Pharmaceuticals, Inc., a related party and an affiliate of Takeda Pharmaceutical Company Limited, or Takeda. Effective December 31, 2021, the subsidiary was merged with and into the Company, with the Company being the surviving corporation and assuming the subsidiary’s obligations under the Takeda Asset Agreement. Pursuant to the Takeda Asset Agreement, the Company purchased certain technology rights and know-how related to TAK-580 (which is now OJEMDA™ (tovorafenib)) that provides a new approach for treating patients with primary brain tumors or brain metastases of solid tumors. The Company also received clinical inventory supplies to use in the Company's research and development activities of such RAF-inhibitor and an assigned investigator clinical trial agreement. Takeda also assigned to the Company its exclusive license agreement, or the Viracta License Agreement, with Viracta. Takeda also granted the Company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the Company in the event Takeda does not achieve specified development milestones within the applicable timeframes set forth under the Takeda Asset Agreement. This grant back license to Takeda was terminated at the time of conversion of the company from an LLC to a corporation in connection with the Millennium Stock Exchange Agreement.</w:t>
      </w:r>
    </w:p>
    <w:p>
      <w:pPr>
        <w:spacing w:after="0" w:line="8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term of the Takeda Asset Agreement will expire on a country-by-country basis upon expiration of all assigned patent rights and all licensed patent rights in such country. Takeda may terminate the Takeda Asset Agreement prior to the Company's first commercial sale of a product if the Company ceases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the Company's bankruptcy. In the event of termination of the Takeda Asset Agreement by Takeda as a result of the Company's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consideration for the sale and assignment of assets and the grant of the license under the Takeda Asset Agreement, the Company made an upfront payment of $1.0 million in cash and issued 9,857,143 shares of Series A redeemable convertible preferred stock in the Company’s subsidiary in December 2019. The fair value of issued shares was estimated as $9.9 million, based on the price paid by other investors for issued shares in the Series A financing of the Company’s subsidiary. Based on the terms of the Millennium Stock Exchange Agreement, Takeda exchanged the 9,857,143 shares of Series A redeemable convertible preferred stock of the Company’s subsidiary for 6,470,382 shares of the Company's common stock upon the effectiveness of the conversion of the company from an LLC to a corporation, on May 26,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Viracta</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16, 2019, a subsidiary of the Company amended and restated the Viracta License Agreement that was assigned pursuant to the Takeda Asset Agreement. Effective December 31, 2021, the subsidiary was merged with and into the Company, with the Company being the surviving corporation and assuming the subsidiary’s obligations under Viracta License Agreement. Under the Viracta License Agreement, the Company received a worldwide exclusive license under specified patent rights and know-how to develop, use, manufacture, and commercialize products containing compounds binding the RAF protein family.</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term of the Viracta License Agreement will expire on a licensed product-by-licensed product and country-by-country basis upon the expiration of the Company’s obligation to pay royalties to Viracta with respect to such product in such country. The Company has the right to terminate the Viracta License Agreement with respect to any or all of the licensed products at will upon a specified notice period.</w:t>
      </w:r>
    </w:p>
    <w:p>
      <w:pPr>
        <w:spacing w:after="0" w:line="6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paid $2.0 million upfront in cash to Viracta, which was recorded as research and development expenses as the technology does not have an alternative future use.</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March 4, 2024, the Company entered into an amendment to the Viracta License Agreement. As part of the amendment, the Company made a one-time payment in March 2024 to Viracta of $5.0 million, which was recorded as research and development expenses during the year ended December 31, 2024, in exchange for reduced future payment obligations ranging from the mid-teens to the high single-digit percentage related to the future sale or use of the rare pediatric disease PRV received.</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the Company received a rare pediatric disease PRV from the FDA. The Company made a $9.0 million milestone payment to Viracta in May 2024 for the achievement of this milestone. The $9.0 million milestone was accounted for as a finite-lived intangible asset and will be amortized over the life of the underlying asset. Related amortization expense will be recorded as cost of product revenue in the Company’s statements of operations.</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May 29, 2024, the Company sold its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 and was capitalized as a finite-lived intangible asset, which will be amortized on a straight-line basis over its estimated useful life. The gross proceeds of $108.0 million were recorded as a gain from sale of priority review voucher in the accompanying statements of operations during the year ended December 31, 2024. As of December 31, 2024, the unamortized finite-lived intangible asset was $7.4 million. Related amortization expense will be recorded as cost of product revenue in the Company’s statements of operations.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December 3, 2024, Viracta assigned the Viracta License Agreement to XOMA (US) LLC, or XOMA, pursuant to a Royalty Purchase Agreement dated March 22, 2021, between Viracta and XOMA, whereby Viracta sold its right, title, and interest in and to the Viracta License Agreement to XOMA. The Company has agreed to the assignment and novation of the Viracta License Agreement to XOMA as successor party, now XOMA License Agreement. In connection with such assignment, the parties also agreed to assign all rights, title and interest in related intellectual property. No material terms of the XOMA License Agreement have been amended or modified in relation to the same.</w:t>
      </w:r>
    </w:p>
    <w:p>
      <w:pPr>
        <w:spacing w:after="0" w:line="75"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could be required to make additional milestone payments of up to $40.0 million upon achievement of specified development and regulatory milestones for each licensed product in two indications, with milestones payable for the second indication upon achievement of a specified milestone event being lower than milestones payable for the first indication. Commencing with the first commercial sale of OJEMDA in a country, the Company is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XOMA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Merck KGaA, Darmstadt, Germany</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February 10, 2021, a subsidiary of the Company entered into a license agreement, or the MRKDG License Agreement, with Merck KGaA, Darmstadt, Germany, a pharmaceutical corporation located in Darmstadt, Germany. Effective December 31, 2021, the subsidiary was merged with and into the Company, with the Company being the surviving corporation and assuming the subsidiary’s obligations under the MRKDG License Agreement.</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inventory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Under the MRKDG License Agreement, the Company has obligations to use commercially reasonable efforts to develop and commercialize at least two licensed products in at least two specified major market countries by the year 2029.</w:t>
      </w:r>
    </w:p>
    <w:p>
      <w:pPr>
        <w:spacing w:after="0" w:line="8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consideration for the rights granted under the MRKDG License Agreement and clinical supplies, the Company made an upfront payment of $8.0 million, which was recorded as research and development expenses, as the technology does not have an alternative future use and supplies are used for research activities. As of December 31, 2024, the Company could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Company discontinued its monotherapy substudy due to a limited duration of response in this rare patient population despite observing responses with a generally well tolerated therapy. In July 2024, the Company decided to close the program as the Company determined that the benefit/risk profile, as well as the market opportunity, did not justify the significant investment required to continue the trial despite observing some clinical responses.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Sprint Bioscience AB</w:t>
      </w:r>
    </w:p>
    <w:p>
      <w:pPr>
        <w:spacing w:after="0" w:line="121" w:lineRule="exact"/>
        <w:rPr>
          <w:sz w:val="20"/>
          <w:szCs w:val="20"/>
          <w:color w:val="auto"/>
        </w:rPr>
      </w:pPr>
    </w:p>
    <w:p>
      <w:pPr>
        <w:ind w:right="200" w:firstLine="464"/>
        <w:spacing w:after="0" w:line="261" w:lineRule="auto"/>
        <w:rPr>
          <w:sz w:val="20"/>
          <w:szCs w:val="20"/>
          <w:color w:val="auto"/>
        </w:rPr>
      </w:pPr>
      <w:r>
        <w:rPr>
          <w:rFonts w:ascii="Times New Roman" w:cs="Times New Roman" w:eastAsia="Times New Roman" w:hAnsi="Times New Roman"/>
          <w:sz w:val="18"/>
          <w:szCs w:val="18"/>
          <w:color w:val="auto"/>
        </w:rPr>
        <w:t>On August 15, 2023, the Company entered into a research collaboration and license agreement, or the Sprint License Agreement, with Sprint Bioscience AB, or Sprint, a Swedish corporation located in Huddinge, Sweden. Under the Sprint License Agreement, Sprint granted to the Company an exclusive, worldwide license, with the right to grant sublicenses through multiple tiers, to research, develop, and commercialize pharmaceutical products and to engage in research aimed at discovery, optimization and development an inhibitor targeting Vaccinia Related Kinase 1, or VRK1.</w:t>
      </w:r>
    </w:p>
    <w:p>
      <w:pPr>
        <w:spacing w:after="0" w:line="72" w:lineRule="exact"/>
        <w:rPr>
          <w:sz w:val="20"/>
          <w:szCs w:val="20"/>
          <w:color w:val="auto"/>
        </w:rPr>
      </w:pPr>
    </w:p>
    <w:p>
      <w:pPr>
        <w:jc w:val="both"/>
        <w:ind w:right="60" w:firstLine="464"/>
        <w:spacing w:after="0" w:line="266" w:lineRule="auto"/>
        <w:rPr>
          <w:sz w:val="20"/>
          <w:szCs w:val="20"/>
          <w:color w:val="auto"/>
        </w:rPr>
      </w:pPr>
      <w:r>
        <w:rPr>
          <w:rFonts w:ascii="Times New Roman" w:cs="Times New Roman" w:eastAsia="Times New Roman" w:hAnsi="Times New Roman"/>
          <w:sz w:val="18"/>
          <w:szCs w:val="18"/>
          <w:color w:val="auto"/>
        </w:rPr>
        <w:t>The term of the Sprint License Agreement will expire on a licensed product and country basis upon the expiration of the royalty term with respect to such licensed product and such country, unless terminated earlier. The Company has the right to terminate the Sprint License Agreement in its entirety, or on a licensed product-by-licensed product basis, at will upon a specified notice period.</w:t>
      </w:r>
    </w:p>
    <w:p>
      <w:pPr>
        <w:spacing w:after="0" w:line="68"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8"/>
          <w:szCs w:val="18"/>
          <w:color w:val="auto"/>
        </w:rPr>
        <w:t>The Company paid $3.0 million upfront in cash to Sprint, which was recorded as research and development expenses as the technology does not have an alternative future use. As of December 31, 2024, the Company could be required to make milestone payments of up to $309.0 million based upon achievement of specified development, regulatory, and commercial milestones for each licensed product, as well as tiered royalties ranging in the single-digit percentages on future net sales of licensed products, if any. Milestones and royalties are contingent upon future events and will be recorded when the milestones are achieved and when payments are due.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MabCare Therapeutics</w:t>
      </w:r>
    </w:p>
    <w:p>
      <w:pPr>
        <w:spacing w:after="0" w:line="121" w:lineRule="exact"/>
        <w:rPr>
          <w:sz w:val="20"/>
          <w:szCs w:val="20"/>
          <w:color w:val="auto"/>
        </w:rPr>
      </w:pPr>
    </w:p>
    <w:p>
      <w:pPr>
        <w:ind w:right="20" w:firstLine="464"/>
        <w:spacing w:after="0" w:line="255" w:lineRule="auto"/>
        <w:rPr>
          <w:sz w:val="20"/>
          <w:szCs w:val="20"/>
          <w:color w:val="auto"/>
        </w:rPr>
      </w:pPr>
      <w:r>
        <w:rPr>
          <w:rFonts w:ascii="Times New Roman" w:cs="Times New Roman" w:eastAsia="Times New Roman" w:hAnsi="Times New Roman"/>
          <w:sz w:val="18"/>
          <w:szCs w:val="18"/>
          <w:color w:val="auto"/>
        </w:rPr>
        <w:t>On June 17, 2024, the Company entered into a license agreement, or the MabCare License Agreement, with MabCare Therapeutics, or MabCare, a pharmaceutical corporation located in Shanghai, China. Under the MabCare License Agreement, MabCare granted to the Company an exclusive worldwide license, excluding Greater China, with the right to grant sublicenses through multiple tiers, under specified patent rights and know-how for the Company to develop, manufacture and commercialize DAY301 (formerly MTX-13), a novel Antibody Drug Conjugate, or ADC, targeting protein-tyrosine kinase 7, or PTK7. The Company will also receive clinical inventory supplies to use in its research and development activities. Under the MabCare License Agreement, the Company has obligations to use commercially reasonable efforts to develop, obtain regulatory approval for, and commercialize at least one licensed product in one indication in each of the United States, Japan, and three European countries.</w:t>
      </w:r>
    </w:p>
    <w:p>
      <w:pPr>
        <w:spacing w:after="0" w:line="81"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8"/>
          <w:szCs w:val="18"/>
          <w:color w:val="auto"/>
        </w:rPr>
        <w:t>The term of the MabCare License Agreement will expire in its entirety upon the expiration of the last to expire royalty term with respect to all licensed products in the Company's territory, unless terminated earlier. Following the expiration of the royalty term for a licensed product in a country, the license granted to the Company shall become non-exclusive, fully paid-up, royalty-free, perpetual, and irrevocable for such licensed product in such country. Upon the expiration of the term, the license granted to the Company shall become non-exclusive, transferable, sublicensable, fully paid, royalty free, perpetual, and irrevocable in its entirety.</w:t>
      </w:r>
    </w:p>
    <w:p>
      <w:pPr>
        <w:spacing w:after="0" w:line="75" w:lineRule="exact"/>
        <w:rPr>
          <w:sz w:val="20"/>
          <w:szCs w:val="20"/>
          <w:color w:val="auto"/>
        </w:rPr>
      </w:pPr>
    </w:p>
    <w:p>
      <w:pPr>
        <w:ind w:right="20" w:firstLine="464"/>
        <w:spacing w:after="0" w:line="255" w:lineRule="auto"/>
        <w:rPr>
          <w:sz w:val="20"/>
          <w:szCs w:val="20"/>
          <w:color w:val="auto"/>
        </w:rPr>
      </w:pPr>
      <w:r>
        <w:rPr>
          <w:rFonts w:ascii="Times New Roman" w:cs="Times New Roman" w:eastAsia="Times New Roman" w:hAnsi="Times New Roman"/>
          <w:sz w:val="18"/>
          <w:szCs w:val="18"/>
          <w:color w:val="auto"/>
        </w:rPr>
        <w:t>In consideration for the rights granted under the MabCare License Agreement, the Company made a $55.0 million upfront payment in July 2024. The upfront payment was recorded as research and development expenses, as the technology and supplies licensed do not have an alternative future use. As of December 31, 2024, the Company could be required to make additional payments of $1,152.0 million based upon the achievement of specified development, regulatory, and commercial success-based milestones plus low-to-mid single-digit royalties on net sales outside of Greater China. Milestones and royalties are contingent upon future events and will be recorded when the milestones are achieved and when payments are due. In January 2025, we cleared the first cohort (a single-patient accelerated titration cohort) in the Phase 1a portion of the DAY301 Phase 1a/b clinical trial. As of December 31, 2024, the Company accrued a milestone liability of $20.0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Ipsen Pharma SAS</w:t>
      </w:r>
    </w:p>
    <w:p>
      <w:pPr>
        <w:spacing w:after="0" w:line="121"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On July 23, 2024, the Company entered into the Ipsen License Agreement, pursuant to which, the Company licensed to Ipsen, on an exclusive basis, the right to commercialize tovorafenib in all territories outside the United States and agreed to provide certain research and development and manufacturing services. Ipsen shall have the right to grant sublicenses to third-parties.</w:t>
      </w:r>
    </w:p>
    <w:p>
      <w:pPr>
        <w:spacing w:after="0" w:line="68" w:lineRule="exact"/>
        <w:rPr>
          <w:sz w:val="20"/>
          <w:szCs w:val="20"/>
          <w:color w:val="auto"/>
        </w:rPr>
      </w:pPr>
    </w:p>
    <w:p>
      <w:pPr>
        <w:ind w:right="60" w:firstLine="464"/>
        <w:spacing w:after="0" w:line="258" w:lineRule="auto"/>
        <w:rPr>
          <w:sz w:val="20"/>
          <w:szCs w:val="20"/>
          <w:color w:val="auto"/>
        </w:rPr>
      </w:pPr>
      <w:r>
        <w:rPr>
          <w:rFonts w:ascii="Times New Roman" w:cs="Times New Roman" w:eastAsia="Times New Roman" w:hAnsi="Times New Roman"/>
          <w:sz w:val="18"/>
          <w:szCs w:val="18"/>
          <w:color w:val="auto"/>
        </w:rPr>
        <w:t>Under the terms of the Ipsen License Agreement, (i) Ipsen paid the Company an upfront license fee in the amount of $70.8 million and (ii) the Investor, a fully-owned United States affiliate of Ipsen, purchased 2,341,495 shares of the Company’s common stock in a private placement for $40.0 million, at a price per share representing a 17.0% premium to the VWAP of the Company’s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the Company and the Investor dated July 23, 2024.</w:t>
      </w:r>
    </w:p>
    <w:p>
      <w:pPr>
        <w:spacing w:after="0" w:line="75" w:lineRule="exact"/>
        <w:rPr>
          <w:sz w:val="20"/>
          <w:szCs w:val="20"/>
          <w:color w:val="auto"/>
        </w:rPr>
      </w:pPr>
    </w:p>
    <w:p>
      <w:pPr>
        <w:ind w:right="60" w:firstLine="464"/>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is also eligible to receive up to approximately $330.0 million based on exchange rates as of the reporting date in additional commercial launch and sales-based milestone payments, as well as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spacing w:after="0" w:line="75" w:lineRule="exact"/>
        <w:rPr>
          <w:sz w:val="20"/>
          <w:szCs w:val="20"/>
          <w:color w:val="auto"/>
        </w:rPr>
      </w:pPr>
    </w:p>
    <w:p>
      <w:pPr>
        <w:ind w:right="40" w:firstLine="464"/>
        <w:spacing w:after="0" w:line="256" w:lineRule="auto"/>
        <w:rPr>
          <w:sz w:val="20"/>
          <w:szCs w:val="20"/>
          <w:color w:val="auto"/>
        </w:rPr>
      </w:pPr>
      <w:r>
        <w:rPr>
          <w:rFonts w:ascii="Times New Roman" w:cs="Times New Roman" w:eastAsia="Times New Roman" w:hAnsi="Times New Roman"/>
          <w:sz w:val="18"/>
          <w:szCs w:val="18"/>
          <w:color w:val="auto"/>
        </w:rPr>
        <w:t>In addition, the Ipsen License Agreement provides that the Company will supply to Ipsen, and Ipsen will purchase from the Company, all required quantities of tovorafenib for all territories outside the United States in accordance with a supply agreement to be entered into by and between the Company and Ipsen, or the Ipsen Supply Agreement. The Company determined that the cost-plus rate to be charged for the supply of tovorafenib does not represent a material right. Ipsen has the right to request a manufacturing technology transfer of the then-current manufacturing process of tovorafenib under the Ipsen License Agreement, and such consent shall not be unreasonably withheld, such that upon completion of the manufacturing technology transfer, Ipsen or a third-party would be solely responsible for the manufacture of tovorafenib for all territories outside the United States.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86" w:lineRule="exact"/>
        <w:rPr>
          <w:sz w:val="20"/>
          <w:szCs w:val="20"/>
          <w:color w:val="auto"/>
        </w:rPr>
      </w:pPr>
    </w:p>
    <w:p>
      <w:pPr>
        <w:ind w:right="200" w:firstLine="464"/>
        <w:spacing w:after="0" w:line="258" w:lineRule="auto"/>
        <w:rPr>
          <w:sz w:val="20"/>
          <w:szCs w:val="20"/>
          <w:color w:val="auto"/>
        </w:rPr>
      </w:pPr>
      <w:r>
        <w:rPr>
          <w:rFonts w:ascii="Times New Roman" w:cs="Times New Roman" w:eastAsia="Times New Roman" w:hAnsi="Times New Roman"/>
          <w:sz w:val="18"/>
          <w:szCs w:val="18"/>
          <w:color w:val="auto"/>
        </w:rPr>
        <w:t>Following the two-year anniversary of July 23, 2024, the effective date of the Ipsen License Agreement, Ipsen may terminate the Ipsen License Agreement for convenience with six months’ prior written notice or for certain other specified reasons. The Company may terminate the Ipsen License Agreement if Ipsen or any of its affiliates challenge the validity of any patents controlled by the Company that are licensed under the Ipsen License Agreement. Both Ipsen and the Company may terminate the Ipsen License Agreement (i) for material breach by the other party and a failure to cure such breach within the time period specified in the Ipsen License Agreement or (ii) the other party’s bankruptcy event.</w:t>
      </w:r>
    </w:p>
    <w:p>
      <w:pPr>
        <w:spacing w:after="0" w:line="75" w:lineRule="exact"/>
        <w:rPr>
          <w:sz w:val="20"/>
          <w:szCs w:val="20"/>
          <w:color w:val="auto"/>
        </w:rPr>
      </w:pPr>
    </w:p>
    <w:p>
      <w:pPr>
        <w:ind w:right="20" w:firstLine="464"/>
        <w:spacing w:after="0" w:line="253" w:lineRule="auto"/>
        <w:rPr>
          <w:sz w:val="20"/>
          <w:szCs w:val="20"/>
          <w:color w:val="auto"/>
        </w:rPr>
      </w:pPr>
      <w:r>
        <w:rPr>
          <w:rFonts w:ascii="Times New Roman" w:cs="Times New Roman" w:eastAsia="Times New Roman" w:hAnsi="Times New Roman"/>
          <w:sz w:val="18"/>
          <w:szCs w:val="18"/>
          <w:color w:val="auto"/>
        </w:rPr>
        <w:t>The Company evaluated the Ipsen License Agreement under Accounting Standards Codification, or ASC, 606 and concluded that Ipsen represents a customer in the transaction. The Company identified two distinct performance obligations for licenses to intellectual property in the form of the exclusive license to commercialize tovorafenib outside the United States for both (i) relapsed or refractory and (ii) front-line pLGG; and three distinct research and development performance obligations related to tovorafenib for completion of (i) the pivotal Phase 2 relapsed or refractory pLGG trial, or FIREFLY-1, (ii) the pivotal Phase 3 front-line pLGG trial, or FIREFLY-2, and (iii) the European Union, or EU, companion diagnostic for pLGG. Both the FIREFLY-1 and FIREFLY-2 trials related to pLGG pertain to later-stage intellectual property and only involve validating the efficacy of tovorafenib with respect to each distinct designation and are not expected to significantly modify or customize the licensed intellectual property. The FIREFLY-1 and FIREFLY-2 trials, and EU companion diagnostic research and development services related to pLGG could be performed by a third-party. The Company determined that the promise of the manufacturing technology transfer is a customer option that does not represent a material right given the value of the services is not material and fulfillment of this promise is ancillary to the main transaction. Accordingly, the manufacturing technology transfer is not a performance obligation at the outset of the arrangement.</w:t>
      </w:r>
    </w:p>
    <w:p>
      <w:pPr>
        <w:spacing w:after="0" w:line="84" w:lineRule="exact"/>
        <w:rPr>
          <w:sz w:val="20"/>
          <w:szCs w:val="20"/>
          <w:color w:val="auto"/>
        </w:rPr>
      </w:pPr>
    </w:p>
    <w:p>
      <w:pPr>
        <w:ind w:firstLine="464"/>
        <w:spacing w:after="0" w:line="256" w:lineRule="auto"/>
        <w:rPr>
          <w:sz w:val="20"/>
          <w:szCs w:val="20"/>
          <w:color w:val="auto"/>
        </w:rPr>
      </w:pPr>
      <w:r>
        <w:rPr>
          <w:rFonts w:ascii="Times New Roman" w:cs="Times New Roman" w:eastAsia="Times New Roman" w:hAnsi="Times New Roman"/>
          <w:sz w:val="18"/>
          <w:szCs w:val="18"/>
          <w:color w:val="auto"/>
        </w:rPr>
        <w:t>Upon execution of the Ipsen License Agreement, the transaction price was determined to be $78.2 million, representing the aggregate of the upfront license fee of $70.8 million and the premium paid by Ipsen on its equity investment in the Company of $7.4 million (the excess of the value of the shares of the Company issued to Ipsen), representing additional consideration from Ipsen for the rights under the Ipsen License Agreement. Commercial launch milestones related to first commercial sale(s) in certain territories, sales-based milestones and royalties on net sales upon commercialization by Ipsen were excluded from the transaction price and will be recognized when the related sales occur as they were determined to predominantly relate to the intellectual property and, therefore, have been excluded from the transaction price in accordance with the sales-based royalty exception.</w:t>
      </w:r>
    </w:p>
    <w:p>
      <w:pPr>
        <w:spacing w:after="0" w:line="79" w:lineRule="exact"/>
        <w:rPr>
          <w:sz w:val="20"/>
          <w:szCs w:val="20"/>
          <w:color w:val="auto"/>
        </w:rPr>
      </w:pPr>
    </w:p>
    <w:p>
      <w:pPr>
        <w:ind w:firstLine="464"/>
        <w:spacing w:after="0" w:line="253" w:lineRule="auto"/>
        <w:rPr>
          <w:sz w:val="20"/>
          <w:szCs w:val="20"/>
          <w:color w:val="auto"/>
        </w:rPr>
      </w:pPr>
      <w:r>
        <w:rPr>
          <w:rFonts w:ascii="Times New Roman" w:cs="Times New Roman" w:eastAsia="Times New Roman" w:hAnsi="Times New Roman"/>
          <w:sz w:val="18"/>
          <w:szCs w:val="18"/>
          <w:color w:val="auto"/>
        </w:rPr>
        <w:t>The Company allocated the transaction price to the performance obligations based on their relative standalone selling price. The Company developed the estimated stand-alone selling price for each license using discounted cash flow models. In developing this estimate, the Company applied judgment in the determination of the assumptions relating to forecasted future revenues, the discount rate, and the probability of success. The stand-alone selling price for each of the research and development services was estimated based on the Company’s forecasted costs to be incurred to fulfill the obligations plus a reasonable margin. The portion of the transaction price allocable to the relapsed or refractory and front-line pLGG licenses to intellectual property was recognized as license revenue at the point in time in which Ipsen had the right to use the license/know-how, which occurred during the year ended December 31, 2024. The portion of the transaction price allocable to the relapsed or refractory, front-line and companion diagnostic research and development services performance obligations will be recognized over time as the services are delivered based on costs incurred relative to the total estimated cost to deliver the services. During the year ended December 31, 2024, $73.9 million of license revenue was recognized with $1.6 million and $3.2 million of the undelivered services included in current and non-current deferred revenue,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 w:firstLine="464"/>
        <w:spacing w:after="0" w:line="255" w:lineRule="auto"/>
        <w:rPr>
          <w:sz w:val="20"/>
          <w:szCs w:val="20"/>
          <w:color w:val="auto"/>
        </w:rPr>
      </w:pPr>
      <w:r>
        <w:rPr>
          <w:rFonts w:ascii="Times New Roman" w:cs="Times New Roman" w:eastAsia="Times New Roman" w:hAnsi="Times New Roman"/>
          <w:sz w:val="18"/>
          <w:szCs w:val="18"/>
          <w:color w:val="auto"/>
        </w:rPr>
        <w:t>The Company entered into a lease agreement for its corporate office facility in South San Francisco, California in March 2020. Such agreement was determined to be a lease, since the right to control the use of the identified asset was conveyed to the Company for a period of time in exchange for consideration. The Company can extend the lease term for an additional three years at market rates upon the notice of extension. The Company is obligated to pay monthly rent expense and its pro rata share of utilities, common area maintenance expenses, and property taxes. The landlord also provided an allowance of $10,000 for tenant improvements. The Company concluded that it is an operating lease. Common area expenses are a non-lease component and a variable consideration and included in operating expenses as incurred. The extension period has not been included in the determination of the Right of Use,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or ROU, asset or the lease liability for operating leases as the Company concluded that it is not reasonably certain that it would exercise this option. In October 2022, the Company terminated this lease agreement prior to its scheduled expiration in January 2023.</w:t>
      </w:r>
    </w:p>
    <w:p>
      <w:pPr>
        <w:spacing w:after="0" w:line="54" w:lineRule="exact"/>
        <w:rPr>
          <w:sz w:val="20"/>
          <w:szCs w:val="20"/>
          <w:color w:val="auto"/>
        </w:rPr>
      </w:pPr>
    </w:p>
    <w:p>
      <w:pPr>
        <w:ind w:right="100" w:firstLine="464"/>
        <w:spacing w:after="0" w:line="254" w:lineRule="auto"/>
        <w:rPr>
          <w:sz w:val="20"/>
          <w:szCs w:val="20"/>
          <w:color w:val="auto"/>
        </w:rPr>
      </w:pPr>
      <w:r>
        <w:rPr>
          <w:rFonts w:ascii="Times New Roman" w:cs="Times New Roman" w:eastAsia="Times New Roman" w:hAnsi="Times New Roman"/>
          <w:sz w:val="18"/>
          <w:szCs w:val="18"/>
          <w:color w:val="auto"/>
        </w:rPr>
        <w:t>In April 2022, the Company entered into a lease agreement for approximately 12,000 square feet of general use office space in Brisbane, California. Such agreement was determined to be a lease since the right to control the use of the identified asset was conveyed to the Company for a period of time in exchange for consideration. The term of the lease is 31 months and commenced in May 2022.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also an operating lease. The total payments for base rent over the term of the lease is approximately $1.1 million. Upon execution of the agreement, the Company paid a security deposit of approximately $40,000 classified as deposits and other long-term assets on the balance sheet.</w:t>
      </w:r>
    </w:p>
    <w:p>
      <w:pPr>
        <w:spacing w:after="0" w:line="84" w:lineRule="exact"/>
        <w:rPr>
          <w:sz w:val="20"/>
          <w:szCs w:val="20"/>
          <w:color w:val="auto"/>
        </w:rPr>
      </w:pPr>
    </w:p>
    <w:p>
      <w:pPr>
        <w:ind w:right="100" w:firstLine="464"/>
        <w:spacing w:after="0" w:line="254" w:lineRule="auto"/>
        <w:rPr>
          <w:sz w:val="20"/>
          <w:szCs w:val="20"/>
          <w:color w:val="auto"/>
        </w:rPr>
      </w:pPr>
      <w:r>
        <w:rPr>
          <w:rFonts w:ascii="Times New Roman" w:cs="Times New Roman" w:eastAsia="Times New Roman" w:hAnsi="Times New Roman"/>
          <w:sz w:val="18"/>
          <w:szCs w:val="18"/>
          <w:color w:val="auto"/>
        </w:rPr>
        <w:t>In June 2024, the Company entered into a lease agreement for approximately 19,000 square feet of general use office space in Brisbane, California. Such agreement was determined to be a lease since the right to control the use of the identified asset was conveyed to the Company for a period of time in exchange for consideration. The term of the lease is approximately 7.4 years and commenced in August 2024.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also an operating lease. The total payments for base rent over the term of the lease is approximately $4.4 million. Upon execution of the agreement, the Company paid a security deposit of approximately $86,000 classified as deposits and other long-term assets on the condensed balance sheet.</w:t>
      </w:r>
    </w:p>
    <w:p>
      <w:pPr>
        <w:spacing w:after="0" w:line="84"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8"/>
          <w:szCs w:val="18"/>
          <w:color w:val="auto"/>
        </w:rPr>
        <w:t>The Company determined the lease incremental borrowing rate, or IBR, based on the information available at the applicable lease commencement date as the Company’s leases do not provide an implicit rate. The IBR is determined by using the rate of interest that the Company would pay to borrow on a collateralized basis an amount equal to the lease payments for a similar term and in a similar economic environment where the asset is located. As of December 31, 2024, the weighted-average remaining lease term and weighted-average discount rate were 7.0 years and 12.9%, respectively.</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lease does not require any contingent rental payments, impose financial restrictions, or contain any residual value guarantees.</w:t>
      </w:r>
    </w:p>
    <w:p>
      <w:pPr>
        <w:spacing w:after="0" w:line="117" w:lineRule="exact"/>
        <w:rPr>
          <w:sz w:val="20"/>
          <w:szCs w:val="20"/>
          <w:color w:val="auto"/>
        </w:rPr>
      </w:pPr>
    </w:p>
    <w:p>
      <w:pPr>
        <w:ind w:right="240" w:firstLine="464"/>
        <w:spacing w:after="0" w:line="261" w:lineRule="auto"/>
        <w:rPr>
          <w:sz w:val="20"/>
          <w:szCs w:val="20"/>
          <w:color w:val="auto"/>
        </w:rPr>
      </w:pPr>
      <w:r>
        <w:rPr>
          <w:rFonts w:ascii="Times New Roman" w:cs="Times New Roman" w:eastAsia="Times New Roman" w:hAnsi="Times New Roman"/>
          <w:sz w:val="18"/>
          <w:szCs w:val="18"/>
          <w:color w:val="auto"/>
        </w:rPr>
        <w:t>Lease expense of right-of-use assets is recognized on a straight-line basis over the applicable lease term. Lease expense was $0.6 million, $0.4 million, and $0.5 million for the years ended December 31, 2024, 2023 and 2022, respectively. Cash paid for amounts included in the measurement of operating lease liabilities was $0.5 million, $0.5 million, and $0.4 million for the years ended December 31, 2024, 2023 and 2022, respectively. Variable payments expensed during the years ended December 31, 2024, 2023, and 2022 were immaterial.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future lease obligations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18"/>
                <w:szCs w:val="18"/>
                <w:color w:val="auto"/>
              </w:rPr>
            </w:pPr>
          </w:p>
        </w:tc>
      </w:tr>
      <w:tr>
        <w:trPr>
          <w:trHeight w:val="210"/>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6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(1,776 )</w:t>
            </w:r>
          </w:p>
        </w:tc>
      </w:tr>
      <w:tr>
        <w:trPr>
          <w:trHeight w:val="210"/>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46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4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50"/>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46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844"/>
        </w:trPr>
        <w:tc>
          <w:tcPr>
            <w:tcW w:w="4500" w:type="dxa"/>
            <w:vAlign w:val="bottom"/>
          </w:tcPr>
          <w:p>
            <w:pPr>
              <w:spacing w:after="0"/>
              <w:rPr>
                <w:sz w:val="24"/>
                <w:szCs w:val="24"/>
                <w:color w:val="auto"/>
              </w:rPr>
            </w:pPr>
          </w:p>
        </w:tc>
        <w:tc>
          <w:tcPr>
            <w:tcW w:w="5420" w:type="dxa"/>
            <w:vAlign w:val="bottom"/>
            <w:gridSpan w:val="2"/>
          </w:tcPr>
          <w:p>
            <w:pPr>
              <w:jc w:val="right"/>
              <w:ind w:right="4030"/>
              <w:spacing w:after="0"/>
              <w:rPr>
                <w:sz w:val="20"/>
                <w:szCs w:val="20"/>
                <w:color w:val="auto"/>
              </w:rPr>
            </w:pPr>
            <w:r>
              <w:rPr>
                <w:rFonts w:ascii="Times New Roman" w:cs="Times New Roman" w:eastAsia="Times New Roman" w:hAnsi="Times New Roman"/>
                <w:sz w:val="18"/>
                <w:szCs w:val="18"/>
                <w:color w:val="auto"/>
              </w:rPr>
              <w:t>F-28</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Agreements</w:t>
      </w:r>
    </w:p>
    <w:p>
      <w:pPr>
        <w:spacing w:after="0" w:line="121" w:lineRule="exact"/>
        <w:rPr>
          <w:sz w:val="20"/>
          <w:szCs w:val="20"/>
          <w:color w:val="auto"/>
        </w:rPr>
      </w:pPr>
    </w:p>
    <w:p>
      <w:pPr>
        <w:ind w:right="100" w:firstLine="46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clinical research organizations, contract manufacturing organizations,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December 31, 2024 and 2023, there were no amounts accrued related to termination and cancellation charges as these are not probable.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right="180" w:firstLine="469"/>
        <w:spacing w:after="0" w:line="282" w:lineRule="auto"/>
        <w:rPr>
          <w:sz w:val="20"/>
          <w:szCs w:val="20"/>
          <w:color w:val="auto"/>
        </w:rPr>
      </w:pPr>
      <w:r>
        <w:rPr>
          <w:rFonts w:ascii="Times New Roman" w:cs="Times New Roman" w:eastAsia="Times New Roman" w:hAnsi="Times New Roman"/>
          <w:sz w:val="18"/>
          <w:szCs w:val="18"/>
          <w:color w:val="auto"/>
        </w:rPr>
        <w:t>The Company entered into license agreements, as disclosed in Note 5, with various parties under which it is obligated to make contingent and non-contingent payments.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To support product needs for OJEMDA, the Company has entered into a manufacturing and supply agreement with Quotient Sciences - Philadelphia, LLC in July 2023 that requires the Company to meet minimum purchase obligations on an annual basis. The remaining amount of future minimum purchase obligations under the manufacturing and supply agreement over the next five years is approximately $14.1 million, in aggregate, as of December 31, 2024. For the year ended December 31, 2024, the Company has made $3.0 million of purchases under the purchase obligation.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540" w:firstLine="469"/>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party to litigation, claims and assessments arising in the ordinary course of business. The Company accrues liabilities for such matters when it is probable that future expenditures will be made and such expenditures can be reasonably estimated. The Company is not subject to any material legal proceedings, and to the best of its knowledge, no material legal proceedings are currently pending or threatened.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60" w:firstLine="46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December 31, 2024 and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Pursuant to its certificate of incorporation, the Company is authorized to issue 500.0 million shares of common stock at a par value of $0.0001 per share. As of December 31, 2024, 101,116,162 shares of common stock were issued and outstanding.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reserved shares of common stock for future issuances as follows:</w:t>
      </w:r>
    </w:p>
    <w:tbl>
      <w:tblPr>
        <w:tblLayout w:type="fixed"/>
        <w:tblInd w:w="0" w:type="dxa"/>
        <w:tblCellMar>
          <w:top w:w="0" w:type="dxa"/>
          <w:left w:w="0" w:type="dxa"/>
          <w:bottom w:w="0" w:type="dxa"/>
          <w:right w:w="0" w:type="dxa"/>
        </w:tblCellMar>
      </w:tblPr>
      <w:tr>
        <w:trPr>
          <w:trHeight w:val="151"/>
        </w:trPr>
        <w:tc>
          <w:tcPr>
            <w:tcW w:w="44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120" w:type="dxa"/>
            <w:vAlign w:val="bottom"/>
            <w:gridSpan w:val="2"/>
          </w:tcPr>
          <w:p>
            <w:pPr>
              <w:ind w:left="108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6720" w:type="dxa"/>
            <w:vAlign w:val="bottom"/>
            <w:gridSpan w:val="2"/>
          </w:tcPr>
          <w:p>
            <w:pPr>
              <w:jc w:val="right"/>
              <w:ind w:right="1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3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12,127,435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available for future grants</w:t>
            </w:r>
          </w:p>
        </w:tc>
        <w:tc>
          <w:tcPr>
            <w:tcW w:w="6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3,482,006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available for ESPP</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2,421,745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6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Pre-funded warrants</w:t>
            </w:r>
          </w:p>
        </w:tc>
        <w:tc>
          <w:tcPr>
            <w:tcW w:w="3700" w:type="dxa"/>
            <w:vAlign w:val="bottom"/>
          </w:tcPr>
          <w:p>
            <w:pPr>
              <w:spacing w:after="0"/>
              <w:rPr>
                <w:sz w:val="18"/>
                <w:szCs w:val="18"/>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tcBorders>
              <w:bottom w:val="single" w:sz="8" w:color="CFF0FC"/>
            </w:tcBorders>
            <w:shd w:val="clear" w:color="auto" w:fill="CFF0FC"/>
          </w:tcPr>
          <w:p>
            <w:pPr>
              <w:spacing w:after="0"/>
              <w:rPr>
                <w:sz w:val="21"/>
                <w:szCs w:val="21"/>
                <w:color w:val="auto"/>
              </w:rPr>
            </w:pPr>
          </w:p>
        </w:tc>
        <w:tc>
          <w:tcPr>
            <w:tcW w:w="3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21,322,714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4420" w:type="dxa"/>
            <w:vAlign w:val="bottom"/>
          </w:tcPr>
          <w:p>
            <w:pPr>
              <w:spacing w:after="0"/>
              <w:rPr>
                <w:sz w:val="24"/>
                <w:szCs w:val="24"/>
                <w:color w:val="auto"/>
              </w:rPr>
            </w:pPr>
          </w:p>
        </w:tc>
        <w:tc>
          <w:tcPr>
            <w:tcW w:w="68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F-29</w:t>
            </w:r>
          </w:p>
        </w:tc>
        <w:tc>
          <w:tcPr>
            <w:tcW w:w="0" w:type="dxa"/>
            <w:vAlign w:val="bottom"/>
          </w:tcPr>
          <w:p>
            <w:pPr>
              <w:spacing w:after="0"/>
              <w:rPr>
                <w:sz w:val="1"/>
                <w:szCs w:val="1"/>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Private Placement</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 July 2024, the Company entered into a securities purchase agreement with certain institutional and accredited investors, or the PIPE Investors, pursuant to which the Company agreed to sell and issue to the PIPE Investors in a private placement, or the Private Placement, an aggregate of (i) 10,551,718 shares of the Company’s common stock, par value $0.0001 per share, at a purchase price of $14.50 per share and (ii) 1,517,241 pre-funded warrants, or the Pre-Funded Warrants, to purchase up to an aggregate of 1,517,241 shares of the Company's common stock, or the Warrant Shares, at a purchase price of $14.4999 per Pre-Funded Warrant. Each Pre-Funded Warrant has an exercise price of $0.0001 per Warrant Share.</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at the option of each holder, in such holder’s discretion, by (i) payment in full in immediately available funds for the number of shares of common stock purchased upon such exercise or (ii) a cashless exercise, in which case the holder would receive upon such exercise the net number of shares of common stock determined according to the formula set forth in the Pre-Funded Warrant. A holder will not be entitled to exercise any portion of any Pre-Funded Warrant if the holder’s ownership of the Company’s common stock would exceed 9.99% following such exercise.</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the event of certain fundamental transactions, the holders of the Pre-Funded Warrants will be entitled to receive upon exercise of the Pre-Funded Warrants the kind of amounts of securities, cash or other property that the holders would have received had they exercised the Pre-Funded Warrants immediately prior to such fundamental transaction without regard to any limitations on exercise contained in the Pre-Funded Warrants. The Pre-Funded Warrants were classified as a component of permanent stockholders’ equity within additional paid-in capital and were recorded at the issuance date using a relative fair value allocation method.</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 The Company valued the Pre-Funded Warrants at issuance, concluding that their sales price approximated their fair value, and allocated net proceeds from the Private Placement proportionately to the Company's common stock and Pre-Funded Warrants.</w:t>
      </w:r>
    </w:p>
    <w:p>
      <w:pPr>
        <w:spacing w:after="0" w:line="7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Private Placement closed on August 1, 2024 and the Company received net proceeds of $166.5 million, after deducting placement agent fees, offering costs, and other expenses, of which $145.6 million was allocated to the common stock and $20.9 million was allocated to the Pre-Funded Warrants. The net proceeds were recorded as a component of additional paid-in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agreement with Ipsen Biopharmaceuticals, Inc.</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July 2024, the Company entered into the Ipsen License Agreement, pursuant to which, the Company licensed to Ipsen, on an exclusive basis, the right to commercialize tovorafenib in all territories outside the United States and agreed to provide certain research and development and manufacturing services. Under the terms of the Ipsen License Agreement, (i) Ipsen paid the Company an upfront license fee in the amount of $70.8 million and (ii) the Investor, a fully-owned United States affiliate of Ipsen, purchased 2,341,495 shares of the Company’s common stock in a private placement for $40.0 million, at a price per share representing a 17.0% premium to the VWAP of the Company’s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the Company and the Investor dated July 23, 2024. The Company valued the shares at issuance at $32.6 million, concluding that the Company's common stock price as traded on The Nasdaq Stock Market LLC on the closing date of the transaction approximated fair value, which was recorded as a component of additional paid-in capital.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2023 Follow-On Offering</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June 2023, the Company completed a follow-on offering and issued and sold 13,269,231 shares of common stock (including the exercise by the underwriters of their option to purchase an additional 1,730,769 shares 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8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common stock) at a price to the public of $13.00 per share for net proceeds of approximately $161.4 million, after deducting underwriting discounts, commissions, and offering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2022 Follow-On Offering</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June 2022, the Company completed a follow-on offering and issued and sold 11,500,000 shares of common stock (including the exercise by the underwriters of their option to purchase an additional 1,500,000 shares of common stock) at a price to the public of $15.00 per share for net proceeds of approximately $161.6 million, after deducting underwriting discounts, commissions, and offering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entered into an equity distribution agreement, or the Equity Distribution Agreement, with Piper Sandler &amp; Co. and JonesTrading Institutional Services LLC, as sales agents, relating to the issuance and sale of shares of the Company’s common stock for an aggregate offering price of up to $250.0 million under an at-the-market offering program, or the ATM. The Company has no obligation to sell any shares and could at any time suspend solicitations and offers under the ATM. No shares of the Company’s common stock have been sold under the ATM as of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Share-based compensation expense recorded in the accompanying statements of operations is as follows (in thousands):</w:t>
      </w:r>
    </w:p>
    <w:tbl>
      <w:tblPr>
        <w:tblLayout w:type="fixed"/>
        <w:tblInd w:w="0" w:type="dxa"/>
        <w:tblCellMar>
          <w:top w:w="0" w:type="dxa"/>
          <w:left w:w="0" w:type="dxa"/>
          <w:bottom w:w="0" w:type="dxa"/>
          <w:right w:w="0" w:type="dxa"/>
        </w:tblCellMar>
      </w:tblPr>
      <w:tr>
        <w:trPr>
          <w:trHeight w:val="151"/>
        </w:trPr>
        <w:tc>
          <w:tcPr>
            <w:tcW w:w="66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3"/>
                <w:szCs w:val="13"/>
                <w:color w:val="auto"/>
              </w:rPr>
            </w:pPr>
          </w:p>
        </w:tc>
        <w:tc>
          <w:tcPr>
            <w:tcW w:w="1820" w:type="dxa"/>
            <w:vAlign w:val="bottom"/>
            <w:gridSpan w:val="4"/>
          </w:tcPr>
          <w:p>
            <w:pPr>
              <w:ind w:left="100"/>
              <w:spacing w:after="0" w:line="151"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3"/>
                <w:szCs w:val="13"/>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16,710</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31,553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48,263</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Equity Inducement Plan</w:t>
      </w:r>
    </w:p>
    <w:p>
      <w:pPr>
        <w:spacing w:after="0" w:line="121" w:lineRule="exact"/>
        <w:rPr>
          <w:sz w:val="20"/>
          <w:szCs w:val="20"/>
          <w:color w:val="auto"/>
        </w:rPr>
      </w:pPr>
    </w:p>
    <w:p>
      <w:pPr>
        <w:ind w:right="340" w:firstLine="469"/>
        <w:spacing w:after="0" w:line="266" w:lineRule="auto"/>
        <w:rPr>
          <w:sz w:val="20"/>
          <w:szCs w:val="20"/>
          <w:color w:val="auto"/>
        </w:rPr>
      </w:pPr>
      <w:r>
        <w:rPr>
          <w:rFonts w:ascii="Times New Roman" w:cs="Times New Roman" w:eastAsia="Times New Roman" w:hAnsi="Times New Roman"/>
          <w:sz w:val="18"/>
          <w:szCs w:val="18"/>
          <w:color w:val="auto"/>
        </w:rPr>
        <w:t>In October 2022, the Company's board of directors approved the 2022 Equity Inducement Plan, or the 2022 Plan. The 2022 Plan provides for the grant of non-statutory stock options and restricted stock units. The number of shares of common stock reserved for issuance under the 2022 Plan is 1,000,000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share-based awards. The number of shares of common stock reserved for issuance under the 2021 Plan is equal to the sum of: (x) 6,369,000 shares of common stock; plus (y)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summary of stock option activity during the year ended December 31,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7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3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10,211,758</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2,915,362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(172,163 )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(827,522 )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12,127,435</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7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12,127,435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7,610,570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-290830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40" w:firstLine="464"/>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estimated fair value of the underlying common stock and the exercise price of outstanding, in-the-money options. The total intrinsic value of options exercised during the years ended December 31, 2024, 2023, and 2022 was $0.4 million, $0.6 million and $1.6 million, respectively.</w:t>
      </w:r>
    </w:p>
    <w:p>
      <w:pPr>
        <w:spacing w:after="0" w:line="68" w:lineRule="exact"/>
        <w:rPr>
          <w:sz w:val="20"/>
          <w:szCs w:val="20"/>
          <w:color w:val="auto"/>
        </w:rPr>
      </w:pPr>
    </w:p>
    <w:p>
      <w:pPr>
        <w:ind w:right="40" w:firstLine="464"/>
        <w:spacing w:after="0" w:line="266" w:lineRule="auto"/>
        <w:rPr>
          <w:sz w:val="20"/>
          <w:szCs w:val="20"/>
          <w:color w:val="auto"/>
        </w:rPr>
      </w:pPr>
      <w:r>
        <w:rPr>
          <w:rFonts w:ascii="Times New Roman" w:cs="Times New Roman" w:eastAsia="Times New Roman" w:hAnsi="Times New Roman"/>
          <w:sz w:val="18"/>
          <w:szCs w:val="18"/>
          <w:color w:val="auto"/>
        </w:rPr>
        <w:t>The total fair value of options that vested during the years ended December 31, 2024, 2023, and 2022 were $33.3 million, $29.2 million and $23.1 million, respectively. The weighted-average grant date fair value of options granted during the years ended December 31, 2024, 2023, and 2022 were $9.22 per share, $13.14 per share, and $10.03 per share, respectively.</w:t>
      </w:r>
    </w:p>
    <w:p>
      <w:pPr>
        <w:spacing w:after="0" w:line="68" w:lineRule="exact"/>
        <w:rPr>
          <w:sz w:val="20"/>
          <w:szCs w:val="20"/>
          <w:color w:val="auto"/>
        </w:rPr>
      </w:pPr>
    </w:p>
    <w:p>
      <w:pPr>
        <w:ind w:right="280" w:firstLine="464"/>
        <w:spacing w:after="0" w:line="282" w:lineRule="auto"/>
        <w:rPr>
          <w:sz w:val="20"/>
          <w:szCs w:val="20"/>
          <w:color w:val="auto"/>
        </w:rPr>
      </w:pPr>
      <w:r>
        <w:rPr>
          <w:rFonts w:ascii="Times New Roman" w:cs="Times New Roman" w:eastAsia="Times New Roman" w:hAnsi="Times New Roman"/>
          <w:sz w:val="18"/>
          <w:szCs w:val="18"/>
          <w:color w:val="auto"/>
        </w:rPr>
        <w:t>Unrecognized share-based compensation for stock options as of December 31, 2024 was $45.9 million, which is expected to be recognized over a weighted-average period of 2.1 years.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stock option awards granted with the following assumptions:</w:t>
      </w:r>
    </w:p>
    <w:p>
      <w:pPr>
        <w:spacing w:after="0" w:line="11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204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tcBorders>
              <w:bottom w:val="single" w:sz="8" w:color="auto"/>
            </w:tcBorders>
            <w:gridSpan w:val="2"/>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460" w:type="dxa"/>
            <w:vAlign w:val="bottom"/>
            <w:tcBorders>
              <w:bottom w:val="single" w:sz="8" w:color="auto"/>
            </w:tcBorders>
            <w:gridSpan w:val="2"/>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- 6.74</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- 6.33</w:t>
            </w: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- 70.57%</w:t>
            </w:r>
          </w:p>
        </w:tc>
        <w:tc>
          <w:tcPr>
            <w:tcW w:w="4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- 81.98%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- 81.68%</w:t>
            </w:r>
          </w:p>
        </w:tc>
      </w:tr>
      <w:tr>
        <w:trPr>
          <w:trHeight w:val="21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- 4.47%</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- 4.37%</w:t>
            </w: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a summary of restricted stock units activity under the 2021 Plan during the year ended December 31,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8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1,031,545</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1,640,180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(680,963 )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(216,475 )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2024</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1,774,287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Unamortized share-based compensation for restricted stock units as of December 31, 2024 was $25.8 million, which is expected to be recognized over a weighted-average period of 2.7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a summary of the unvested common stock awards activity during the year ended December 31,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8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common stock as of December 31,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747,679</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(636,647 )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(28,751 )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common stock as of December 31, 2024</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82,281</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40" w:firstLine="464"/>
        <w:spacing w:after="0" w:line="282" w:lineRule="auto"/>
        <w:rPr>
          <w:sz w:val="20"/>
          <w:szCs w:val="20"/>
          <w:color w:val="auto"/>
        </w:rPr>
      </w:pPr>
      <w:r>
        <w:rPr>
          <w:rFonts w:ascii="Times New Roman" w:cs="Times New Roman" w:eastAsia="Times New Roman" w:hAnsi="Times New Roman"/>
          <w:sz w:val="18"/>
          <w:szCs w:val="18"/>
          <w:color w:val="auto"/>
        </w:rPr>
        <w:t>Unamortized share-based compensation for restricted stock awards as of December 31, 2024 was $0.5 million, which is expected to be recognized over a weighted-average period of 0.2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right="180" w:firstLine="464"/>
        <w:spacing w:after="0" w:line="255" w:lineRule="auto"/>
        <w:rPr>
          <w:sz w:val="20"/>
          <w:szCs w:val="20"/>
          <w:color w:val="auto"/>
        </w:rPr>
      </w:pPr>
      <w:r>
        <w:rPr>
          <w:rFonts w:ascii="Times New Roman" w:cs="Times New Roman" w:eastAsia="Times New Roman" w:hAnsi="Times New Roman"/>
          <w:sz w:val="18"/>
          <w:szCs w:val="18"/>
          <w:color w:val="auto"/>
        </w:rPr>
        <w:t>In May 2021, the board of directors adopted and the stockholders approved the 2021 Employee Stock Purchase Plan, or the ESPP, which became effective on May 26, 2021. A total of 603,000 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w:t>
      </w:r>
    </w:p>
    <w:p>
      <w:pPr>
        <w:spacing w:after="0" w:line="3" w:lineRule="exact"/>
        <w:rPr>
          <w:sz w:val="20"/>
          <w:szCs w:val="20"/>
          <w:color w:val="auto"/>
        </w:rPr>
      </w:pPr>
    </w:p>
    <w:p>
      <w:pPr>
        <w:ind w:right="180" w:firstLine="8"/>
        <w:spacing w:after="0" w:line="253" w:lineRule="auto"/>
        <w:tabs>
          <w:tab w:leader="none" w:pos="2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outstanding shares of common stock of the Company (on an as converted basis outstanding on the immediately preceding December 31 (rounded down to the nearest whole share)) and (b) an amount determined by the board of directors. 407,629 shares have been issued under the ESPP as of December 31, 2024. The Company recognized $0.8 million, $0.8 million, and $0.5 million of compensation expense related to the ESPP plan for the years ended December 31, 2024, 2023, and 2022,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after the Conversion is calculated as follows (in thousands except share and per share amounts):</w:t>
      </w: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gridSpan w:val="3"/>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26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210"/>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(95,496 )</w:t>
            </w:r>
          </w:p>
        </w:tc>
        <w:tc>
          <w:tcPr>
            <w:tcW w:w="42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(188,917 )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(142,181 )</w:t>
            </w: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(1.02 )</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(2.17 )</w:t>
            </w:r>
          </w:p>
        </w:tc>
      </w:tr>
      <w:tr>
        <w:trPr>
          <w:trHeight w:val="198"/>
        </w:trPr>
        <w:tc>
          <w:tcPr>
            <w:tcW w:w="52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 computing net</w:t>
            </w:r>
          </w:p>
        </w:tc>
        <w:tc>
          <w:tcPr>
            <w:tcW w:w="4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93,234,195</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79,773,004</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65,466,773</w:t>
            </w:r>
          </w:p>
        </w:tc>
        <w:tc>
          <w:tcPr>
            <w:tcW w:w="12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-671830</wp:posOffset>
            </wp:positionV>
            <wp:extent cx="93980" cy="1365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5744210</wp:posOffset>
            </wp:positionH>
            <wp:positionV relativeFrom="paragraph">
              <wp:posOffset>-671830</wp:posOffset>
            </wp:positionV>
            <wp:extent cx="93980" cy="1365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-671830</wp:posOffset>
            </wp:positionV>
            <wp:extent cx="102870" cy="1365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1">
                      <a:extLst>
                        <a:ext uri="{28A0092B-C50C-407E-A947-70E740481C1C}"/>
                      </a:extLst>
                    </a:blip>
                    <a:srcRect/>
                    <a:stretch>
                      <a:fillRect/>
                    </a:stretch>
                  </pic:blipFill>
                  <pic:spPr bwMode="auto">
                    <a:xfrm>
                      <a:off x="0" y="0"/>
                      <a:ext cx="102870" cy="136525"/>
                    </a:xfrm>
                    <a:prstGeom prst="rect">
                      <a:avLst/>
                    </a:prstGeom>
                    <a:noFill/>
                  </pic:spPr>
                </pic:pic>
              </a:graphicData>
            </a:graphic>
          </wp:anchor>
        </w:drawing>
      </w:r>
    </w:p>
    <w:p>
      <w:pPr>
        <w:spacing w:after="0" w:line="83"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loss per share, as their effect is anti-dilutive:</w:t>
      </w:r>
    </w:p>
    <w:tbl>
      <w:tblPr>
        <w:tblLayout w:type="fixed"/>
        <w:tblInd w:w="0" w:type="dxa"/>
        <w:tblCellMar>
          <w:top w:w="0" w:type="dxa"/>
          <w:left w:w="0" w:type="dxa"/>
          <w:bottom w:w="0" w:type="dxa"/>
          <w:right w:w="0" w:type="dxa"/>
        </w:tblCellMar>
      </w:tblPr>
      <w:tr>
        <w:trPr>
          <w:trHeight w:val="156"/>
        </w:trPr>
        <w:tc>
          <w:tcPr>
            <w:tcW w:w="7680" w:type="dxa"/>
            <w:vAlign w:val="bottom"/>
          </w:tcPr>
          <w:p>
            <w:pPr>
              <w:spacing w:after="0"/>
              <w:rPr>
                <w:sz w:val="13"/>
                <w:szCs w:val="13"/>
                <w:color w:val="auto"/>
              </w:rPr>
            </w:pPr>
          </w:p>
        </w:tc>
        <w:tc>
          <w:tcPr>
            <w:tcW w:w="2420" w:type="dxa"/>
            <w:vAlign w:val="bottom"/>
            <w:gridSpan w:val="4"/>
          </w:tcPr>
          <w:p>
            <w:pPr>
              <w:ind w:left="1120"/>
              <w:spacing w:after="0" w:line="155"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68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12,127,435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10,068,258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common shares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747,679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1,774,287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984,920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113,296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104,700</w:t>
            </w:r>
          </w:p>
        </w:tc>
        <w:tc>
          <w:tcPr>
            <w:tcW w:w="10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14,097,299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11,905,557</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-826770</wp:posOffset>
            </wp:positionV>
            <wp:extent cx="93980" cy="1365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2">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-826770</wp:posOffset>
            </wp:positionV>
            <wp:extent cx="93980" cy="1365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3">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740" w:firstLine="464"/>
        <w:spacing w:after="0" w:line="282" w:lineRule="auto"/>
        <w:rPr>
          <w:sz w:val="20"/>
          <w:szCs w:val="20"/>
          <w:color w:val="auto"/>
        </w:rPr>
      </w:pPr>
      <w:r>
        <w:rPr>
          <w:rFonts w:ascii="Times New Roman" w:cs="Times New Roman" w:eastAsia="Times New Roman" w:hAnsi="Times New Roman"/>
          <w:sz w:val="18"/>
          <w:szCs w:val="18"/>
          <w:color w:val="auto"/>
        </w:rPr>
        <w:t>All pre-tax losses have been incurred in the United States. The total tax expense is comprised of current U.S. federal income tax expense of approximately $1.9 million and current U.S. state and local income tax expense of approximately $5.2 million.</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effective tax rate of the Company’s provision (benefit) for income taxes differs from the federal statutory rate as follows:</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640" w:type="dxa"/>
            <w:vAlign w:val="bottom"/>
            <w:tcBorders>
              <w:bottom w:val="single" w:sz="8" w:color="auto"/>
            </w:tcBorders>
            <w:gridSpan w:val="7"/>
          </w:tcPr>
          <w:p>
            <w:pPr>
              <w:ind w:lef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9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State tax</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28.9 %</w:t>
            </w:r>
          </w:p>
        </w:tc>
        <w:tc>
          <w:tcPr>
            <w:tcW w:w="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0.6 %</w:t>
            </w: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Credits</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19.3 %</w:t>
            </w:r>
          </w:p>
        </w:tc>
        <w:tc>
          <w:tcPr>
            <w:tcW w:w="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(68.5 )%</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(21.5 )%</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(22.6 )%</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shd w:val="clear" w:color="auto" w:fill="CFF0FC"/>
          </w:tcPr>
          <w:p>
            <w:pPr>
              <w:spacing w:after="0"/>
              <w:rPr>
                <w:sz w:val="18"/>
                <w:szCs w:val="18"/>
                <w:color w:val="auto"/>
              </w:rPr>
            </w:pPr>
          </w:p>
        </w:tc>
        <w:tc>
          <w:tcPr>
            <w:tcW w:w="1420" w:type="dxa"/>
            <w:vAlign w:val="bottom"/>
            <w:gridSpan w:val="4"/>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tcPr>
          <w:p>
            <w:pPr>
              <w:spacing w:after="0"/>
              <w:rPr>
                <w:sz w:val="18"/>
                <w:szCs w:val="18"/>
                <w:color w:val="auto"/>
              </w:rPr>
            </w:pPr>
          </w:p>
        </w:tc>
        <w:tc>
          <w:tcPr>
            <w:tcW w:w="142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-153670</wp:posOffset>
            </wp:positionV>
            <wp:extent cx="15430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-153670</wp:posOffset>
            </wp:positionV>
            <wp:extent cx="15430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-153670</wp:posOffset>
            </wp:positionV>
            <wp:extent cx="15430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83" w:lineRule="exact"/>
        <w:rPr>
          <w:sz w:val="20"/>
          <w:szCs w:val="20"/>
          <w:color w:val="auto"/>
        </w:rPr>
      </w:pPr>
    </w:p>
    <w:p>
      <w:pPr>
        <w:ind w:right="240" w:firstLine="464"/>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effects of temporary differences between the carrying amounts of assets and liabilities for financial reporting purposes and the amounts used for income tax purposes. The principal components of the Company’s deferred tax assets and liabilities consisted of the following (in thousands):</w:t>
      </w:r>
    </w:p>
    <w:p>
      <w:pPr>
        <w:spacing w:after="0" w:line="75"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34,577</w:t>
            </w:r>
          </w:p>
        </w:tc>
        <w:tc>
          <w:tcPr>
            <w:tcW w:w="2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38,973</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Capitalized R&amp;D Section 174 Expense</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63,487</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34,938</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 basis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24,206</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tcPr>
          <w:p>
            <w:pPr>
              <w:spacing w:after="0"/>
              <w:rPr>
                <w:sz w:val="18"/>
                <w:szCs w:val="18"/>
                <w:color w:val="auto"/>
              </w:rPr>
            </w:pPr>
          </w:p>
        </w:tc>
      </w:tr>
      <w:tr>
        <w:trPr>
          <w:trHeight w:val="216"/>
        </w:trPr>
        <w:tc>
          <w:tcPr>
            <w:tcW w:w="62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157,186</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94,455</w:t>
            </w:r>
          </w:p>
        </w:tc>
        <w:tc>
          <w:tcPr>
            <w:tcW w:w="100" w:type="dxa"/>
            <w:vAlign w:val="bottom"/>
          </w:tcPr>
          <w:p>
            <w:pPr>
              <w:spacing w:after="0"/>
              <w:rPr>
                <w:sz w:val="18"/>
                <w:szCs w:val="18"/>
                <w:color w:val="auto"/>
              </w:rPr>
            </w:pP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(1,729 )</w:t>
            </w:r>
          </w:p>
        </w:tc>
        <w:tc>
          <w:tcPr>
            <w:tcW w:w="4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(155,457 )</w:t>
            </w:r>
          </w:p>
        </w:tc>
        <w:tc>
          <w:tcPr>
            <w:tcW w:w="4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(94,380 )</w:t>
            </w:r>
          </w:p>
        </w:tc>
      </w:tr>
      <w:tr>
        <w:trPr>
          <w:trHeight w:val="250"/>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5427345</wp:posOffset>
            </wp:positionH>
            <wp:positionV relativeFrom="paragraph">
              <wp:posOffset>-1683385</wp:posOffset>
            </wp:positionV>
            <wp:extent cx="85725"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0">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-1683385</wp:posOffset>
            </wp:positionV>
            <wp:extent cx="85090"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1">
                      <a:extLst>
                        <a:ext uri="{28A0092B-C50C-407E-A947-70E740481C1C}"/>
                      </a:extLst>
                    </a:blip>
                    <a:srcRect/>
                    <a:stretch>
                      <a:fillRect/>
                    </a:stretch>
                  </pic:blipFill>
                  <pic:spPr bwMode="auto">
                    <a:xfrm>
                      <a:off x="0" y="0"/>
                      <a:ext cx="85090" cy="13716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-599440</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-599440</wp:posOffset>
            </wp:positionV>
            <wp:extent cx="596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596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596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860" w:firstLine="464"/>
        <w:spacing w:after="0" w:line="257"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2024, 2023 and 2022 were as follows (in thousands):</w:t>
      </w: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20" w:type="dxa"/>
            <w:vAlign w:val="bottom"/>
            <w:gridSpan w:val="4"/>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6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as of beginning of year</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94,380</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30,016</w:t>
            </w:r>
          </w:p>
        </w:tc>
        <w:tc>
          <w:tcPr>
            <w:tcW w:w="100" w:type="dxa"/>
            <w:vAlign w:val="bottom"/>
          </w:tcPr>
          <w:p>
            <w:pPr>
              <w:spacing w:after="0"/>
              <w:rPr>
                <w:sz w:val="18"/>
                <w:szCs w:val="18"/>
                <w:color w:val="auto"/>
              </w:rPr>
            </w:pP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155,457</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94,380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-569595</wp:posOffset>
            </wp:positionV>
            <wp:extent cx="93980" cy="1365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8">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-569595</wp:posOffset>
            </wp:positionV>
            <wp:extent cx="93980" cy="1365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-569595</wp:posOffset>
            </wp:positionV>
            <wp:extent cx="93980" cy="1365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The Company has not generated taxable income since inception with the exception of the year ended December 31, 2024. Due to its history of losses, expected future losses and lack of other positive evidence, the Company determined that it is more likely than not that its net deferred tax assets will not be realized, and therefore, the net deferred tax assets are fully offset by a valuation allowance at December 31, 2024, 2023, and 2022. The Company increased the valuation allowance by $61.1 million, $40.6 million, and $30.0 million for the years ended December 31, 2024, 2023, and 2022, respectively.</w:t>
      </w:r>
    </w:p>
    <w:p>
      <w:pPr>
        <w:spacing w:after="0" w:line="72" w:lineRule="exact"/>
        <w:rPr>
          <w:sz w:val="20"/>
          <w:szCs w:val="20"/>
          <w:color w:val="auto"/>
        </w:rPr>
      </w:pPr>
    </w:p>
    <w:p>
      <w:pPr>
        <w:jc w:val="both"/>
        <w:ind w:right="200" w:firstLine="46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federal net operating loss carryforwards, or NOLs, of $93.6 million that do not expire and federal tax credits of $25.3 million available to offset tax liabilities that begin to expire in 2038. The Company also has gross state NOLs of $169.6 million and state tax credits of $2.9 million which are available to offset state tax liabilities. The state NOLs begin to expire in 2038 and the state tax credits do not expire.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86" w:lineRule="exact"/>
        <w:rPr>
          <w:sz w:val="20"/>
          <w:szCs w:val="20"/>
          <w:color w:val="auto"/>
        </w:rPr>
      </w:pPr>
    </w:p>
    <w:p>
      <w:pPr>
        <w:ind w:right="160" w:firstLine="469"/>
        <w:spacing w:after="0" w:line="273" w:lineRule="auto"/>
        <w:rPr>
          <w:sz w:val="20"/>
          <w:szCs w:val="20"/>
          <w:color w:val="auto"/>
        </w:rPr>
      </w:pPr>
      <w:r>
        <w:rPr>
          <w:rFonts w:ascii="Times New Roman" w:cs="Times New Roman" w:eastAsia="Times New Roman" w:hAnsi="Times New Roman"/>
          <w:sz w:val="17"/>
          <w:szCs w:val="17"/>
          <w:color w:val="auto"/>
        </w:rPr>
        <w:t>During the year ended December 31, 2024, the Company completed a Section 382 study to determine whether an ownership change per the provisions of Section 382 of the Internal Revenue Code, as well as similar state provisions, has occurred. The Company’s current year utilization of net operating losses and income tax credits is not impacted by the provisions of Section 382 or 383. Utilization of its net operating loss and income tax credit carryforwards may be subject to an annual limitation due to ownership changes that may have occurred or that could occur in the future. These ownership changes may limit the amount of the net operating loss and income tax credit carryover that can be utilized annually to offset future taxable income. In general, an “ownership change” as defined by Section 382 of the Internal Revenue Code results from a transaction or series of transactions over a three-year period resulting in an ownership change of more than 50 percentage points of the outstanding shares of a company by certain stockholders.</w:t>
      </w:r>
    </w:p>
    <w:p>
      <w:pPr>
        <w:spacing w:after="0" w:line="63" w:lineRule="exact"/>
        <w:rPr>
          <w:sz w:val="20"/>
          <w:szCs w:val="20"/>
          <w:color w:val="auto"/>
        </w:rPr>
      </w:pPr>
    </w:p>
    <w:p>
      <w:pPr>
        <w:ind w:right="80" w:firstLine="469"/>
        <w:spacing w:after="0" w:line="266" w:lineRule="auto"/>
        <w:rPr>
          <w:sz w:val="20"/>
          <w:szCs w:val="20"/>
          <w:color w:val="auto"/>
        </w:rPr>
      </w:pPr>
      <w:r>
        <w:rPr>
          <w:rFonts w:ascii="Times New Roman" w:cs="Times New Roman" w:eastAsia="Times New Roman" w:hAnsi="Times New Roman"/>
          <w:sz w:val="18"/>
          <w:szCs w:val="18"/>
          <w:color w:val="auto"/>
        </w:rPr>
        <w:t>In accordance with the Tax Cuts and Jobs Act of 2017, Research and Experimental, or R&amp;E, expenses under Internal Revenue Code Section 174 are required to be capitalized beginning in 2022. R&amp;E expenses are required to be amortized over a period of 5 years for domestic expenses and 15 years for foreign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8"/>
          <w:szCs w:val="18"/>
          <w:color w:val="auto"/>
        </w:rPr>
        <w:t>In accordance with authoritative guidance,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reconciles the beginning and ending amount of unrecognized tax benefits (in thousands):</w:t>
      </w:r>
    </w:p>
    <w:p>
      <w:pPr>
        <w:spacing w:after="0" w:line="124"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2,634</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based on tax positions related to prior year</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2,305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Reductions based on tax positions related to prior year</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(802 )</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(248 )</w:t>
            </w:r>
          </w:p>
        </w:tc>
      </w:tr>
      <w:tr>
        <w:trPr>
          <w:trHeight w:val="216"/>
        </w:trPr>
        <w:tc>
          <w:tcPr>
            <w:tcW w:w="5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Reductions based on tax positions related to current year</w:t>
            </w:r>
          </w:p>
        </w:tc>
        <w:tc>
          <w:tcPr>
            <w:tcW w:w="7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6,372</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-980440</wp:posOffset>
            </wp:positionV>
            <wp:extent cx="85725" cy="1371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8">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-980440</wp:posOffset>
            </wp:positionV>
            <wp:extent cx="85725" cy="1371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9">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-980440</wp:posOffset>
            </wp:positionV>
            <wp:extent cx="85725" cy="1371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0">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603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032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120" w:firstLine="469"/>
        <w:spacing w:after="0" w:line="261" w:lineRule="auto"/>
        <w:rPr>
          <w:sz w:val="20"/>
          <w:szCs w:val="20"/>
          <w:color w:val="auto"/>
        </w:rPr>
      </w:pPr>
      <w:r>
        <w:rPr>
          <w:rFonts w:ascii="Times New Roman" w:cs="Times New Roman" w:eastAsia="Times New Roman" w:hAnsi="Times New Roman"/>
          <w:sz w:val="18"/>
          <w:szCs w:val="18"/>
          <w:color w:val="auto"/>
        </w:rPr>
        <w:t>The entire amount of the unrecognized tax benefits would not impact the Company’s effective tax rate if recognized. The Company has elected to include interest and penalties as a component of tax expense. During the years ended December 31, 2024, 2023 and 2022,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72" w:lineRule="exact"/>
        <w:rPr>
          <w:sz w:val="20"/>
          <w:szCs w:val="20"/>
          <w:color w:val="auto"/>
        </w:rPr>
      </w:pPr>
    </w:p>
    <w:p>
      <w:pPr>
        <w:ind w:right="160" w:firstLine="469"/>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California and other state tax jurisdictions. The federal and state income tax returns from December 31, 2018 to December 31, 2023 remain subject to examination.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Defined Contribution Plan</w:t>
      </w:r>
    </w:p>
    <w:p>
      <w:pPr>
        <w:spacing w:after="0" w:line="121"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8"/>
          <w:szCs w:val="18"/>
          <w:color w:val="auto"/>
        </w:rPr>
        <w:t>The Company maintains an employee savings plan pursuant to Section 401(k) of the Internal Revenue Code. All employees are eligible to participate provided that they meet the requirements of the plan. For the year ended December 31, 2024, 2023, and 2022, the Company made matching contributions of $1.7 million, $1.3 million, and $0.8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21" w:lineRule="exact"/>
        <w:rPr>
          <w:sz w:val="20"/>
          <w:szCs w:val="20"/>
          <w:color w:val="auto"/>
        </w:rPr>
      </w:pPr>
    </w:p>
    <w:p>
      <w:pPr>
        <w:ind w:right="100" w:firstLine="469"/>
        <w:spacing w:after="0" w:line="266"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operating and one reportable segment, which includes all activities related to the identification, development and commercialization of medicines for childhood and adult diseases with equal intensity. The determination of a single operating segment is consistent with the consolidated financial information regularly provided to the Company’s chief operating decision maker,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CODM. The Company’s CODM is its Chief Executive Officer, who reviews and evaluates net loss for purposes of assessing performance, making operating decisions, allocating resources, and planning and forecasting for future periods. Our CODM does not evaluate the operating segment using asset or liability information. The operating segment derives all net product revenues from the sales of OJEMDA in the United States through contractual arrangements with its specialty pharmacy and specialty distributor customers. All the Company’s assets are located in the United States.</w:t>
      </w:r>
    </w:p>
    <w:p>
      <w:pPr>
        <w:spacing w:after="0" w:line="72" w:lineRule="exact"/>
        <w:rPr>
          <w:sz w:val="20"/>
          <w:szCs w:val="20"/>
          <w:color w:val="auto"/>
        </w:rPr>
      </w:pPr>
    </w:p>
    <w:p>
      <w:pPr>
        <w:ind w:right="580" w:firstLine="464"/>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net loss presented on the Company's Statements of Operations, see below for disaggregated amounts that comprise research and development expenses: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costs: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CRO, CMO and other third-party clinical trial costs (1)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71,294</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upfront payments and milestones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Internal costs: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49,353</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227,702</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ind w:left="5460" w:right="640" w:hanging="5452"/>
        <w:spacing w:after="0" w:line="783" w:lineRule="auto"/>
        <w:tabs>
          <w:tab w:leader="none" w:pos="2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third-party CROs, CMOs, and other third parties that conduct clinical activities on the Company's behalf. 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SUBLEASE</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THIS SUBLEASE (this “</w:t>
      </w:r>
      <w:r>
        <w:rPr>
          <w:rFonts w:ascii="Times New Roman" w:cs="Times New Roman" w:eastAsia="Times New Roman" w:hAnsi="Times New Roman"/>
          <w:sz w:val="20"/>
          <w:szCs w:val="20"/>
          <w:b w:val="1"/>
          <w:bCs w:val="1"/>
          <w:i w:val="1"/>
          <w:iCs w:val="1"/>
          <w:color w:val="auto"/>
        </w:rPr>
        <w:t>Sublease</w:t>
      </w:r>
      <w:r>
        <w:rPr>
          <w:rFonts w:ascii="Times New Roman" w:cs="Times New Roman" w:eastAsia="Times New Roman" w:hAnsi="Times New Roman"/>
          <w:sz w:val="20"/>
          <w:szCs w:val="20"/>
          <w:color w:val="auto"/>
        </w:rPr>
        <w:t>”) is dated for reference purposes as of June 26, 2024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and is made by and between Arcus Biosciences, Inc., a Delaware corporation (“</w:t>
      </w:r>
      <w:r>
        <w:rPr>
          <w:rFonts w:ascii="Times New Roman" w:cs="Times New Roman" w:eastAsia="Times New Roman" w:hAnsi="Times New Roman"/>
          <w:sz w:val="20"/>
          <w:szCs w:val="20"/>
          <w:b w:val="1"/>
          <w:bCs w:val="1"/>
          <w:i w:val="1"/>
          <w:iCs w:val="1"/>
          <w:color w:val="auto"/>
        </w:rPr>
        <w:t>Sublessor</w:t>
      </w:r>
      <w:r>
        <w:rPr>
          <w:rFonts w:ascii="Times New Roman" w:cs="Times New Roman" w:eastAsia="Times New Roman" w:hAnsi="Times New Roman"/>
          <w:sz w:val="20"/>
          <w:szCs w:val="20"/>
          <w:color w:val="auto"/>
        </w:rPr>
        <w:t>”), and Day One Biopharmaceuticals, Inc., a Delaware corporation (“</w:t>
      </w:r>
      <w:r>
        <w:rPr>
          <w:rFonts w:ascii="Times New Roman" w:cs="Times New Roman" w:eastAsia="Times New Roman" w:hAnsi="Times New Roman"/>
          <w:sz w:val="20"/>
          <w:szCs w:val="20"/>
          <w:b w:val="1"/>
          <w:bCs w:val="1"/>
          <w:i w:val="1"/>
          <w:iCs w:val="1"/>
          <w:color w:val="auto"/>
        </w:rPr>
        <w:t>Sublessee</w:t>
      </w:r>
      <w:r>
        <w:rPr>
          <w:rFonts w:ascii="Times New Roman" w:cs="Times New Roman" w:eastAsia="Times New Roman" w:hAnsi="Times New Roman"/>
          <w:sz w:val="20"/>
          <w:szCs w:val="20"/>
          <w:color w:val="auto"/>
        </w:rPr>
        <w:t>”). Sublessor and Sublessee hereby agree as follows:</w:t>
      </w:r>
    </w:p>
    <w:p>
      <w:pPr>
        <w:spacing w:after="0" w:line="169" w:lineRule="exact"/>
        <w:rPr>
          <w:sz w:val="20"/>
          <w:szCs w:val="20"/>
          <w:color w:val="auto"/>
        </w:rPr>
      </w:pPr>
    </w:p>
    <w:p>
      <w:pPr>
        <w:jc w:val="both"/>
        <w:ind w:firstLine="757"/>
        <w:spacing w:after="0" w:line="247" w:lineRule="auto"/>
        <w:tabs>
          <w:tab w:leader="none" w:pos="101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Recitals</w:t>
      </w:r>
      <w:r>
        <w:rPr>
          <w:rFonts w:ascii="Times New Roman" w:cs="Times New Roman" w:eastAsia="Times New Roman" w:hAnsi="Times New Roman"/>
          <w:sz w:val="20"/>
          <w:szCs w:val="20"/>
          <w:color w:val="auto"/>
        </w:rPr>
        <w:t>: This Sublease is made with reference to the fact that HCP LS Brisbane, LLC, as landlord (“</w:t>
      </w:r>
      <w:r>
        <w:rPr>
          <w:rFonts w:ascii="Times New Roman" w:cs="Times New Roman" w:eastAsia="Times New Roman" w:hAnsi="Times New Roman"/>
          <w:sz w:val="20"/>
          <w:szCs w:val="20"/>
          <w:b w:val="1"/>
          <w:bCs w:val="1"/>
          <w:i w:val="1"/>
          <w:iCs w:val="1"/>
          <w:color w:val="auto"/>
        </w:rPr>
        <w:t>Master Lessor</w:t>
      </w:r>
      <w:r>
        <w:rPr>
          <w:rFonts w:ascii="Times New Roman" w:cs="Times New Roman" w:eastAsia="Times New Roman" w:hAnsi="Times New Roman"/>
          <w:sz w:val="20"/>
          <w:szCs w:val="20"/>
          <w:color w:val="auto"/>
        </w:rPr>
        <w:t>”), and Sublessor, as tenant, entered into that certain Lease, dated as of December 30, 2020, as amended by that certain First Amendment to Lease Agreement (the “</w:t>
      </w:r>
      <w:r>
        <w:rPr>
          <w:rFonts w:ascii="Times New Roman" w:cs="Times New Roman" w:eastAsia="Times New Roman" w:hAnsi="Times New Roman"/>
          <w:sz w:val="20"/>
          <w:szCs w:val="20"/>
          <w:b w:val="1"/>
          <w:bCs w:val="1"/>
          <w:i w:val="1"/>
          <w:iCs w:val="1"/>
          <w:color w:val="auto"/>
        </w:rPr>
        <w:t>First Amendment</w:t>
      </w:r>
      <w:r>
        <w:rPr>
          <w:rFonts w:ascii="Times New Roman" w:cs="Times New Roman" w:eastAsia="Times New Roman" w:hAnsi="Times New Roman"/>
          <w:sz w:val="20"/>
          <w:szCs w:val="20"/>
          <w:color w:val="auto"/>
        </w:rPr>
        <w:t>”) dated as of November 30, 2022 (as amended, the “</w:t>
      </w:r>
      <w:r>
        <w:rPr>
          <w:rFonts w:ascii="Times New Roman" w:cs="Times New Roman" w:eastAsia="Times New Roman" w:hAnsi="Times New Roman"/>
          <w:sz w:val="20"/>
          <w:szCs w:val="20"/>
          <w:b w:val="1"/>
          <w:bCs w:val="1"/>
          <w:i w:val="1"/>
          <w:iCs w:val="1"/>
          <w:color w:val="auto"/>
        </w:rPr>
        <w:t>Master Lease</w:t>
      </w:r>
      <w:r>
        <w:rPr>
          <w:rFonts w:ascii="Times New Roman" w:cs="Times New Roman" w:eastAsia="Times New Roman" w:hAnsi="Times New Roman"/>
          <w:sz w:val="20"/>
          <w:szCs w:val="20"/>
          <w:color w:val="auto"/>
        </w:rPr>
        <w:t>”), with respect to premises consisting of approximately 109,237 rentable square feet of space, as part of that certain Building located at 1800 Sierra Point Parkway, Brisbane, California (the “</w:t>
      </w:r>
      <w:r>
        <w:rPr>
          <w:rFonts w:ascii="Times New Roman" w:cs="Times New Roman" w:eastAsia="Times New Roman" w:hAnsi="Times New Roman"/>
          <w:sz w:val="20"/>
          <w:szCs w:val="20"/>
          <w:b w:val="1"/>
          <w:bCs w:val="1"/>
          <w:i w:val="1"/>
          <w:iCs w:val="1"/>
          <w:color w:val="auto"/>
        </w:rPr>
        <w:t>Premises</w:t>
      </w:r>
      <w:r>
        <w:rPr>
          <w:rFonts w:ascii="Times New Roman" w:cs="Times New Roman" w:eastAsia="Times New Roman" w:hAnsi="Times New Roman"/>
          <w:sz w:val="20"/>
          <w:szCs w:val="20"/>
          <w:color w:val="auto"/>
        </w:rPr>
        <w:t xml:space="preserve">”). A copy of the Master Lease is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Subleased Premises</w:t>
      </w:r>
      <w:r>
        <w:rPr>
          <w:rFonts w:ascii="Times New Roman" w:cs="Times New Roman" w:eastAsia="Times New Roman" w:hAnsi="Times New Roman"/>
          <w:sz w:val="20"/>
          <w:szCs w:val="20"/>
          <w:color w:val="auto"/>
        </w:rPr>
        <w:t>: Sublessor hereby subleases to Sublessee, and Sublessee hereby subleases from Sublessor, a portion of the Premises consisting of approximately 18,657 rentable square feet of space located on the second floor of the Premises (hereinafter, the “</w:t>
      </w:r>
      <w:r>
        <w:rPr>
          <w:rFonts w:ascii="Times New Roman" w:cs="Times New Roman" w:eastAsia="Times New Roman" w:hAnsi="Times New Roman"/>
          <w:sz w:val="20"/>
          <w:szCs w:val="20"/>
          <w:b w:val="1"/>
          <w:bCs w:val="1"/>
          <w:i w:val="1"/>
          <w:iCs w:val="1"/>
          <w:color w:val="auto"/>
        </w:rPr>
        <w:t>Subleased Premises</w:t>
      </w:r>
      <w:r>
        <w:rPr>
          <w:rFonts w:ascii="Times New Roman" w:cs="Times New Roman" w:eastAsia="Times New Roman" w:hAnsi="Times New Roman"/>
          <w:sz w:val="20"/>
          <w:szCs w:val="20"/>
          <w:color w:val="auto"/>
        </w:rPr>
        <w:t xml:space="preserve">”). The Subleased Premises are more particularly depicted and described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Except to the extent that the square footage of the Premises is adjusted under the Master Lease, the square footage of the Subleased Premises shall be as set forth in this paragraph, notwithstanding any remeasurement. In connection with its use of the Subleased Premises, Sublessee shall also have the non-exclusive right to use the Common Areas (as defined in the Master Lease) and, subject to Sublessor’s reasonable rules and regulations, the portions of the Premises noted as “Shared Areas”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Shared Areas</w:t>
      </w:r>
      <w:r>
        <w:rPr>
          <w:rFonts w:ascii="Times New Roman" w:cs="Times New Roman" w:eastAsia="Times New Roman" w:hAnsi="Times New Roman"/>
          <w:sz w:val="20"/>
          <w:szCs w:val="20"/>
          <w:color w:val="auto"/>
        </w:rPr>
        <w:t>”), which such rules and regulations shall</w:t>
      </w:r>
    </w:p>
    <w:p>
      <w:pPr>
        <w:spacing w:after="0" w:line="5" w:lineRule="exact"/>
        <w:rPr>
          <w:rFonts w:ascii="Times New Roman" w:cs="Times New Roman" w:eastAsia="Times New Roman" w:hAnsi="Times New Roman"/>
          <w:sz w:val="20"/>
          <w:szCs w:val="20"/>
          <w:color w:val="auto"/>
        </w:rPr>
      </w:pPr>
    </w:p>
    <w:p>
      <w:pPr>
        <w:ind w:firstLine="8"/>
        <w:spacing w:after="0" w:line="246" w:lineRule="auto"/>
        <w:tabs>
          <w:tab w:leader="none" w:pos="27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enforced in a non-discriminatory manner, and (b) neither materially increase Sublessee’s obligations hereunder nor materially decrease Sublessee’s rights hereunder.</w:t>
      </w:r>
    </w:p>
    <w:p>
      <w:pPr>
        <w:spacing w:after="0" w:line="18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right="20" w:firstLine="1505"/>
        <w:spacing w:after="0" w:line="244" w:lineRule="auto"/>
        <w:tabs>
          <w:tab w:leader="none" w:pos="2036"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(the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 of this Sublease shall be for the period commencing on the earlier of (i) March 1, 2025 and (ii) the date Sublessee Substantially Completes (as defined below) its Initial Alterations (as defined below) (the “</w:t>
      </w:r>
      <w:r>
        <w:rPr>
          <w:rFonts w:ascii="Times New Roman" w:cs="Times New Roman" w:eastAsia="Times New Roman" w:hAnsi="Times New Roman"/>
          <w:sz w:val="20"/>
          <w:szCs w:val="20"/>
          <w:b w:val="1"/>
          <w:bCs w:val="1"/>
          <w:i w:val="1"/>
          <w:iCs w:val="1"/>
          <w:color w:val="auto"/>
        </w:rPr>
        <w:t>Commencement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and ending on January 3, 2032 (the “</w:t>
      </w:r>
      <w:r>
        <w:rPr>
          <w:rFonts w:ascii="Times New Roman" w:cs="Times New Roman" w:eastAsia="Times New Roman" w:hAnsi="Times New Roman"/>
          <w:sz w:val="20"/>
          <w:szCs w:val="20"/>
          <w:b w:val="1"/>
          <w:bCs w:val="1"/>
          <w:i w:val="1"/>
          <w:iCs w:val="1"/>
          <w:color w:val="auto"/>
        </w:rPr>
        <w:t>Expiration Date</w:t>
      </w:r>
      <w:r>
        <w:rPr>
          <w:rFonts w:ascii="Times New Roman" w:cs="Times New Roman" w:eastAsia="Times New Roman" w:hAnsi="Times New Roman"/>
          <w:sz w:val="20"/>
          <w:szCs w:val="20"/>
          <w:color w:val="auto"/>
        </w:rPr>
        <w:t>”), unless this Sublease is sooner terminated pursuant to its terms or the Master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Lease sooner terminates pursuant to its terms. Notwithstanding anything herein to the contrary, in the event that Sublessee Substantially Completes its Initial Alterations at any time prior to December 1, 2024, then, the Commencement Date shall automatically be deemed to occur on December 1, 2024 and Sublessee may not conduct business in the Subleased Premises until December 1, 2024. For the avoidance of doubt, the Subleased Premises shall be deemed delivered and early access provided by Sublessor to Sublessee when Sublessor provides Sublessee keys or other means of access thereto, subject to the terms of this Sublease.</w:t>
      </w:r>
    </w:p>
    <w:p>
      <w:pPr>
        <w:spacing w:after="0" w:line="185"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Early Possession</w:t>
      </w:r>
      <w:r>
        <w:rPr>
          <w:rFonts w:ascii="Times New Roman" w:cs="Times New Roman" w:eastAsia="Times New Roman" w:hAnsi="Times New Roman"/>
          <w:sz w:val="20"/>
          <w:szCs w:val="20"/>
          <w:color w:val="auto"/>
        </w:rPr>
        <w:t>. Sublessor shall permit Sublessee to enter the Subleased Premises commencing upon execution of this Sublease by Sublessor and Sublessee solely for the purpose of (i) planning construction of the Initial Alterations, (ii) conducting move-in coordination, (iii) constructing the Initial Alterations, and (iv) otherwise preparing the Subleased Premises for long-term occupancy (including, without limitation, installing its furniture, fixtures, and equipment), but, in any event, Sublessee shall not enter and occupy the Subleased Premises during such early possession period for the purpose of conducting business therein, provided (x) Master Lessor’s Consent (as hereafter defined) to this Sublease has been received, (y) Sublessee has delivered to Sublessor the Security Deposit (as hereafter defined) and the Prepaid Rent (as hereafter defined), and (z) Sublessee has delivered to Sublessor evidence of all insurance required to be carried by Sublessee under this Sublease. Such occupancy shall be subject to all of the provisions of this Sublease, except that Sublessee shall not be obligated to pay Base Rent, Direct Expenses (defined below) or utilities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Commencement Date, and such early possession period shall not advance the Expiration Date of this Sublease.</w:t>
      </w:r>
    </w:p>
    <w:p>
      <w:pPr>
        <w:spacing w:after="0" w:line="216" w:lineRule="exact"/>
        <w:rPr>
          <w:sz w:val="20"/>
          <w:szCs w:val="20"/>
          <w:color w:val="auto"/>
        </w:rPr>
      </w:pPr>
    </w:p>
    <w:p>
      <w:pPr>
        <w:ind w:left="1020" w:hanging="263"/>
        <w:spacing w:after="0"/>
        <w:tabs>
          <w:tab w:leader="none" w:pos="10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505"/>
        <w:spacing w:after="0" w:line="269" w:lineRule="auto"/>
        <w:tabs>
          <w:tab w:leader="none" w:pos="203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Rent</w:t>
      </w:r>
      <w:r>
        <w:rPr>
          <w:rFonts w:ascii="Times New Roman" w:cs="Times New Roman" w:eastAsia="Times New Roman" w:hAnsi="Times New Roman"/>
          <w:sz w:val="20"/>
          <w:szCs w:val="20"/>
          <w:color w:val="auto"/>
        </w:rPr>
        <w:t>. Sublessee shall pay to Sublessor as base rent for the Subleased Premises for each month during the Term the following amounts per month (“</w:t>
      </w:r>
      <w:r>
        <w:rPr>
          <w:rFonts w:ascii="Times New Roman" w:cs="Times New Roman" w:eastAsia="Times New Roman" w:hAnsi="Times New Roman"/>
          <w:sz w:val="20"/>
          <w:szCs w:val="20"/>
          <w:b w:val="1"/>
          <w:bCs w:val="1"/>
          <w:i w:val="1"/>
          <w:iCs w:val="1"/>
          <w:color w:val="auto"/>
        </w:rPr>
        <w:t>Base Rent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2260"/>
        <w:spacing w:after="0"/>
        <w:tabs>
          <w:tab w:leader="none" w:pos="3820" w:val="left"/>
        </w:tabs>
        <w:rPr>
          <w:sz w:val="20"/>
          <w:szCs w:val="20"/>
          <w:color w:val="auto"/>
        </w:rPr>
      </w:pPr>
      <w:r>
        <w:rPr>
          <w:rFonts w:ascii="Times New Roman" w:cs="Times New Roman" w:eastAsia="Times New Roman" w:hAnsi="Times New Roman"/>
          <w:sz w:val="20"/>
          <w:szCs w:val="20"/>
          <w:u w:val="single" w:color="auto"/>
          <w:color w:val="auto"/>
        </w:rPr>
        <w:t>Months</w:t>
      </w:r>
      <w:r>
        <w:rPr>
          <w:sz w:val="20"/>
          <w:szCs w:val="20"/>
          <w:color w:val="auto"/>
        </w:rPr>
        <w:tab/>
      </w:r>
      <w:r>
        <w:rPr>
          <w:rFonts w:ascii="Times New Roman" w:cs="Times New Roman" w:eastAsia="Times New Roman" w:hAnsi="Times New Roman"/>
          <w:sz w:val="20"/>
          <w:szCs w:val="20"/>
          <w:u w:val="single" w:color="auto"/>
          <w:color w:val="auto"/>
        </w:rPr>
        <w:t>Monthly Base Rent</w:t>
      </w:r>
    </w:p>
    <w:p>
      <w:pPr>
        <w:spacing w:after="0" w:line="216" w:lineRule="exact"/>
        <w:rPr>
          <w:sz w:val="20"/>
          <w:szCs w:val="20"/>
          <w:color w:val="auto"/>
        </w:rPr>
      </w:pPr>
    </w:p>
    <w:p>
      <w:pPr>
        <w:ind w:left="1900"/>
        <w:spacing w:after="0"/>
        <w:tabs>
          <w:tab w:leader="none" w:pos="346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0"/>
          <w:szCs w:val="20"/>
          <w:color w:val="auto"/>
        </w:rPr>
        <w:t>$69,963.75</w:t>
      </w:r>
    </w:p>
    <w:p>
      <w:pPr>
        <w:spacing w:after="0" w:line="216" w:lineRule="exact"/>
        <w:rPr>
          <w:sz w:val="20"/>
          <w:szCs w:val="20"/>
          <w:color w:val="auto"/>
        </w:rPr>
      </w:pPr>
    </w:p>
    <w:p>
      <w:pPr>
        <w:ind w:left="1900"/>
        <w:spacing w:after="0"/>
        <w:tabs>
          <w:tab w:leader="none" w:pos="3460" w:val="left"/>
        </w:tabs>
        <w:rPr>
          <w:sz w:val="20"/>
          <w:szCs w:val="20"/>
          <w:color w:val="auto"/>
        </w:rPr>
      </w:pPr>
      <w:r>
        <w:rPr>
          <w:rFonts w:ascii="Times New Roman" w:cs="Times New Roman" w:eastAsia="Times New Roman" w:hAnsi="Times New Roman"/>
          <w:sz w:val="20"/>
          <w:szCs w:val="20"/>
          <w:color w:val="auto"/>
        </w:rPr>
        <w:t>13-24*</w:t>
      </w:r>
      <w:r>
        <w:rPr>
          <w:sz w:val="20"/>
          <w:szCs w:val="20"/>
          <w:color w:val="auto"/>
        </w:rPr>
        <w:tab/>
      </w:r>
      <w:r>
        <w:rPr>
          <w:rFonts w:ascii="Times New Roman" w:cs="Times New Roman" w:eastAsia="Times New Roman" w:hAnsi="Times New Roman"/>
          <w:sz w:val="20"/>
          <w:szCs w:val="20"/>
          <w:color w:val="auto"/>
        </w:rPr>
        <w:t>$72,062.66</w:t>
      </w:r>
    </w:p>
    <w:p>
      <w:pPr>
        <w:spacing w:after="0" w:line="216" w:lineRule="exact"/>
        <w:rPr>
          <w:sz w:val="20"/>
          <w:szCs w:val="20"/>
          <w:color w:val="auto"/>
        </w:rPr>
      </w:pPr>
    </w:p>
    <w:p>
      <w:pPr>
        <w:ind w:left="1900"/>
        <w:spacing w:after="0"/>
        <w:tabs>
          <w:tab w:leader="none" w:pos="3460" w:val="left"/>
        </w:tabs>
        <w:rPr>
          <w:sz w:val="20"/>
          <w:szCs w:val="20"/>
          <w:color w:val="auto"/>
        </w:rPr>
      </w:pPr>
      <w:r>
        <w:rPr>
          <w:rFonts w:ascii="Times New Roman" w:cs="Times New Roman" w:eastAsia="Times New Roman" w:hAnsi="Times New Roman"/>
          <w:sz w:val="20"/>
          <w:szCs w:val="20"/>
          <w:color w:val="auto"/>
        </w:rPr>
        <w:t>25-36*</w:t>
      </w:r>
      <w:r>
        <w:rPr>
          <w:sz w:val="20"/>
          <w:szCs w:val="20"/>
          <w:color w:val="auto"/>
        </w:rPr>
        <w:tab/>
      </w:r>
      <w:r>
        <w:rPr>
          <w:rFonts w:ascii="Times New Roman" w:cs="Times New Roman" w:eastAsia="Times New Roman" w:hAnsi="Times New Roman"/>
          <w:sz w:val="20"/>
          <w:szCs w:val="20"/>
          <w:color w:val="auto"/>
        </w:rPr>
        <w:t>$74,224.54</w:t>
      </w:r>
    </w:p>
    <w:p>
      <w:pPr>
        <w:spacing w:after="0" w:line="216" w:lineRule="exact"/>
        <w:rPr>
          <w:sz w:val="20"/>
          <w:szCs w:val="20"/>
          <w:color w:val="auto"/>
        </w:rPr>
      </w:pPr>
    </w:p>
    <w:p>
      <w:pPr>
        <w:ind w:left="1900"/>
        <w:spacing w:after="0"/>
        <w:tabs>
          <w:tab w:leader="none" w:pos="3460" w:val="left"/>
        </w:tabs>
        <w:rPr>
          <w:sz w:val="20"/>
          <w:szCs w:val="20"/>
          <w:color w:val="auto"/>
        </w:rPr>
      </w:pPr>
      <w:r>
        <w:rPr>
          <w:rFonts w:ascii="Times New Roman" w:cs="Times New Roman" w:eastAsia="Times New Roman" w:hAnsi="Times New Roman"/>
          <w:sz w:val="20"/>
          <w:szCs w:val="20"/>
          <w:color w:val="auto"/>
        </w:rPr>
        <w:t>37-48*</w:t>
      </w:r>
      <w:r>
        <w:rPr>
          <w:sz w:val="20"/>
          <w:szCs w:val="20"/>
          <w:color w:val="auto"/>
        </w:rPr>
        <w:tab/>
      </w:r>
      <w:r>
        <w:rPr>
          <w:rFonts w:ascii="Times New Roman" w:cs="Times New Roman" w:eastAsia="Times New Roman" w:hAnsi="Times New Roman"/>
          <w:sz w:val="20"/>
          <w:szCs w:val="20"/>
          <w:color w:val="auto"/>
        </w:rPr>
        <w:t>$76,451.28</w:t>
      </w:r>
    </w:p>
    <w:p>
      <w:pPr>
        <w:spacing w:after="0" w:line="216" w:lineRule="exact"/>
        <w:rPr>
          <w:sz w:val="20"/>
          <w:szCs w:val="20"/>
          <w:color w:val="auto"/>
        </w:rPr>
      </w:pPr>
    </w:p>
    <w:p>
      <w:pPr>
        <w:ind w:left="1900"/>
        <w:spacing w:after="0"/>
        <w:tabs>
          <w:tab w:leader="none" w:pos="3460" w:val="left"/>
        </w:tabs>
        <w:rPr>
          <w:sz w:val="20"/>
          <w:szCs w:val="20"/>
          <w:color w:val="auto"/>
        </w:rPr>
      </w:pPr>
      <w:r>
        <w:rPr>
          <w:rFonts w:ascii="Times New Roman" w:cs="Times New Roman" w:eastAsia="Times New Roman" w:hAnsi="Times New Roman"/>
          <w:sz w:val="20"/>
          <w:szCs w:val="20"/>
          <w:color w:val="auto"/>
        </w:rPr>
        <w:t>49-60*</w:t>
      </w:r>
      <w:r>
        <w:rPr>
          <w:sz w:val="20"/>
          <w:szCs w:val="20"/>
          <w:color w:val="auto"/>
        </w:rPr>
        <w:tab/>
      </w:r>
      <w:r>
        <w:rPr>
          <w:rFonts w:ascii="Times New Roman" w:cs="Times New Roman" w:eastAsia="Times New Roman" w:hAnsi="Times New Roman"/>
          <w:sz w:val="20"/>
          <w:szCs w:val="20"/>
          <w:color w:val="auto"/>
        </w:rPr>
        <w:t>$78,744.82</w:t>
      </w:r>
    </w:p>
    <w:p>
      <w:pPr>
        <w:spacing w:after="0" w:line="216" w:lineRule="exact"/>
        <w:rPr>
          <w:sz w:val="20"/>
          <w:szCs w:val="20"/>
          <w:color w:val="auto"/>
        </w:rPr>
      </w:pPr>
    </w:p>
    <w:p>
      <w:pPr>
        <w:ind w:left="1900"/>
        <w:spacing w:after="0"/>
        <w:tabs>
          <w:tab w:leader="none" w:pos="3460" w:val="left"/>
        </w:tabs>
        <w:rPr>
          <w:sz w:val="20"/>
          <w:szCs w:val="20"/>
          <w:color w:val="auto"/>
        </w:rPr>
      </w:pPr>
      <w:r>
        <w:rPr>
          <w:rFonts w:ascii="Times New Roman" w:cs="Times New Roman" w:eastAsia="Times New Roman" w:hAnsi="Times New Roman"/>
          <w:sz w:val="20"/>
          <w:szCs w:val="20"/>
          <w:color w:val="auto"/>
        </w:rPr>
        <w:t>61-72</w:t>
      </w:r>
      <w:r>
        <w:rPr>
          <w:sz w:val="20"/>
          <w:szCs w:val="20"/>
          <w:color w:val="auto"/>
        </w:rPr>
        <w:tab/>
      </w:r>
      <w:r>
        <w:rPr>
          <w:rFonts w:ascii="Times New Roman" w:cs="Times New Roman" w:eastAsia="Times New Roman" w:hAnsi="Times New Roman"/>
          <w:sz w:val="20"/>
          <w:szCs w:val="20"/>
          <w:color w:val="auto"/>
        </w:rPr>
        <w:t>$81,107.16</w:t>
      </w:r>
    </w:p>
    <w:p>
      <w:pPr>
        <w:spacing w:after="0" w:line="216" w:lineRule="exact"/>
        <w:rPr>
          <w:sz w:val="20"/>
          <w:szCs w:val="20"/>
          <w:color w:val="auto"/>
        </w:rPr>
      </w:pPr>
    </w:p>
    <w:p>
      <w:pPr>
        <w:ind w:left="1900"/>
        <w:spacing w:after="0"/>
        <w:tabs>
          <w:tab w:leader="none" w:pos="3460" w:val="left"/>
        </w:tabs>
        <w:rPr>
          <w:sz w:val="20"/>
          <w:szCs w:val="20"/>
          <w:color w:val="auto"/>
        </w:rPr>
      </w:pPr>
      <w:r>
        <w:rPr>
          <w:rFonts w:ascii="Times New Roman" w:cs="Times New Roman" w:eastAsia="Times New Roman" w:hAnsi="Times New Roman"/>
          <w:sz w:val="20"/>
          <w:szCs w:val="20"/>
          <w:color w:val="auto"/>
        </w:rPr>
        <w:t>73-84</w:t>
      </w:r>
      <w:r>
        <w:rPr>
          <w:sz w:val="20"/>
          <w:szCs w:val="20"/>
          <w:color w:val="auto"/>
        </w:rPr>
        <w:tab/>
      </w:r>
      <w:r>
        <w:rPr>
          <w:rFonts w:ascii="Times New Roman" w:cs="Times New Roman" w:eastAsia="Times New Roman" w:hAnsi="Times New Roman"/>
          <w:sz w:val="20"/>
          <w:szCs w:val="20"/>
          <w:color w:val="auto"/>
        </w:rPr>
        <w:t>$83,540.38</w:t>
      </w:r>
    </w:p>
    <w:p>
      <w:pPr>
        <w:spacing w:after="0" w:line="21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color w:val="auto"/>
        </w:rPr>
        <w:t>85-Expiration Date $86,046.59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 long as Sublessee is not in default under this Sublease beyond any applicable notice and cure periods, Base Rent shall be abated during</w:t>
      </w:r>
    </w:p>
    <w:p>
      <w:pPr>
        <w:spacing w:after="0" w:line="22" w:lineRule="exact"/>
        <w:rPr>
          <w:sz w:val="20"/>
          <w:szCs w:val="20"/>
          <w:color w:val="auto"/>
        </w:rPr>
      </w:pPr>
    </w:p>
    <w:p>
      <w:pPr>
        <w:ind w:right="20" w:firstLine="8"/>
        <w:spacing w:after="0" w:line="272" w:lineRule="auto"/>
        <w:tabs>
          <w:tab w:leader="none" w:pos="23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six (6) full calendar months of each of the first four (4) years of the Term and (ii) the first four (4) full calendar months of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year of the Term.</w:t>
      </w:r>
    </w:p>
    <w:p>
      <w:pPr>
        <w:spacing w:after="0" w:line="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Base Rent and Additional Rent, as defined in Paragraph 4.B below, shall be paid on or before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day of each month. Base Rent and Additional Rent for any period during the Term hereof which is for less than one (1) month of the Term shall be a pro rata portion of the monthly installment based on a thirty (30) day month. Base Rent and Additional Rent shall be payable without notice or demand and without any deduction, offset, or abatement, in lawful money of the United States of America. Base Rent and Additional Rent shall be paid directly to Sublessor at 3928 Point Eden Way, Hayward, CA 94545, Attention: Finance/Accounts Receivable, or such other address as may be designated in writing by Sublessor, or pursuant to ACH instructions provided by Sublessor.</w:t>
      </w:r>
    </w:p>
    <w:p>
      <w:pPr>
        <w:spacing w:after="0" w:line="188" w:lineRule="exact"/>
        <w:rPr>
          <w:sz w:val="20"/>
          <w:szCs w:val="20"/>
          <w:color w:val="auto"/>
        </w:rPr>
      </w:pPr>
    </w:p>
    <w:p>
      <w:pPr>
        <w:jc w:val="both"/>
        <w:ind w:firstLine="1505"/>
        <w:spacing w:after="0" w:line="242" w:lineRule="auto"/>
        <w:tabs>
          <w:tab w:leader="none" w:pos="203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Rent</w:t>
      </w:r>
      <w:r>
        <w:rPr>
          <w:rFonts w:ascii="Times New Roman" w:cs="Times New Roman" w:eastAsia="Times New Roman" w:hAnsi="Times New Roman"/>
          <w:sz w:val="20"/>
          <w:szCs w:val="20"/>
          <w:color w:val="auto"/>
        </w:rPr>
        <w:t>. All monies other than Base Rent required to be paid by Sublessor under the Master Lease as to the Subleased Premises, including, without limitation, any amounts payable by Sublessor to Master Lessor as “Direct Expenses” (as defined in Section 4.2.2 of the Master Lease) and costs of utilities under Section 6.2 of the Master Lease, as incorporated herein, shall be paid by Sublessee hereunder as and when such amounts are due under the Master Lease, as incorporated herein; provided Sublessee shall only be required to pay Direct Expenses and utilities which are allocable to the Subleased Premises (a) commencing in 2026 and continuing thereafter for the remainder of the Term, and (b) only to the extent that such Direct Expenses and utilities exceed the amount of Direct Expenses and utilities allocable to the Subleased Premises in 2025 (the “</w:t>
      </w:r>
      <w:r>
        <w:rPr>
          <w:rFonts w:ascii="Times New Roman" w:cs="Times New Roman" w:eastAsia="Times New Roman" w:hAnsi="Times New Roman"/>
          <w:sz w:val="20"/>
          <w:szCs w:val="20"/>
          <w:b w:val="1"/>
          <w:bCs w:val="1"/>
          <w:i w:val="1"/>
          <w:iCs w:val="1"/>
          <w:color w:val="auto"/>
        </w:rPr>
        <w:t>Base Year</w:t>
      </w:r>
      <w:r>
        <w:rPr>
          <w:rFonts w:ascii="Times New Roman" w:cs="Times New Roman" w:eastAsia="Times New Roman" w:hAnsi="Times New Roman"/>
          <w:sz w:val="20"/>
          <w:szCs w:val="20"/>
          <w:color w:val="auto"/>
        </w:rPr>
        <w:t>”). Sublessee’s payment of Direct Expenses and utilities herein shall be subject to reconciliation and adjustment as between Master Lessor and Sublessor in the same manner as set forth in the provisions of the Master Lease. For the avoidance of doubt, Direct Expenses shall be paid on the first day of each month based on estimates provided by Sublessor (which shall be based on estimates provided by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Lessor) and subject to reconciliations provided by Sublessor (based on reconciliations provided by Master Lessor). Utilities for the Subleased Premises shall be invoiced in arrears and due on the first day of each month. Commencing in 2026 and continuing thereafter for the remainder of the Term, Sublessee shall also pay to Sublessor its pro rata share based on the square footage of the Subleased Premises to the square footage of the Premises (“</w:t>
      </w:r>
      <w:r>
        <w:rPr>
          <w:rFonts w:ascii="Times New Roman" w:cs="Times New Roman" w:eastAsia="Times New Roman" w:hAnsi="Times New Roman"/>
          <w:sz w:val="19"/>
          <w:szCs w:val="19"/>
          <w:b w:val="1"/>
          <w:bCs w:val="1"/>
          <w:i w:val="1"/>
          <w:iCs w:val="1"/>
          <w:color w:val="auto"/>
        </w:rPr>
        <w:t>Pro Rata Share</w:t>
      </w:r>
      <w:r>
        <w:rPr>
          <w:rFonts w:ascii="Times New Roman" w:cs="Times New Roman" w:eastAsia="Times New Roman" w:hAnsi="Times New Roman"/>
          <w:sz w:val="19"/>
          <w:szCs w:val="19"/>
          <w:color w:val="auto"/>
        </w:rPr>
        <w:t>”) (which Pro Rata Share, for the avoidance of doubt, is currently equal to 17.08%), within thirty (30) days of request by Sublessor, of the cost of any utilities to the Shared Areas and Sublessor’s actual, reasonable, out-of-pocket cost of performing any routine or necessary repairs or maintenance or providing other reasonable services that benefit the Subleased Premises or the Shared Areas (such as maintenance of any systems therein and janitorial service to the Subleased Premises, which Sublessor shall provide at the same level it provides to the remainder of the office portion of its Premises) to the extent they exceed the amount of such expenses in the Base Year (provided Sublessor shall not include any costs of the type described in Section 4.2.4(a)-(t) of the Master Lease), and shall pay the disproportionate cost of such amounts to the extent supplied disproportionately to Sublessee and the entire cost of such amounts to the extent supplied solely to Sublessee or due to the negligence or willful misconduct of Sublessee or its agents, employees or contractors. Sublessee shall also pay any gross receipts or rent tax payable with respect to this Sublease. All such amounts shall be deemed additional rent (“</w:t>
      </w:r>
      <w:r>
        <w:rPr>
          <w:rFonts w:ascii="Times New Roman" w:cs="Times New Roman" w:eastAsia="Times New Roman" w:hAnsi="Times New Roman"/>
          <w:sz w:val="19"/>
          <w:szCs w:val="19"/>
          <w:b w:val="1"/>
          <w:bCs w:val="1"/>
          <w:i w:val="1"/>
          <w:iCs w:val="1"/>
          <w:color w:val="auto"/>
        </w:rPr>
        <w:t>Additional Rent</w:t>
      </w:r>
      <w:r>
        <w:rPr>
          <w:rFonts w:ascii="Times New Roman" w:cs="Times New Roman" w:eastAsia="Times New Roman" w:hAnsi="Times New Roman"/>
          <w:sz w:val="19"/>
          <w:szCs w:val="19"/>
          <w:color w:val="auto"/>
        </w:rPr>
        <w:t>”). Base Rent and Additional Rent hereinafter collectively shall be referred to as “</w:t>
      </w:r>
      <w:r>
        <w:rPr>
          <w:rFonts w:ascii="Times New Roman" w:cs="Times New Roman" w:eastAsia="Times New Roman" w:hAnsi="Times New Roman"/>
          <w:sz w:val="19"/>
          <w:szCs w:val="19"/>
          <w:b w:val="1"/>
          <w:bCs w:val="1"/>
          <w:i w:val="1"/>
          <w:iCs w:val="1"/>
          <w:color w:val="auto"/>
        </w:rPr>
        <w:t>Rent</w:t>
      </w:r>
      <w:r>
        <w:rPr>
          <w:rFonts w:ascii="Times New Roman" w:cs="Times New Roman" w:eastAsia="Times New Roman" w:hAnsi="Times New Roman"/>
          <w:sz w:val="19"/>
          <w:szCs w:val="19"/>
          <w:color w:val="auto"/>
        </w:rPr>
        <w:t>”. Notwithstanding the foregoing, in the event any cost or expense is incurred for Sublessee’s sole benefit (including the disproportionate use of utilities) or as a result of Sublessee’s request for certain services (such as after hours HVAC charges), or property taxes are increased as a result of Alterations or improvements to the Subleased Premises made by or for Sublessee (including the Initial Alterations), Sublessee shall pay the entire cost thereof within thirty (30) days of receipt of an itemized invoice therefor. For the avoidance of doubt, in no event shall Sublessee be responsible for the payment of any amounts which are attributable to Sublessor’s default under the Master Lease or Sublease, which such default is not attributable to Sublessee’s own default under this Sublease. In the event that Sublessee disputes the Direct Expenses or utilities billed to Sublessee hereunder, Sublessor shall be obligated, upon Sublessee’s reasonable request (which, for the avoidance of doubt, shall not occur more than once in any calendar year) and, to the extent not fully reimbursed by Master Lessor, at Sublessee’s cost, which shall be paid by Sublessee within thirty (30) days of demand by Sublessor, to exercise its rights under Section 4.6 of the Master Lease.</w:t>
      </w:r>
    </w:p>
    <w:p>
      <w:pPr>
        <w:spacing w:after="0" w:line="178" w:lineRule="exact"/>
        <w:rPr>
          <w:sz w:val="20"/>
          <w:szCs w:val="20"/>
          <w:color w:val="auto"/>
        </w:rPr>
      </w:pPr>
    </w:p>
    <w:p>
      <w:pPr>
        <w:jc w:val="both"/>
        <w:ind w:firstLine="1505"/>
        <w:spacing w:after="0" w:line="249" w:lineRule="auto"/>
        <w:tabs>
          <w:tab w:leader="none" w:pos="203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Seventh Month’s Rent</w:t>
      </w:r>
      <w:r>
        <w:rPr>
          <w:rFonts w:ascii="Times New Roman" w:cs="Times New Roman" w:eastAsia="Times New Roman" w:hAnsi="Times New Roman"/>
          <w:sz w:val="20"/>
          <w:szCs w:val="20"/>
          <w:color w:val="auto"/>
        </w:rPr>
        <w:t>. Upon execution hereof by Sublessee, Sublessee shall pay to Sublessor the sum of Sixty-Nine Thousand Nine Hundred Sixty-Three and 75/100 Dollars ($69,963.75) (the “</w:t>
      </w:r>
      <w:r>
        <w:rPr>
          <w:rFonts w:ascii="Times New Roman" w:cs="Times New Roman" w:eastAsia="Times New Roman" w:hAnsi="Times New Roman"/>
          <w:sz w:val="20"/>
          <w:szCs w:val="20"/>
          <w:b w:val="1"/>
          <w:bCs w:val="1"/>
          <w:i w:val="1"/>
          <w:iCs w:val="1"/>
          <w:color w:val="auto"/>
        </w:rPr>
        <w:t>Prepaid Rent</w:t>
      </w:r>
      <w:r>
        <w:rPr>
          <w:rFonts w:ascii="Times New Roman" w:cs="Times New Roman" w:eastAsia="Times New Roman" w:hAnsi="Times New Roman"/>
          <w:sz w:val="20"/>
          <w:szCs w:val="20"/>
          <w:color w:val="auto"/>
        </w:rPr>
        <w:t>”), which shall constitute Base Rent for the seventh month of the Term, and which amount shall be applicable to and credited toward Sublessee’s Base Rent payment for the seventh month of the Term.</w:t>
      </w:r>
    </w:p>
    <w:p>
      <w:pPr>
        <w:spacing w:after="0" w:line="179"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Deposit</w:t>
      </w:r>
      <w:r>
        <w:rPr>
          <w:rFonts w:ascii="Times New Roman" w:cs="Times New Roman" w:eastAsia="Times New Roman" w:hAnsi="Times New Roman"/>
          <w:sz w:val="20"/>
          <w:szCs w:val="20"/>
          <w:color w:val="auto"/>
        </w:rPr>
        <w:t>: Upon execution hereof by Sublessee, Sublessee shall deposit with Sublessor the sum of Eighty-Six Thousand Forty-Six and 59/100 Dollars ($86,046.59) (the “</w:t>
      </w:r>
      <w:r>
        <w:rPr>
          <w:rFonts w:ascii="Times New Roman" w:cs="Times New Roman" w:eastAsia="Times New Roman" w:hAnsi="Times New Roman"/>
          <w:sz w:val="20"/>
          <w:szCs w:val="20"/>
          <w:b w:val="1"/>
          <w:bCs w:val="1"/>
          <w:i w:val="1"/>
          <w:iCs w:val="1"/>
          <w:color w:val="auto"/>
        </w:rPr>
        <w:t>Security Deposit</w:t>
      </w:r>
      <w:r>
        <w:rPr>
          <w:rFonts w:ascii="Times New Roman" w:cs="Times New Roman" w:eastAsia="Times New Roman" w:hAnsi="Times New Roman"/>
          <w:sz w:val="20"/>
          <w:szCs w:val="20"/>
          <w:color w:val="auto"/>
        </w:rPr>
        <w:t>”), in cash, as security for the performance by Sublessee of the terms and conditions of this Sublease. If Sublessee fails to pay Rent or other charges due hereunder beyond any applicable notice and cure period or otherwise defaults with respect to any provision of this Sublease beyond any applicable notice and cure period, then Sublessor may draw upon, use, apply or retain all or any portion of the Security Deposit for the payment of any Rent or other charge in default, for the payment of any other sum which Sublessor has become obligated to pay by reason of Sublessee’s default, or to compensate Sublessor for any loss or damage which Sublessor has suffered thereby, including future rent damages under California Civil Code Section 1951.2, without prejudice to any other remedy provided herein or by law. Sublessee hereby waives the provisions of any law, now or hereafter in force, including, without limitation, California Civil Code Section 1950.7, that provides that Sublessor may claim from a security deposit only those sums reasonably necessary to remedy defaults in the payment of Rent, to repair damage caused by Sublessee, or to clean the Subleased Premises, it being agreed that Sublessor, in addition, may claim those sums reasonably necessary to compensate Sublessor for any other loss or damage, foreseeable or unforeseeable, caused by the act or omission of Sublessee, including future rent damages following the termination of this Sublease. If Sublessor so uses or applies all or any portion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Deposit, then Sublessee, within ten (10) days after demand therefor, shall deposit cash with Sublessor in the amount required to restore the Security Deposit to the full amount stated above. Upon the expiration of this Sublease, if Sublessee is not in default beyond any applicable notice and cure period, Sublessor shall return to Sublessee so much of the Security Deposit as has not been applied by Sublessor pursuant to this paragraph, or which is not otherwise required to cure Sublessee’s defaults within thirty (30) days following the expiration or earlier termination of this Sublease.</w:t>
      </w:r>
    </w:p>
    <w:p>
      <w:pPr>
        <w:spacing w:after="0" w:line="185" w:lineRule="exact"/>
        <w:rPr>
          <w:sz w:val="20"/>
          <w:szCs w:val="20"/>
          <w:color w:val="auto"/>
        </w:rPr>
      </w:pPr>
    </w:p>
    <w:p>
      <w:pPr>
        <w:jc w:val="both"/>
        <w:ind w:firstLine="757"/>
        <w:spacing w:after="0" w:line="249" w:lineRule="auto"/>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Holdover</w:t>
      </w:r>
      <w:r>
        <w:rPr>
          <w:rFonts w:ascii="Times New Roman" w:cs="Times New Roman" w:eastAsia="Times New Roman" w:hAnsi="Times New Roman"/>
          <w:sz w:val="20"/>
          <w:szCs w:val="20"/>
          <w:color w:val="auto"/>
        </w:rPr>
        <w:t>: In the event that Sublessee does not surrender the Subleased Premises by the Expiration Date in accordance with the terms of this Sublease, Sublessee shall indemnify, defend, protect and hold harmless Sublessor from and against all loss and liability resulting from Sublessee’s delay in surrendering the Subleased Premises and pay Sublessor holdover rent as provided in Section 16 of the Master Lease.</w:t>
      </w:r>
    </w:p>
    <w:p>
      <w:pPr>
        <w:spacing w:after="0" w:line="179"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Repairs</w:t>
      </w:r>
      <w:r>
        <w:rPr>
          <w:rFonts w:ascii="Times New Roman" w:cs="Times New Roman" w:eastAsia="Times New Roman" w:hAnsi="Times New Roman"/>
          <w:sz w:val="20"/>
          <w:szCs w:val="20"/>
          <w:color w:val="auto"/>
        </w:rPr>
        <w:t>: The parties acknowledge and agree that Sublessor has made no representations or warranties with respect to the condition of the Subleased Premises except as expressly set forth herein. Sublessor shall have no obligation whatsoever to make or pay the cost of any alterations, improvements or repairs to the Subleased Premises, including, without limitation, any improvement or repair required to comply with any law, except to the extent that the necessity of any such repairs arises out of the gross negligence or willful misconduct of Sublessor or its agents, employees, or contractors. Notwithstanding anything herein to the contrary, except to the extent damaged by Sublessee or its agents, employees or contractors, in no event shall Sublessee be responsible for maintaining and repairing the Premises (excluding the portion of the Premises consisting of the Subleased Premises) or the Shared Areas. Master Lessor shall be solely responsible for performance of any repairs required to be performed by Master Lessor under the terms of the Master Lease. With respect to work, services, repairs and restoration or the performance of other obligations required of Master Lessor under the Master Lease, Sublessor shall request the same, upon written request from Sublessee, and use reasonable efforts to obtain the same from Master Lessor, but shall not be required to engage in litigation. Notwithstanding the foregoing or any provision contained in this Sublease to the contrary, Sublessee shall not be responsible for payment or performance of any obligation arising under the Master Lease in connection with the Subleased Premises that must be performed prior to the Commencement Date of this Sublease. Sublessor shall remain obligated to pay, and shall pay prior to delinquency, all rent and other amounts required to be paid by the “Tenant” under the Master Lease to the extent required to maintain in effect the Master Lease or Sublessee’s occupancy rights on the terms of this Sublease.</w:t>
      </w:r>
    </w:p>
    <w:p>
      <w:pPr>
        <w:spacing w:after="0" w:line="194" w:lineRule="exact"/>
        <w:rPr>
          <w:rFonts w:ascii="Times New Roman" w:cs="Times New Roman" w:eastAsia="Times New Roman" w:hAnsi="Times New Roman"/>
          <w:sz w:val="20"/>
          <w:szCs w:val="20"/>
          <w:color w:val="auto"/>
        </w:rPr>
      </w:pPr>
    </w:p>
    <w:p>
      <w:pPr>
        <w:ind w:right="100" w:firstLine="757"/>
        <w:spacing w:after="0" w:line="245" w:lineRule="auto"/>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Subletting</w:t>
      </w:r>
      <w:r>
        <w:rPr>
          <w:rFonts w:ascii="Times New Roman" w:cs="Times New Roman" w:eastAsia="Times New Roman" w:hAnsi="Times New Roman"/>
          <w:sz w:val="20"/>
          <w:szCs w:val="20"/>
          <w:color w:val="auto"/>
        </w:rPr>
        <w:t>: Sublessee may not assign this Sublease, sublet the Subleased Premises, transfer any interest of Sublessee therein or permit any use of the Subleased Premises by another party (collectively, “</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 without the prior written consent of Master Lessor (in accordance with the terms of the Master Lease) and Sublessor (which consent shall not be unreasonably withheld, conditioned, or delayed provided Master Lessor’s consent has been obtained); provided, however, Sublessor’s consent shall not be required for a transfer as described in Section 14.8 of the Master Lease. Any Transfer shall be subject to the terms of Section 14 of the Master Lease, as incorporated herein.</w:t>
      </w:r>
    </w:p>
    <w:p>
      <w:pPr>
        <w:spacing w:after="0" w:line="184"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Use</w:t>
      </w:r>
      <w:r>
        <w:rPr>
          <w:rFonts w:ascii="Times New Roman" w:cs="Times New Roman" w:eastAsia="Times New Roman" w:hAnsi="Times New Roman"/>
          <w:sz w:val="20"/>
          <w:szCs w:val="20"/>
          <w:color w:val="auto"/>
        </w:rPr>
        <w:t>: Sublessee may use the Subleased Premises only for general office use consistent with first class life science projects in the City of Brisbane, including, but not limited to, administrative offices and other lawful uses reasonably related to or incidental to general office use, and in compliance with, and subject to, applicable laws and the terms of the Master Lease and this Sublease (the “</w:t>
      </w:r>
      <w:r>
        <w:rPr>
          <w:rFonts w:ascii="Times New Roman" w:cs="Times New Roman" w:eastAsia="Times New Roman" w:hAnsi="Times New Roman"/>
          <w:sz w:val="20"/>
          <w:szCs w:val="20"/>
          <w:b w:val="1"/>
          <w:bCs w:val="1"/>
          <w:i w:val="1"/>
          <w:iCs w:val="1"/>
          <w:color w:val="auto"/>
        </w:rPr>
        <w:t>Permitted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Use</w:t>
      </w:r>
      <w:r>
        <w:rPr>
          <w:rFonts w:ascii="Times New Roman" w:cs="Times New Roman" w:eastAsia="Times New Roman" w:hAnsi="Times New Roman"/>
          <w:sz w:val="20"/>
          <w:szCs w:val="20"/>
          <w:color w:val="auto"/>
        </w:rPr>
        <w:t>”). Sublessee shall not use, store, transport or dispose of any Hazardous Materials (as defined in the Master Lease) in or about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Subleased Premises except those materials used in conjunction with general office use (e.g., printer toner, household cleaners, etc.) as expressly permitted under the Master Lease, as incorporated herein, including Section 5.3 thereof. Sublessee shall comply with all reasonable rules and regulations promulgated from time to time by Sublessor and Master Lessor so long as any such rules and regulations promulgated by Sublessor are (a) enforced in a non-discriminatory manner, and (b) neither materially increase Sublessee’s obligations hereunder nor materially decrease Sublessee’s rights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757"/>
        <w:spacing w:after="0" w:line="241" w:lineRule="auto"/>
        <w:tabs>
          <w:tab w:leader="none" w:pos="101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and Acceptance</w:t>
      </w:r>
      <w:r>
        <w:rPr>
          <w:rFonts w:ascii="Times New Roman" w:cs="Times New Roman" w:eastAsia="Times New Roman" w:hAnsi="Times New Roman"/>
          <w:sz w:val="20"/>
          <w:szCs w:val="20"/>
          <w:color w:val="auto"/>
        </w:rPr>
        <w:t>: Except to the extent otherwise expressly provided in this Sublease, if Sublessor fails to timely deliver possession of the Subleased Premises to Sublessee for any reason whatsoever, then this Sublease shall not be void or voidable, nor shall Sublessor be liable to Sublessee for any loss or damage. Notwithstanding anything herein to the contrary, should Sublessor fail to deliver the Subleased Premises to Sublessee on or before the date that is three (3) business days following the later of (a) the Effective Date or (b) the date the Consent has been delivered (and such failure continues for more than two (2) business days after written notice and is not attributable to an event of Force Majeure (as such term is defined in the Master Lease) or a casualty or condemnation), then Sublessee shall have the right to terminate this Sublease by delivering written notice thereof to Sublessor prior to such delivery, whereupon Sublessor shall promptly return to Sublessee the Security Deposit and the Prepaid Rent. Except as otherwise provided in this Sublease, by taking possession of the Subleased Premises, Sublessee conclusively shall be deemed to have accepted the Subleased Premises in their as-is, then-existing condition, without any warranty whatsoever of Sublessor with respect thereto. Notwithstanding anything herein to the contrary, to Sublessor’s knowledge, Sublessor represents and warrants to Sublessee that all building systems (including, without limitation, all mechanical, electrical, plumbing, roof, foundation, and exterior walls) serving the Subleased Premises are in good working order and condition as of the Effective Date.</w:t>
      </w:r>
    </w:p>
    <w:p>
      <w:pPr>
        <w:spacing w:after="0" w:line="197"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Improvements</w:t>
      </w:r>
      <w:r>
        <w:rPr>
          <w:rFonts w:ascii="Times New Roman" w:cs="Times New Roman" w:eastAsia="Times New Roman" w:hAnsi="Times New Roman"/>
          <w:sz w:val="19"/>
          <w:szCs w:val="19"/>
          <w:color w:val="auto"/>
        </w:rPr>
        <w:t xml:space="preserve">: No alteration or improvements shall be made to the Subleased Premises, except in accordance with the Master Lease, and with the prior written consent of both Master Lessor (in accordance with the terms of the Master Lease) and Sublessor (which consent shall not be unreasonably withheld, conditioned, or delayed provided the consent of Master Lessor has been obtained). Subject to the foregoing, Sublessee shall construct, at its sole cost and expense, in accordance with the requirements of this Sublease and the Master Lease, the improvements described in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including demising the Subleased Premises from the remainder of the floor (the "</w:t>
      </w:r>
      <w:r>
        <w:rPr>
          <w:rFonts w:ascii="Times New Roman" w:cs="Times New Roman" w:eastAsia="Times New Roman" w:hAnsi="Times New Roman"/>
          <w:sz w:val="19"/>
          <w:szCs w:val="19"/>
          <w:b w:val="1"/>
          <w:bCs w:val="1"/>
          <w:i w:val="1"/>
          <w:iCs w:val="1"/>
          <w:color w:val="auto"/>
        </w:rPr>
        <w:t>Initial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Alterations</w:t>
      </w:r>
      <w:r>
        <w:rPr>
          <w:rFonts w:ascii="Times New Roman" w:cs="Times New Roman" w:eastAsia="Times New Roman" w:hAnsi="Times New Roman"/>
          <w:sz w:val="19"/>
          <w:szCs w:val="19"/>
          <w:color w:val="auto"/>
        </w:rPr>
        <w:t>"). Sublessor shall not unreasonably withhold, condition, or delay its consent to the plans (the “</w:t>
      </w:r>
      <w:r>
        <w:rPr>
          <w:rFonts w:ascii="Times New Roman" w:cs="Times New Roman" w:eastAsia="Times New Roman" w:hAnsi="Times New Roman"/>
          <w:sz w:val="19"/>
          <w:szCs w:val="19"/>
          <w:b w:val="1"/>
          <w:bCs w:val="1"/>
          <w:i w:val="1"/>
          <w:iCs w:val="1"/>
          <w:color w:val="auto"/>
        </w:rPr>
        <w:t>Plans</w:t>
      </w:r>
      <w:r>
        <w:rPr>
          <w:rFonts w:ascii="Times New Roman" w:cs="Times New Roman" w:eastAsia="Times New Roman" w:hAnsi="Times New Roman"/>
          <w:sz w:val="19"/>
          <w:szCs w:val="19"/>
          <w:color w:val="auto"/>
        </w:rPr>
        <w:t>”) for the Initial Alterations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in any event, shall approve or disapprove of any such plans within five (5) business days after receipt thereof, subject to receipt of Master Lessor’s consent. If Sublessor reasonably disapproves of the Plans, or any portion thereof, Sublessor shall notify Sublessee thereof and of the revisions which Sublessor reasonably requires in order to obtain Sublessor’s approval. As promptly as possible thereafter, Sublessee shall submit to Sublessor revised Plans incorporating the revisions required (which revisions shall be subject to Sublessor’s approval, which shall not be unreasonably withheld, conditioned, or delayed). The foregoing process shall be repeated until Sublessor finally approves all of the Plans, subject to receipt of Master Lessor’s consent. Sublessor shall pay Master Lessor’s fees (if any) to review such work up to $35,000.00 (the “</w:t>
      </w:r>
      <w:r>
        <w:rPr>
          <w:rFonts w:ascii="Times New Roman" w:cs="Times New Roman" w:eastAsia="Times New Roman" w:hAnsi="Times New Roman"/>
          <w:sz w:val="19"/>
          <w:szCs w:val="19"/>
          <w:b w:val="1"/>
          <w:bCs w:val="1"/>
          <w:i w:val="1"/>
          <w:iCs w:val="1"/>
          <w:color w:val="auto"/>
        </w:rPr>
        <w:t>Review Fee Cap</w:t>
      </w:r>
      <w:r>
        <w:rPr>
          <w:rFonts w:ascii="Times New Roman" w:cs="Times New Roman" w:eastAsia="Times New Roman" w:hAnsi="Times New Roman"/>
          <w:sz w:val="19"/>
          <w:szCs w:val="19"/>
          <w:color w:val="auto"/>
        </w:rPr>
        <w:t>”), with any additional amounts exceeding the Review Fee Cap to be payable by Sublessee. As part of its obligations hereunder, Sublessor shall use commercially reasonable efforts to coordinate with Master Lessor to promptly obtain Master Lessor’s consent to any Initial Alterations or subsequent alterations, additions, or improvements. Sublessee shall use diligent, good faith, commercially reasonable efforts to complete the Initial Alterations, subject only to normal punchlist items, and obtain final governmental approval of thereof (“</w:t>
      </w:r>
      <w:r>
        <w:rPr>
          <w:rFonts w:ascii="Times New Roman" w:cs="Times New Roman" w:eastAsia="Times New Roman" w:hAnsi="Times New Roman"/>
          <w:sz w:val="19"/>
          <w:szCs w:val="19"/>
          <w:b w:val="1"/>
          <w:bCs w:val="1"/>
          <w:i w:val="1"/>
          <w:iCs w:val="1"/>
          <w:color w:val="auto"/>
        </w:rPr>
        <w:t>Substantially Complete</w:t>
      </w:r>
      <w:r>
        <w:rPr>
          <w:rFonts w:ascii="Times New Roman" w:cs="Times New Roman" w:eastAsia="Times New Roman" w:hAnsi="Times New Roman"/>
          <w:sz w:val="19"/>
          <w:szCs w:val="19"/>
          <w:color w:val="auto"/>
        </w:rPr>
        <w:t>”) before the Commencement Date and may not occupy the Subleased Premises for the conduct of business until the demising work has been Substantially Completed. If Sublessee fails to Substantially Complete the demising work before the Commencement Date, in addition to its other remedies, Sublessor may perform such work at Sublessee’s cost (the “</w:t>
      </w:r>
      <w:r>
        <w:rPr>
          <w:rFonts w:ascii="Times New Roman" w:cs="Times New Roman" w:eastAsia="Times New Roman" w:hAnsi="Times New Roman"/>
          <w:sz w:val="19"/>
          <w:szCs w:val="19"/>
          <w:b w:val="1"/>
          <w:bCs w:val="1"/>
          <w:i w:val="1"/>
          <w:iCs w:val="1"/>
          <w:color w:val="auto"/>
        </w:rPr>
        <w:t>Self Help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Right</w:t>
      </w:r>
      <w:r>
        <w:rPr>
          <w:rFonts w:ascii="Times New Roman" w:cs="Times New Roman" w:eastAsia="Times New Roman" w:hAnsi="Times New Roman"/>
          <w:sz w:val="19"/>
          <w:szCs w:val="19"/>
          <w:color w:val="auto"/>
        </w:rPr>
        <w:t>”); provided, however, that for the avoidance of doubt, Sublessor’s Self Help Right shall be limited to demising the Subleased Premises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from the remainder of the Premises and not for the performance of any other portion of the Initial Alterations. Notwithstanding anything in this Sublease or the Master Lease to the contrary, Sublessee shall not be required to remove or restore upon the expiration or earlier termination of this Sublease (a) the Initial Alterations or any future alterations, additions or improvements by Sublessee except to the extent, in either case, required by Master Lessor or (b) any alteration, addition, or improvement existing as of the date the Subleased Premises are delivered to Sublessee and, to the extent that any such restoration and removal of alterations, additions or improvements existing as of the date the Subleased Premises are delivered to Sublessee is required by Master Lessor, such restoration and removal as set forth in subsections</w:t>
      </w:r>
    </w:p>
    <w:p>
      <w:pPr>
        <w:ind w:left="280" w:hanging="272"/>
        <w:spacing w:after="0"/>
        <w:tabs>
          <w:tab w:leader="none" w:pos="2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(b) above shall be performed by Sublessor at Sublessor’s sole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7" w:name="page178"/>
    <w:bookmarkEnd w:id="177"/>
    <w:p>
      <w:pPr>
        <w:ind w:left="9363"/>
        <w:spacing w:after="0"/>
        <w:rPr>
          <w:sz w:val="20"/>
          <w:szCs w:val="20"/>
          <w:color w:val="auto"/>
        </w:rPr>
      </w:pPr>
      <w:r>
        <w:rPr>
          <w:rFonts w:ascii="Times New Roman" w:cs="Times New Roman" w:eastAsia="Times New Roman" w:hAnsi="Times New Roman"/>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757" w:firstLine="757"/>
        <w:spacing w:after="0" w:line="249" w:lineRule="auto"/>
        <w:tabs>
          <w:tab w:leader="none" w:pos="26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 Waiver of Subrogation</w:t>
      </w:r>
      <w:r>
        <w:rPr>
          <w:rFonts w:ascii="Times New Roman" w:cs="Times New Roman" w:eastAsia="Times New Roman" w:hAnsi="Times New Roman"/>
          <w:sz w:val="20"/>
          <w:szCs w:val="20"/>
          <w:color w:val="auto"/>
        </w:rPr>
        <w:t>: Sublessee shall obtain and keep in full force and effect, at Sublessee’s sole cost and expense, during the Term, the insurance required under Section 10 of the Master Lease. Sublessee shall name Master Lessor and Sublessor as additional insureds under its liability insurance policy. The release and waiver of subrogation set forth in Section 10.5 of the Master Lease, as incorporated herein, shall be binding on each of the parties.</w:t>
      </w:r>
    </w:p>
    <w:p>
      <w:pPr>
        <w:spacing w:after="0" w:line="179" w:lineRule="exact"/>
        <w:rPr>
          <w:rFonts w:ascii="Times New Roman" w:cs="Times New Roman" w:eastAsia="Times New Roman" w:hAnsi="Times New Roman"/>
          <w:sz w:val="20"/>
          <w:szCs w:val="20"/>
          <w:color w:val="auto"/>
        </w:rPr>
      </w:pPr>
    </w:p>
    <w:p>
      <w:pPr>
        <w:jc w:val="both"/>
        <w:ind w:left="-757" w:firstLine="757"/>
        <w:spacing w:after="0" w:line="241" w:lineRule="auto"/>
        <w:tabs>
          <w:tab w:leader="none" w:pos="26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Sublessee shall be in default under this Sublease if Sublessee commits any act or omission which constitutes a default under the Master Lease, which has not been cured after delivery of written notice and passage of the applicable grace period provided in the Master Lease as modified, if at all, by the provisions of this Sublease; provided, however, that Sublessee shall not be in default of the Master Lease in the event that such default arises out of the acts or omissions of Sublessor (or its agents, employees, or contractors) that is not due to the acts or omissions of Sublessee (or its agents, employees or contractors). In the event of any default by Sublessee, Sublessor shall have all remedies provided pursuant to Sections 19.2 and 19.3 of the Master Lease and by applicable law, including damages that include the worth at the time of award of the amount by which the unpaid rent for the balance of the term after the time of award exceeds the amount of such rental loss that the lessee proves could be reasonably avoided and the remedy described in California Civil Code Section 1951.4 (lessor may continue lease in effect after lessee’s breach and abandonment and recover rent as it becomes due, if lessee has right to sublet or assign, subject only to reasonable limitations), subject to Sublessor’s affirmative obligation to mitigate its damages (if any). Notwithstanding anything herein to the contrary, in the event of any default by Sublessor under this Sublease, Sublessee shall be afforded the same rights and remedies as are afforded to Sublessor following a Master Lessor default under the Master Lease, as incorporated herein (including, without limitation, those rights and remedies set forth in Section 19.5 of the Master Lease).</w:t>
      </w:r>
    </w:p>
    <w:p>
      <w:pPr>
        <w:spacing w:after="0" w:line="197" w:lineRule="exact"/>
        <w:rPr>
          <w:rFonts w:ascii="Times New Roman" w:cs="Times New Roman" w:eastAsia="Times New Roman" w:hAnsi="Times New Roman"/>
          <w:sz w:val="20"/>
          <w:szCs w:val="20"/>
          <w:color w:val="auto"/>
        </w:rPr>
      </w:pPr>
    </w:p>
    <w:p>
      <w:pPr>
        <w:ind w:left="263" w:hanging="263"/>
        <w:spacing w:after="0"/>
        <w:tabs>
          <w:tab w:leader="none" w:pos="26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Surrender; Hazardous Materials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57" w:firstLine="1505"/>
        <w:spacing w:after="0" w:line="243" w:lineRule="auto"/>
        <w:tabs>
          <w:tab w:leader="none" w:pos="128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expiration of this Sublease, Sublessee shall remove all of its trade fixtures and other articles of personal property owned by Sublessee and shall surrender the Subleased Premises to Sublessor in the condition required under the Master Lease. (For the avoidance of doubt, Sublessee shall return the Subleased Premises in as good order and condition as when Sublessee took possession of the Subleased Premises, subject to the terms of Section 11 of this Sublease and Section 15 of the Master Lease.) If the Subleased Premises are not so surrendered, then Sublessee shall be liable to Sublessor for all liabilities Sublessor incurs as a result thereof, including costs incurred by Sublessor in returning the Subleased Premises to the required condition. For the avoidance of doubt, in no event shall Sublessee be liable or responsible for removing any alterations, additions, or improvements from the Subleased Premises at the expiration or earlier termination of the Term which were present at the Subleased Premises at the time possession of the Subleased Premises was first delivered to Sublessee.</w:t>
      </w:r>
    </w:p>
    <w:p>
      <w:pPr>
        <w:spacing w:after="0" w:line="185" w:lineRule="exact"/>
        <w:rPr>
          <w:rFonts w:ascii="Times New Roman" w:cs="Times New Roman" w:eastAsia="Times New Roman" w:hAnsi="Times New Roman"/>
          <w:sz w:val="20"/>
          <w:szCs w:val="20"/>
          <w:color w:val="auto"/>
        </w:rPr>
      </w:pPr>
    </w:p>
    <w:p>
      <w:pPr>
        <w:jc w:val="both"/>
        <w:ind w:left="-757" w:firstLine="1505"/>
        <w:spacing w:after="0" w:line="243" w:lineRule="auto"/>
        <w:tabs>
          <w:tab w:leader="none" w:pos="128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no circumstance shall Sublessee be liable for, and Sublessor shall indemnify, defend, protect and hold harmless Sublessee and Sublessee’s agents, employees, and contractors from and against, all losses, costs, claims, liabilities and damages (including attorneys’ and consultants’ fees) arising out of any Hazardous Materials released by Sublessor or Sublessor’s agents, employees, or contractors. Sublessor will provide Sublessee with any Hazardous Material reports relating to the Building that Sublessor has in its immediate possession. The provision of such reports shall be for informational purposes only, and Sublessor does not make any representation or warranty as to the correctness or completeness of any such reports. For the avoidance of doubt, Sublessee shall not be responsible for remediating (including as part of any Environmental Assessment prepared by Sublessee upon its surrender of the Subleased Premises) any Hazardous Materials that exist in the Subleased Premises as of the date the Subleased Premises are delivered to Sublessee.</w:t>
      </w:r>
    </w:p>
    <w:p>
      <w:pPr>
        <w:spacing w:after="0" w:line="189" w:lineRule="exact"/>
        <w:rPr>
          <w:rFonts w:ascii="Times New Roman" w:cs="Times New Roman" w:eastAsia="Times New Roman" w:hAnsi="Times New Roman"/>
          <w:sz w:val="20"/>
          <w:szCs w:val="20"/>
          <w:color w:val="auto"/>
        </w:rPr>
      </w:pPr>
    </w:p>
    <w:p>
      <w:pPr>
        <w:ind w:left="-757" w:firstLine="757"/>
        <w:spacing w:after="0" w:line="269" w:lineRule="auto"/>
        <w:tabs>
          <w:tab w:leader="none" w:pos="26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Brokers</w:t>
      </w:r>
      <w:r>
        <w:rPr>
          <w:rFonts w:ascii="Times New Roman" w:cs="Times New Roman" w:eastAsia="Times New Roman" w:hAnsi="Times New Roman"/>
          <w:sz w:val="20"/>
          <w:szCs w:val="20"/>
          <w:color w:val="auto"/>
        </w:rPr>
        <w:t>: Sublessor and Sublessee each represents to the other that it has dealt with no real estate brokers, finders, agents or salesmen other than Newmark Cornish &amp; Carey representing Sublessor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857250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56"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Sublessor’s Broker</w:t>
      </w:r>
      <w:r>
        <w:rPr>
          <w:rFonts w:ascii="Times New Roman" w:cs="Times New Roman" w:eastAsia="Times New Roman" w:hAnsi="Times New Roman"/>
          <w:sz w:val="20"/>
          <w:szCs w:val="20"/>
          <w:color w:val="auto"/>
        </w:rPr>
        <w:t>”), and Cushman and Wakefield, representing Sublessee (“</w:t>
      </w:r>
      <w:r>
        <w:rPr>
          <w:rFonts w:ascii="Times New Roman" w:cs="Times New Roman" w:eastAsia="Times New Roman" w:hAnsi="Times New Roman"/>
          <w:sz w:val="20"/>
          <w:szCs w:val="20"/>
          <w:b w:val="1"/>
          <w:bCs w:val="1"/>
          <w:i w:val="1"/>
          <w:iCs w:val="1"/>
          <w:color w:val="auto"/>
        </w:rPr>
        <w:t>Sublessee’s Broker</w:t>
      </w:r>
      <w:r>
        <w:rPr>
          <w:rFonts w:ascii="Times New Roman" w:cs="Times New Roman" w:eastAsia="Times New Roman" w:hAnsi="Times New Roman"/>
          <w:sz w:val="20"/>
          <w:szCs w:val="20"/>
          <w:color w:val="auto"/>
        </w:rPr>
        <w:t>”; together with Sublessor’s Broker, collectively, the “</w:t>
      </w:r>
      <w:r>
        <w:rPr>
          <w:rFonts w:ascii="Times New Roman" w:cs="Times New Roman" w:eastAsia="Times New Roman" w:hAnsi="Times New Roman"/>
          <w:sz w:val="20"/>
          <w:szCs w:val="20"/>
          <w:b w:val="1"/>
          <w:bCs w:val="1"/>
          <w:i w:val="1"/>
          <w:iCs w:val="1"/>
          <w:color w:val="auto"/>
        </w:rPr>
        <w:t>Brokers</w:t>
      </w:r>
      <w:r>
        <w:rPr>
          <w:rFonts w:ascii="Times New Roman" w:cs="Times New Roman" w:eastAsia="Times New Roman" w:hAnsi="Times New Roman"/>
          <w:sz w:val="20"/>
          <w:szCs w:val="20"/>
          <w:color w:val="auto"/>
        </w:rPr>
        <w:t>”), in connection with this transaction. Each party agrees to hold the other party harmless from and against all claims for brokerage commissions, finder’s fees or other compen sation made by any other agent, broker, salesman or finder as a consequence of such party’s actions or dealings with such agent, broker, salesman, or finder.</w:t>
      </w:r>
    </w:p>
    <w:p>
      <w:pPr>
        <w:spacing w:after="0" w:line="180" w:lineRule="exact"/>
        <w:rPr>
          <w:sz w:val="20"/>
          <w:szCs w:val="20"/>
          <w:color w:val="auto"/>
        </w:rPr>
      </w:pPr>
    </w:p>
    <w:p>
      <w:pPr>
        <w:jc w:val="both"/>
        <w:ind w:firstLine="757"/>
        <w:spacing w:after="0" w:line="244"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Unless at least five (5) days’ prior written notice is given in the manner set forth in this paragraph, the address of each party for all purposes connected with this Sublease shall be the applicable address set forth below its signature at the end of this Sublease. All notices, demands or communications in connection with this Sublease shall be (a) personally delivered; or (b) properly addressed and (i) submitted to an overnight courier service, charges prepaid, or (ii) deposited in the mail (certified, return receipt requested, and postage prepaid). Notices shall be deemed delivered upon receipt, if personally delivered, one (1) business day after being submitted to an overnight courier service and three (3) business days after mailing, if mailed as set forth above. All notices given to Master Lessor under the Master Lease shall be considered received only when delivered in accordance with the Master Lease.</w:t>
      </w:r>
    </w:p>
    <w:p>
      <w:pPr>
        <w:spacing w:after="0" w:line="185"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Sublessor has not had an inspection of the Premises performed by a Certified Access Specialist as described in California Civil Code § 1938. A Certified Access Specialist (CASp) can inspect the Subleased Premises and determine whether the Subleased Premises complies with all of the applicable construction-related accessibility standards under state law. Although state law does not require a CASp inspection of the Subleased Premises, the commercial property owner or lessor may not prohibit the lessee or tenant from obtaining a CASp inspection of the Subleased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Subleased Premises. Capitalized terms used but not defined in this Sublease shall have the meanings ascribed to such terms in the Master Lease.</w:t>
      </w:r>
    </w:p>
    <w:p>
      <w:pPr>
        <w:spacing w:after="0" w:line="18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Sublease Terms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497"/>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Incorporation by Reference</w:t>
      </w:r>
      <w:r>
        <w:rPr>
          <w:rFonts w:ascii="Times New Roman" w:cs="Times New Roman" w:eastAsia="Times New Roman" w:hAnsi="Times New Roman"/>
          <w:sz w:val="20"/>
          <w:szCs w:val="20"/>
          <w:color w:val="auto"/>
        </w:rPr>
        <w:t>. Except as set forth below, the terms and conditions of this Sublease shall include all of the terms of the Master Lease and such terms are incorporated into this Sublease as if fully set forth herein, except that: (i) each reference in such incorporated sections to “Lease” shall be deemed a reference to “Sublease”; (ii) each reference to the “Premises”, “Lease Term” and “Base Rent” shall be deemed a reference to the “Subleased Premises”, “Term” and “Base Rent” under this Sublease, respectively; (iii) each reference to “Landlord” and “Tenant” shall be deemed a reference to “Sublessor” and “Sublessee”, respectively, except as otherwise expressly set forth herein; (iv) with respect to work, services, repairs, restoration, insurance, indemnities, representations, warranties or the performance of any other obligation of Master Lessor under the Master Lease, the sole obligation of Sublessor shall be to request the same in writing from Master Lessor as and when requested to do so by Sublessee, and to use Sublessor’s reasonable efforts (without requiring Sublessor to spend more than a nominal sum) to obtain Master Lessor’s performance; (v) with respect to any obligation of Sublessee to be performed under this Sublease, wherever the Master Lease grants to Sublessor a specified number of days to perform its obligations under the Master Lease, except as otherwise provided herein, Sublessee shall have three (3) fewer days to perform the obligation, including, without limitation, curing any defaults (which period shall be reduced by only one (1) day if Sublessor has five (5) days (or less) to perform); (vi) with respect to any approval required to be obtained from the “Landlord” under the Master Lease, such consent must be obtained from both Master Lessor and Sublessor, and the approval of Sublessor may be withheld if Master Lessor’s consent is not obtained (provided, however, that if the consent of Master Lessor has been obtained, then Sublessor’s approval shall not be unreasonably withheld, conditioned, or delayed); (vii) in any case where the “Landlord” reserves or is granted the right to manage, supervise, control, repair, alter, regulate the use of, enter or use the Premises or any areas beneath, above or adjacent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perform any actions or cure any failures, such reservation or right shall be deemed to be for the benefit of both Master Lessor and Sublessor;</w:t>
      </w:r>
    </w:p>
    <w:p>
      <w:pPr>
        <w:spacing w:after="0" w:line="33" w:lineRule="exact"/>
        <w:rPr>
          <w:sz w:val="20"/>
          <w:szCs w:val="20"/>
          <w:color w:val="auto"/>
        </w:rPr>
      </w:pPr>
    </w:p>
    <w:p>
      <w:pPr>
        <w:jc w:val="both"/>
        <w:ind w:firstLine="8"/>
        <w:spacing w:after="0"/>
        <w:tabs>
          <w:tab w:leader="none" w:pos="46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where “Tenant” is to indemnify, release or waive claims against “Landlord”, such indemnity, release or waiver shall be deemed to cover, and run from Sublessee to, both Master Lessor and Sublessor (except to the extent any such claims, losses, liabilities, or damages giving rise to such indemnification, release, or waiver were caused by or attributable to the gross negligence or willful misconduct of Sublessor (or its agents, employees or contractors)); (ix) in any case where “Tenant” is to execute and/or deliver certain documents or notices to “Landlord”, such obligation shall be deemed to run from Sublessee to both Master Lessor and Sublessor; (x) all payments shall be made to Sublessor; (xi) Sublessee shall pay all consent and review fees set forth in the Master Lease to each of Master Lessor and Sublessor and any caps shall apply separately to Master Lessor and Sublessor (provided, however, that for the avoidance of doubt, in no event shall Sublessee shall be responsible for any fees or costs incurred by Master Lessor in connection with Master Lessor’s review and consent to this Sublease); and (xii) Sublessor’s obligations under Section 4 are limited to forwarding statements and refunds provided by Master Lessor, and Sublessee shall have no right to dispute or audit such statements. Except as expressly provided in Paragraph 4(A) above, under no circumstances shall rent abate under this Sublease except to the extent that rent correspondingly abates under the Master Lease as to the Subleased Premises.</w:t>
      </w:r>
    </w:p>
    <w:p>
      <w:pPr>
        <w:spacing w:after="0" w:line="188"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20"/>
          <w:szCs w:val="20"/>
          <w:color w:val="auto"/>
        </w:rPr>
        <w:t>Notwithstanding the foregoing, the following provisions of the Master Lease shall not be incorporated herein: Summary of Basic Lease Information, Sections 1.1.1, 1.1.2 (the first sentence only), 1.1.3 (the last sentence only), 1.2, 2.1 (except the first, third and fourth sentences), 2.2, 3, 4.6, 5.1, 5.3.1.1 (the last sentence only), 5.3.1.4.3, 6.5, 6.6, 7.3, 8.5 (the last four sentences only), 14.3 (the penultimate sentence and the parentheticals in the second sentence only), 14.4 (the last three sentences), 14.8, 18 (the first and third sentences only), 21, 23.1 (before the semicolon in the first sentence and the last two sentences only), 29.18 and 29.24, Exhibits A, B, F, G and H and the First Amendment. In addition, notwithstanding subpart (iii) above, (a) references in the following provisions to “Landlord” shall mean Master Lessor only: Sections 1.1.2(iv), 1.1.3, 4.2.4, 4.3, 6.1 (the first sentence only and the first clause in the last sentence only), 7.2, 8.4 (the last reference in the first sentence), 10.2, 11.1 (the second and third sentences only), 11.2 (except the last instance), 13 (the first sentence), 15.2 (the last reference of the first sentence only), 29.26 (the first sentence) and 29.29.1; (b) references in the following provisions to “Landlord” shall mean Master Lessor and Sublessor: Sections 4.5, 10.3.4, 10.4, 17, 24 (the third sentence only) and 26.2; (c) references to the “Permitted Use” shall mean the use permitted under Section 9 above; (d) Tenant’s Share shall mean 17.08% based on the current rentable square footage of the Premises and the Subleased Premises; (e) in Section 14.3, Sublessee shall pay Sublessor the entire premium payable to Master Lessor under the Master Lease, plus fifty percent (50%) of any remaining Transfer Premium (provided, however, that for the avoidance of doubt, the costs of Sublessee’s improvements and alterations made to the Subleased Premises to effect the Transfer shall be expressly deducted from the Transfer Premium); and (f) the reference in Section 8.1 $100,000 shall be to $50,000.</w:t>
      </w:r>
    </w:p>
    <w:p>
      <w:pPr>
        <w:spacing w:after="0" w:line="194" w:lineRule="exact"/>
        <w:rPr>
          <w:sz w:val="20"/>
          <w:szCs w:val="20"/>
          <w:color w:val="auto"/>
        </w:rPr>
      </w:pPr>
    </w:p>
    <w:p>
      <w:pPr>
        <w:jc w:val="both"/>
        <w:ind w:firstLine="1505"/>
        <w:spacing w:after="0" w:line="242" w:lineRule="auto"/>
        <w:tabs>
          <w:tab w:leader="none" w:pos="203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Assumption of Obligations</w:t>
      </w:r>
      <w:r>
        <w:rPr>
          <w:rFonts w:ascii="Times New Roman" w:cs="Times New Roman" w:eastAsia="Times New Roman" w:hAnsi="Times New Roman"/>
          <w:sz w:val="20"/>
          <w:szCs w:val="20"/>
          <w:color w:val="auto"/>
        </w:rPr>
        <w:t>. This Sublease is and at all times shall be subject and subordinate to the Master Lease and the rights of Master Lessor thereunder. Sublessee hereby expressly assumes and agrees: (i) to comply with all provisions of the Master Lease which are incorporated hereunder; and (ii) to perform all the obligations on the part of the “Tenant” to be performed under the terms of the Master Lease during the Term of this Sublease that are incorporated hereunder. In the event the Master Lease is terminated for any reason whatsoever, this Sublease shall terminate simultaneously with such termination (unless Master Lessor or a successor tenant agrees to permit Sublessee to continue to occupy the Subleased Premises on the terms of this Sublease for the remainder of the Term), without any liability of Sublessor to Sublessee. In the event of a conflict between the provisions of this Sublease and the Master Lease, as between Sublessor and Sublessee, the provisions of this Sublease shall control. In the event of a conflict between the express provisions of this Sublease and the provisions of the Master Lease, as incorporated herein, the express provisions of this Sublease shall prevail. Except as otherwise provided in this Sublease, Sublessee shall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all other rights, privileges, options, reservations and remedies granted or allowed to or held by Sublessor under the Master Lease, as incorporated herein.</w:t>
      </w:r>
    </w:p>
    <w:p>
      <w:pPr>
        <w:spacing w:after="0" w:line="159" w:lineRule="exact"/>
        <w:rPr>
          <w:sz w:val="20"/>
          <w:szCs w:val="20"/>
          <w:color w:val="auto"/>
        </w:rPr>
      </w:pPr>
    </w:p>
    <w:p>
      <w:pPr>
        <w:jc w:val="both"/>
        <w:ind w:firstLine="757"/>
        <w:spacing w:after="0" w:line="245" w:lineRule="auto"/>
        <w:tabs>
          <w:tab w:leader="none" w:pos="101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Sublease and Sublessor’s and Sublessee’s obligations hereunder are conditioned upon the written consent of Master Lessor (the “</w:t>
      </w:r>
      <w:r>
        <w:rPr>
          <w:rFonts w:ascii="Times New Roman" w:cs="Times New Roman" w:eastAsia="Times New Roman" w:hAnsi="Times New Roman"/>
          <w:sz w:val="20"/>
          <w:szCs w:val="20"/>
          <w:b w:val="1"/>
          <w:bCs w:val="1"/>
          <w:i w:val="1"/>
          <w:iCs w:val="1"/>
          <w:color w:val="auto"/>
        </w:rPr>
        <w:t>Consent</w:t>
      </w:r>
      <w:r>
        <w:rPr>
          <w:rFonts w:ascii="Times New Roman" w:cs="Times New Roman" w:eastAsia="Times New Roman" w:hAnsi="Times New Roman"/>
          <w:sz w:val="20"/>
          <w:szCs w:val="20"/>
          <w:color w:val="auto"/>
        </w:rPr>
        <w:t>”). Each party shall use commercially reasonable efforts to obtain such Consent, including by promptly signing Master Lessor’s commercially reasonable consent form (subject to each party’s reasonable review thereof). If Sublessor fails to obtain Master Lessor’s consent within thirty (30) days after execution of this Sublease by Sublessor, then Sublessor or Sublessee may terminate this Sublease by giving the other party written notice thereof prior to the date such consent is received, and Sublessor shall return to Sublessee its payment of the Prepaid Rent and the Security Deposit.</w:t>
      </w:r>
    </w:p>
    <w:p>
      <w:pPr>
        <w:spacing w:after="0" w:line="184"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Recapture; No Relocation</w:t>
      </w:r>
      <w:r>
        <w:rPr>
          <w:rFonts w:ascii="Times New Roman" w:cs="Times New Roman" w:eastAsia="Times New Roman" w:hAnsi="Times New Roman"/>
          <w:sz w:val="20"/>
          <w:szCs w:val="20"/>
          <w:color w:val="auto"/>
        </w:rPr>
        <w:t>: Notwithstanding anything to the contrary herein, Sublessee acknowledges that, under the Master Lease, both Master Lessor and Sublessor have certain termination and recapture rights, including, without limitation, in Sections 11, 13 and 14.4. Nothing herein shall prohibit Master Lessor or Sublessor from exercising any such rights in accordance with the terms of the Master Lease and neither Master Lessor nor Sublessor shall have any liability to Sublessee as a result thereof. In the event Master Lessor or Sublessor exercise any such termination or recapture rights as to all of the Subleased Premises, this Sublease shall terminate without any liability to Master Lessor or Sublessor. Notwithstanding anything herein to the contrary, in no event shall Sublessor be permitted to relocate the Subleased Premises to another location during the Term.</w:t>
      </w:r>
    </w:p>
    <w:p>
      <w:pPr>
        <w:spacing w:after="0" w:line="185"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Inducement Recapture</w:t>
      </w:r>
      <w:r>
        <w:rPr>
          <w:rFonts w:ascii="Times New Roman" w:cs="Times New Roman" w:eastAsia="Times New Roman" w:hAnsi="Times New Roman"/>
          <w:sz w:val="20"/>
          <w:szCs w:val="20"/>
          <w:color w:val="auto"/>
        </w:rPr>
        <w:t>: Any agreement for free or abated rent or other charges, or for the giving or paying by Sublessor to or for Sublessee of any cash or other bonus, inducement or consideration for Sublessee’s entering into this Sublease, all of which concessions are hereinafter referred to as “</w:t>
      </w:r>
      <w:r>
        <w:rPr>
          <w:rFonts w:ascii="Times New Roman" w:cs="Times New Roman" w:eastAsia="Times New Roman" w:hAnsi="Times New Roman"/>
          <w:sz w:val="20"/>
          <w:szCs w:val="20"/>
          <w:b w:val="1"/>
          <w:bCs w:val="1"/>
          <w:i w:val="1"/>
          <w:iCs w:val="1"/>
          <w:color w:val="auto"/>
        </w:rPr>
        <w:t>Inducement Provisions</w:t>
      </w:r>
      <w:r>
        <w:rPr>
          <w:rFonts w:ascii="Times New Roman" w:cs="Times New Roman" w:eastAsia="Times New Roman" w:hAnsi="Times New Roman"/>
          <w:sz w:val="20"/>
          <w:szCs w:val="20"/>
          <w:color w:val="auto"/>
        </w:rPr>
        <w:t>”, shall be deemed conditioned upon Sublessee’s full and faithful performance of all of the terms, covenants and conditions of this Sublease. Upon a default by Sublessee beyond applicable notice and cure periods, any such Inducement Provision shall automatically be deemed deleted from this Sublease and no further force or effect, and any rent, other charge, bonus, inducement or consideration theretofore abated, given or paid by Sublessor under such an Inducement Provision shall be immediately due and payable by Sublessee to Sublessor, notwithstanding any subsequent cure of said default by Sublessee.</w:t>
      </w:r>
    </w:p>
    <w:p>
      <w:pPr>
        <w:spacing w:after="0" w:line="185"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Parking and Signage; Amenities; Access</w:t>
      </w:r>
      <w:r>
        <w:rPr>
          <w:rFonts w:ascii="Times New Roman" w:cs="Times New Roman" w:eastAsia="Times New Roman" w:hAnsi="Times New Roman"/>
          <w:sz w:val="20"/>
          <w:szCs w:val="20"/>
          <w:color w:val="auto"/>
        </w:rPr>
        <w:t>: Sublessee shall have the right to park in 53 parking spaces in the on-site parking lot and garage that serves the Building, on an unreserved basis, as provided in Section 28 of the Master Lease, as incorporated herein. Subject to Master Lessor’s and Sublessor’s consent (which consent shall not be unreasonably withheld, conditioned, or delayed provided the consent of Master Lessor has been obtained) and Section 23 of the Master Lease, and provided the same do not unreasonably reduce or diminish Sublessor’s ability to install its own signs, Sublessee shall have the right, at its sole cost, to install its name and/or logo or any of its affiliates’ names and/or logos on (i) signage within the Subleased Premises, (ii) Building entrance signage and lobby identification signage in the Building, and (iii) to the extent space is available without reducing any existing signage (and subject to Master Lessor’s prior approval), identification signage on the monument sign serving the Building. Notwithstanding anything herein to the contrary, Sublessee shall be afforded the same amenities with respect to the Building as are afforded to Sublessor under the Master Lease, at no additional cost or expense except to the extent charged by Master Lessor (such as for food in a café). To the extent that Master Lessor’s consent is required for such amenities, Sublessor shall request such identification cards, consents, etc. as are necessary to provide such amenities access to Sublessee, which shall be at Sublessee’s sole cost. Subject to the terms of the Master Lease and Master Lessor’s rights, Sublessee shall be afforded access to the Building and the Subleased Premises on a 24 hours per day, 7 days per week, 365 days per year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757"/>
        <w:spacing w:after="0" w:line="243" w:lineRule="auto"/>
        <w:tabs>
          <w:tab w:leader="none" w:pos="117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Sublessor Representations and Warranties</w:t>
      </w:r>
      <w:r>
        <w:rPr>
          <w:rFonts w:ascii="Times New Roman" w:cs="Times New Roman" w:eastAsia="Times New Roman" w:hAnsi="Times New Roman"/>
          <w:sz w:val="20"/>
          <w:szCs w:val="20"/>
          <w:color w:val="auto"/>
        </w:rPr>
        <w:t xml:space="preserve">: Sublessor represents and warrants to Sublessee, and covenants and agrees with Sublessee that: (i) it is the holder of the interest of the “Tenant” under the Master Lease with respect to the Subleased Premises and such interest has not previously been assigned, transferred or sublet, (ii) the Master Lease is in full force and effect, (iii) Sublessor has no actual knowledge of any default by it under the Master Lease and Sublessor has not received any notices of default from Master Lessor which have not been cured, (iv) to Sublessor’s actual knowledge, Master Lessor is not in default under the Master Lease, (v)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annexed hereto contains a true, correct and complete copy of the Master Lease, and (vi) it shall not amend the Master Lease in any manner that will materially increase any obligation of Sublessee or materially decrease any rights of Sublessee without Sublessee’s prior written consent; provided, however, that for the avoidance of doubt in no event shall any such amendment have the effect of increasing Sublessee’s rental obligations owed under this Sublease.</w:t>
      </w:r>
    </w:p>
    <w:p>
      <w:pPr>
        <w:spacing w:after="0" w:line="185" w:lineRule="exact"/>
        <w:rPr>
          <w:rFonts w:ascii="Times New Roman" w:cs="Times New Roman" w:eastAsia="Times New Roman" w:hAnsi="Times New Roman"/>
          <w:sz w:val="20"/>
          <w:szCs w:val="20"/>
          <w:color w:val="auto"/>
        </w:rPr>
      </w:pPr>
    </w:p>
    <w:p>
      <w:pPr>
        <w:jc w:val="both"/>
        <w:ind w:firstLine="757"/>
        <w:spacing w:after="0" w:line="243" w:lineRule="auto"/>
        <w:tabs>
          <w:tab w:leader="none" w:pos="115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Sublease may be executed in any number of counterparts, all of which are considered one and the same original notwithstanding that all parties hereto have not signed the same counterpart. Signatures of this Sublease which are transmitted by either or both electronic or telephonic means (including, without limitation, facsimile and email) constitute valid delivery and are valid and binding for all purposes. If the signature of any party on this Sublease is not an original, but is a digital, mechanical, or electronic signature or reproduction, then the same shall be as enforceable, valid and binding as, and the legal equivalent to, an authentic and traditional ink-on-paper original wet signature penned manually by its signatory. The parties (i) intend to be bound by the signatures (whether original or electronic) on any document sent by electronic mail, (ii) are aware that the other party will rely on such signatures, and (iii) hereby waive any defenses to the enforcement of the terms of this Sublease based on the foregoing forms of signature.</w:t>
      </w:r>
    </w:p>
    <w:p>
      <w:pPr>
        <w:spacing w:after="0" w:line="189"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This Sublease shall not be amended or modified except in a writing signed by each of the parties affected by such amendment or modification. The drafting and negotiation of this Sublease has been participated in by each of the parties. For all purposes, this Sublease shall be deemed to have been drafted jointly by the parties. This Sublease shall be construed and enforced in accordance with the substantive laws of the State of California without reference to its conflicts of laws provisions. Paragraph captions used herein are solely for the convenience of the reader and do not limit or define the provisions hereof.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parties have executed this Sublease as of the day and year first above written.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8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7"/>
              </w:rPr>
              <w:t>SUBLESSOR:</w:t>
            </w:r>
          </w:p>
        </w:tc>
        <w:tc>
          <w:tcPr>
            <w:tcW w:w="5340" w:type="dxa"/>
            <w:vAlign w:val="bottom"/>
            <w:gridSpan w:val="7"/>
          </w:tcPr>
          <w:p>
            <w:pPr>
              <w:ind w:left="420"/>
              <w:spacing w:after="0"/>
              <w:rPr>
                <w:sz w:val="20"/>
                <w:szCs w:val="20"/>
                <w:color w:val="auto"/>
              </w:rPr>
            </w:pPr>
            <w:r>
              <w:rPr>
                <w:rFonts w:ascii="Times New Roman" w:cs="Times New Roman" w:eastAsia="Times New Roman" w:hAnsi="Times New Roman"/>
                <w:sz w:val="20"/>
                <w:szCs w:val="20"/>
                <w:color w:val="auto"/>
              </w:rPr>
              <w:t>SUBLESSEE:</w:t>
            </w:r>
          </w:p>
        </w:tc>
      </w:tr>
      <w:tr>
        <w:trPr>
          <w:trHeight w:val="417"/>
        </w:trPr>
        <w:tc>
          <w:tcPr>
            <w:tcW w:w="652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ARCUS BIOSCIENCES, INC.,   DAY ONE BIOPHARMACEUTICALS, INC.,</w:t>
            </w:r>
          </w:p>
        </w:tc>
      </w:tr>
      <w:tr>
        <w:trPr>
          <w:trHeight w:val="258"/>
        </w:trPr>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 Delaware corporation</w:t>
            </w:r>
          </w:p>
        </w:tc>
        <w:tc>
          <w:tcPr>
            <w:tcW w:w="46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a Delaware corporation</w:t>
            </w:r>
          </w:p>
        </w:tc>
      </w:tr>
      <w:tr>
        <w:trPr>
          <w:trHeight w:val="844"/>
        </w:trPr>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By: /s/ Bob Goeltz</w:t>
            </w:r>
          </w:p>
        </w:tc>
        <w:tc>
          <w:tcPr>
            <w:tcW w:w="1100" w:type="dxa"/>
            <w:vAlign w:val="bottom"/>
          </w:tcPr>
          <w:p>
            <w:pPr>
              <w:spacing w:after="0"/>
              <w:rPr>
                <w:sz w:val="24"/>
                <w:szCs w:val="24"/>
                <w:color w:val="auto"/>
              </w:rPr>
            </w:pPr>
          </w:p>
        </w:tc>
        <w:tc>
          <w:tcPr>
            <w:tcW w:w="350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By: /s/ Charles York</w:t>
            </w: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5"/>
        </w:trPr>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Name: Bob Goeltz</w:t>
            </w:r>
          </w:p>
        </w:tc>
        <w:tc>
          <w:tcPr>
            <w:tcW w:w="1100" w:type="dxa"/>
            <w:vAlign w:val="bottom"/>
          </w:tcPr>
          <w:p>
            <w:pPr>
              <w:spacing w:after="0"/>
              <w:rPr>
                <w:sz w:val="24"/>
                <w:szCs w:val="24"/>
                <w:color w:val="auto"/>
              </w:rPr>
            </w:pPr>
          </w:p>
        </w:tc>
        <w:tc>
          <w:tcPr>
            <w:tcW w:w="350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Name: Charles York</w:t>
            </w:r>
          </w:p>
        </w:tc>
      </w:tr>
      <w:tr>
        <w:trPr>
          <w:trHeight w:val="20"/>
        </w:trPr>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6"/>
        </w:trPr>
        <w:tc>
          <w:tcPr>
            <w:tcW w:w="1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Its: CFO</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0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Its: COO / CFO</w:t>
            </w:r>
          </w:p>
        </w:tc>
      </w:tr>
      <w:tr>
        <w:trPr>
          <w:trHeight w:val="20"/>
        </w:trPr>
        <w:tc>
          <w:tcPr>
            <w:tcW w:w="320" w:type="dxa"/>
            <w:vAlign w:val="bottom"/>
          </w:tcPr>
          <w:p>
            <w:pPr>
              <w:spacing w:after="0" w:line="20" w:lineRule="exact"/>
              <w:rPr>
                <w:sz w:val="1"/>
                <w:szCs w:val="1"/>
                <w:color w:val="auto"/>
              </w:rPr>
            </w:pPr>
          </w:p>
        </w:tc>
        <w:tc>
          <w:tcPr>
            <w:tcW w:w="2700" w:type="dxa"/>
            <w:vAlign w:val="bottom"/>
            <w:gridSpan w:val="5"/>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43"/>
        </w:trPr>
        <w:tc>
          <w:tcPr>
            <w:tcW w:w="652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Address: Arcus Biosciences, Inc.  Address for Notices:</w:t>
            </w:r>
          </w:p>
        </w:tc>
      </w:tr>
      <w:tr>
        <w:trPr>
          <w:trHeight w:val="230"/>
        </w:trPr>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3928 Point Eden Way</w:t>
            </w:r>
          </w:p>
        </w:tc>
        <w:tc>
          <w:tcPr>
            <w:tcW w:w="46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Before the Commencement Date:</w:t>
            </w:r>
          </w:p>
        </w:tc>
      </w:tr>
      <w:tr>
        <w:trPr>
          <w:trHeight w:val="229"/>
        </w:trPr>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Hayward, CA 94545</w:t>
            </w: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1"/>
        </w:trPr>
        <w:tc>
          <w:tcPr>
            <w:tcW w:w="1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Attn: Legal</w:t>
            </w:r>
          </w:p>
        </w:tc>
        <w:tc>
          <w:tcPr>
            <w:tcW w:w="534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auto"/>
              </w:rPr>
              <w:t>2000 Sierra Point Parkway, Suite 501</w:t>
            </w:r>
          </w:p>
        </w:tc>
      </w:tr>
    </w:tbl>
    <w:p>
      <w:pPr>
        <w:ind w:left="400"/>
        <w:spacing w:after="0"/>
        <w:rPr>
          <w:sz w:val="20"/>
          <w:szCs w:val="20"/>
          <w:color w:val="auto"/>
        </w:rPr>
      </w:pPr>
      <w:r>
        <w:rPr>
          <w:rFonts w:ascii="Times New Roman" w:cs="Times New Roman" w:eastAsia="Times New Roman" w:hAnsi="Times New Roman"/>
          <w:sz w:val="20"/>
          <w:szCs w:val="20"/>
          <w:color w:val="auto"/>
        </w:rPr>
        <w:t>Brisbane, CA 94005</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After the Commencement Date:</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Subleased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1330325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00" w:lineRule="exact"/>
        <w:rPr>
          <w:sz w:val="20"/>
          <w:szCs w:val="20"/>
          <w:color w:val="auto"/>
        </w:rPr>
      </w:pPr>
    </w:p>
    <w:p>
      <w:pPr>
        <w:spacing w:after="0" w:line="24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MASTER LEASE</w:t>
      </w:r>
    </w:p>
    <w:p>
      <w:pPr>
        <w:spacing w:after="0" w:line="22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618490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00" w:lineRule="exact"/>
        <w:rPr>
          <w:sz w:val="20"/>
          <w:szCs w:val="20"/>
          <w:color w:val="auto"/>
        </w:rPr>
      </w:pPr>
    </w:p>
    <w:p>
      <w:pPr>
        <w:spacing w:after="0" w:line="24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SUBLEASED PREMISES AND SHARED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6422390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u w:val="single" w:color="auto"/>
          <w:color w:val="auto"/>
        </w:rPr>
        <w:t>EXHIBIT C</w:t>
      </w:r>
    </w:p>
    <w:p>
      <w:pPr>
        <w:spacing w:after="0" w:line="21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INITIAL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618490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PURPOSE</w:t>
      </w:r>
    </w:p>
    <w:p>
      <w:pPr>
        <w:spacing w:after="0" w:line="212" w:lineRule="exact"/>
        <w:rPr>
          <w:sz w:val="20"/>
          <w:szCs w:val="20"/>
          <w:color w:val="auto"/>
        </w:rPr>
      </w:pPr>
    </w:p>
    <w:p>
      <w:pPr>
        <w:jc w:val="both"/>
        <w:ind w:left="760"/>
        <w:spacing w:after="0" w:line="244" w:lineRule="auto"/>
        <w:rPr>
          <w:sz w:val="20"/>
          <w:szCs w:val="20"/>
          <w:color w:val="auto"/>
        </w:rPr>
      </w:pPr>
      <w:r>
        <w:rPr>
          <w:rFonts w:ascii="Arial" w:cs="Arial" w:eastAsia="Arial" w:hAnsi="Arial"/>
          <w:sz w:val="18"/>
          <w:szCs w:val="18"/>
          <w:color w:val="auto"/>
        </w:rPr>
        <w:t>Day One Biopharmaceuticals, Inc. (the “Company,” “we,” “us” or “our”) is committed to promoting high standards of honest and ethical business conduct and compliance with laws, rules and regulations. Because stock is an important part of the Company’s compensation program, our Board of Directors (“Board”) has adopted this Insider Trading Policy (“Policy”) governing the purchase, sale and other dispositions of the Company’s securities by the individuals and entities covered by this Policy to promote compliance with insider trading laws, rules and regulations, as well as applicable stock exchange listing standards.</w:t>
      </w:r>
    </w:p>
    <w:p>
      <w:pPr>
        <w:spacing w:after="0" w:line="68"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Insider trading happens when someone who is in possession of material nonpublic information (“MNPI”) trades securities on the basis of that information or discloses MNPI to someone else who trades on the basis of that information.</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you are considering trading our stock or other securities, please keep these three key points in mind:</w:t>
      </w:r>
    </w:p>
    <w:p>
      <w:pPr>
        <w:spacing w:after="0" w:line="104" w:lineRule="exact"/>
        <w:rPr>
          <w:sz w:val="20"/>
          <w:szCs w:val="20"/>
          <w:color w:val="auto"/>
        </w:rPr>
      </w:pPr>
    </w:p>
    <w:p>
      <w:pPr>
        <w:ind w:left="1540" w:hanging="409"/>
        <w:spacing w:after="0"/>
        <w:tabs>
          <w:tab w:leader="none" w:pos="1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Never buy or sell our securities based on MNPI;</w:t>
      </w:r>
    </w:p>
    <w:p>
      <w:pPr>
        <w:spacing w:after="0" w:line="13" w:lineRule="exact"/>
        <w:rPr>
          <w:rFonts w:ascii="Arial" w:cs="Arial" w:eastAsia="Arial" w:hAnsi="Arial"/>
          <w:sz w:val="18"/>
          <w:szCs w:val="18"/>
          <w:color w:val="auto"/>
        </w:rPr>
      </w:pPr>
    </w:p>
    <w:p>
      <w:pPr>
        <w:ind w:left="1540" w:hanging="409"/>
        <w:spacing w:after="0" w:line="234" w:lineRule="auto"/>
        <w:tabs>
          <w:tab w:leader="none" w:pos="1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Keep all MNPI confidential, including from your family and friends; and</w:t>
      </w:r>
    </w:p>
    <w:p>
      <w:pPr>
        <w:ind w:left="1540" w:hanging="409"/>
        <w:spacing w:after="0"/>
        <w:tabs>
          <w:tab w:leader="none" w:pos="1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When in doubt about whether you have MNPI, ask before trading.</w:t>
      </w:r>
    </w:p>
    <w:p>
      <w:pPr>
        <w:spacing w:after="0" w:line="86"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You are responsible for understanding and following this Policy and for the consequences of any actions you may take. Our Chief Compliance Officer or Chief Financial Officer will assist with implementing, interpreting and enforcing this Policy, pre-clearing trading activities of certain people, and pre-approving any Rule 10b5-1 Plans (plans that permit insiders to sell Company securities on a pre-determined schedule that the insider does not control, discussed more fully later in this Policy).</w:t>
      </w:r>
    </w:p>
    <w:p>
      <w:pPr>
        <w:spacing w:after="0" w:line="28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7"/>
          <w:szCs w:val="17"/>
          <w:b w:val="1"/>
          <w:bCs w:val="1"/>
          <w:color w:val="auto"/>
        </w:rPr>
        <w:t>SCOPE</w:t>
      </w:r>
    </w:p>
    <w:p>
      <w:pPr>
        <w:spacing w:after="0" w:line="212" w:lineRule="exact"/>
        <w:rPr>
          <w:sz w:val="20"/>
          <w:szCs w:val="20"/>
          <w:color w:val="auto"/>
        </w:rPr>
      </w:pPr>
    </w:p>
    <w:p>
      <w:pPr>
        <w:jc w:val="both"/>
        <w:ind w:left="760"/>
        <w:spacing w:after="0" w:line="239" w:lineRule="auto"/>
        <w:rPr>
          <w:sz w:val="20"/>
          <w:szCs w:val="20"/>
          <w:color w:val="auto"/>
        </w:rPr>
      </w:pPr>
      <w:r>
        <w:rPr>
          <w:rFonts w:ascii="Arial" w:cs="Arial" w:eastAsia="Arial" w:hAnsi="Arial"/>
          <w:sz w:val="18"/>
          <w:szCs w:val="18"/>
          <w:color w:val="auto"/>
        </w:rPr>
        <w:t>This Policy applies to our employees, contractors, consultants and Board members, as well as to their immediate family members, people sharing their households and anyone subject to their influence or control. It also applies to entities such as venture capital funds, partnerships, trusts and corporations that are associated or affiliated with our employees, contractors or consultants and Board members. An “immediate family member” under this Policy means any child, stepchild, parent, stepparent, spouse, domestic partner, sibling, mother-in-law, father-in- law, son-in-law, daughter-in-law, brother-in-law, or sister-in-law of a person security holder, and includes any person (other than a tenant or employee) sharing the household of that person. We will refer to all of these individuals and entities in this Policy collectively as “Insiders.” Notwithstanding the foregoing, this Policy shall not apply to any venture capital fund or other entity that engages in the investment of securities in the ordinary course of its business (e.g., an investment fund or partnership) other than for an Employee, officer or directors own account if such entity has established its own insider trading controls and procedures in compliance with applicable securities laws.</w:t>
      </w:r>
    </w:p>
    <w:p>
      <w:pPr>
        <w:spacing w:after="0" w:line="72"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Additional trading restrictions in this Policy apply to our officers (as defined in Rule 16a-1(f) of the Securities Exchange Act of 1934, as amended (the “Exchange Act”)), and directors (together with the officers, the “Section 16 Insiders”) and to the individuals listed on Exhibit A (“Designated Insiders”) who are not Section 16 Insiders but who have regular access to MNPI in the normal course of their job. The list of Designated Insiders may be modified by our Chief Compliance Officer or Chief Financial Officer.</w:t>
      </w:r>
    </w:p>
    <w:p>
      <w:pPr>
        <w:spacing w:after="0" w:line="66"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If you are aware of MNPI when your employment or service relationship with the Company ends, you still may not trade our securities until that MNPI has become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0000"/>
        </w:rPr>
        <w:t>Printed or downloaded documents must be verified against the effective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CONFIDENTIAL INFORMATION</w:t>
      </w:r>
    </w:p>
    <w:p>
      <w:pPr>
        <w:jc w:val="center"/>
        <w:spacing w:after="0"/>
        <w:rPr>
          <w:sz w:val="20"/>
          <w:szCs w:val="20"/>
          <w:color w:val="auto"/>
        </w:rPr>
      </w:pPr>
      <w:r>
        <w:rPr>
          <w:rFonts w:ascii="Arial" w:cs="Arial" w:eastAsia="Arial" w:hAnsi="Arial"/>
          <w:sz w:val="16"/>
          <w:szCs w:val="16"/>
          <w:b w:val="1"/>
          <w:bCs w:val="1"/>
          <w:color w:val="auto"/>
        </w:rPr>
        <w:t>Do not distribute outside of Day One Biopharmaceuticals Inc. without a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Company will not transact in its securities unless in compliance with U.S. securities laws.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primary purpose of this Policy is to prevent people who are in possession of MNPI from trading in our stock or other securities on the basis of that MNPI or disclosing MNPI to someone else who trades on the basis of that information.</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“Material information” is information about the Company, positive or negative, that a reasonable stockholder would consider important in making a decision to purchase or sell the Company’s securities. Material information can be positive or negative and can relate to virtually any aspect of the Company’s business or its securities.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Examples of material information may include:</w:t>
      </w:r>
    </w:p>
    <w:p>
      <w:pPr>
        <w:spacing w:after="0" w:line="104" w:lineRule="exact"/>
        <w:rPr>
          <w:sz w:val="20"/>
          <w:szCs w:val="20"/>
          <w:color w:val="auto"/>
        </w:rPr>
      </w:pPr>
    </w:p>
    <w:p>
      <w:pPr>
        <w:ind w:left="680" w:hanging="40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financial information (especially cash balance, burn and runway);</w:t>
      </w:r>
    </w:p>
    <w:p>
      <w:pPr>
        <w:spacing w:after="0" w:line="36" w:lineRule="exact"/>
        <w:rPr>
          <w:rFonts w:ascii="Arial" w:cs="Arial" w:eastAsia="Arial" w:hAnsi="Arial"/>
          <w:sz w:val="18"/>
          <w:szCs w:val="18"/>
          <w:color w:val="auto"/>
        </w:rPr>
      </w:pPr>
    </w:p>
    <w:p>
      <w:pPr>
        <w:ind w:left="680" w:hanging="40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significant regulatory communications;</w:t>
      </w:r>
    </w:p>
    <w:p>
      <w:pPr>
        <w:spacing w:after="0" w:line="36" w:lineRule="exact"/>
        <w:rPr>
          <w:rFonts w:ascii="Arial" w:cs="Arial" w:eastAsia="Arial" w:hAnsi="Arial"/>
          <w:sz w:val="18"/>
          <w:szCs w:val="18"/>
          <w:color w:val="auto"/>
        </w:rPr>
      </w:pPr>
    </w:p>
    <w:p>
      <w:pPr>
        <w:ind w:left="680" w:hanging="40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timing and achievement of major development milestones;</w:t>
      </w:r>
    </w:p>
    <w:p>
      <w:pPr>
        <w:spacing w:after="0" w:line="31" w:lineRule="exact"/>
        <w:rPr>
          <w:rFonts w:ascii="Arial" w:cs="Arial" w:eastAsia="Arial" w:hAnsi="Arial"/>
          <w:sz w:val="18"/>
          <w:szCs w:val="18"/>
          <w:color w:val="auto"/>
        </w:rPr>
      </w:pPr>
    </w:p>
    <w:p>
      <w:pPr>
        <w:ind w:left="680" w:hanging="40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results of studies and trials;</w:t>
      </w:r>
    </w:p>
    <w:p>
      <w:pPr>
        <w:spacing w:after="0" w:line="26" w:lineRule="exact"/>
        <w:rPr>
          <w:rFonts w:ascii="Arial" w:cs="Arial" w:eastAsia="Arial" w:hAnsi="Arial"/>
          <w:sz w:val="18"/>
          <w:szCs w:val="18"/>
          <w:color w:val="auto"/>
        </w:rPr>
      </w:pPr>
    </w:p>
    <w:p>
      <w:pPr>
        <w:ind w:left="680" w:hanging="40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entry into a new commercial agreement or termination of an existing commercial agreement;</w:t>
      </w:r>
    </w:p>
    <w:p>
      <w:pPr>
        <w:spacing w:after="0" w:line="36" w:lineRule="exact"/>
        <w:rPr>
          <w:rFonts w:ascii="Arial" w:cs="Arial" w:eastAsia="Arial" w:hAnsi="Arial"/>
          <w:sz w:val="18"/>
          <w:szCs w:val="18"/>
          <w:color w:val="auto"/>
        </w:rPr>
      </w:pPr>
    </w:p>
    <w:p>
      <w:pPr>
        <w:ind w:left="680" w:hanging="40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mergers or acquisitions;</w:t>
      </w:r>
    </w:p>
    <w:p>
      <w:pPr>
        <w:spacing w:after="0" w:line="31" w:lineRule="exact"/>
        <w:rPr>
          <w:rFonts w:ascii="Arial" w:cs="Arial" w:eastAsia="Arial" w:hAnsi="Arial"/>
          <w:sz w:val="18"/>
          <w:szCs w:val="18"/>
          <w:color w:val="auto"/>
        </w:rPr>
      </w:pPr>
    </w:p>
    <w:p>
      <w:pPr>
        <w:ind w:left="680" w:hanging="40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important pipeline expansion;</w:t>
      </w:r>
    </w:p>
    <w:p>
      <w:pPr>
        <w:spacing w:after="0" w:line="26" w:lineRule="exact"/>
        <w:rPr>
          <w:rFonts w:ascii="Arial" w:cs="Arial" w:eastAsia="Arial" w:hAnsi="Arial"/>
          <w:sz w:val="18"/>
          <w:szCs w:val="18"/>
          <w:color w:val="auto"/>
        </w:rPr>
      </w:pPr>
    </w:p>
    <w:p>
      <w:pPr>
        <w:ind w:left="680" w:hanging="40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significant cybersecurity incidents or data breaches;</w:t>
      </w:r>
    </w:p>
    <w:p>
      <w:pPr>
        <w:spacing w:after="0" w:line="31" w:lineRule="exact"/>
        <w:rPr>
          <w:rFonts w:ascii="Arial" w:cs="Arial" w:eastAsia="Arial" w:hAnsi="Arial"/>
          <w:sz w:val="18"/>
          <w:szCs w:val="18"/>
          <w:color w:val="auto"/>
        </w:rPr>
      </w:pPr>
    </w:p>
    <w:p>
      <w:pPr>
        <w:ind w:left="680" w:hanging="40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significant new litigation or regulatory inquires or developments in existing litigation or inquires;</w:t>
      </w:r>
    </w:p>
    <w:p>
      <w:pPr>
        <w:spacing w:after="0" w:line="26" w:lineRule="exact"/>
        <w:rPr>
          <w:rFonts w:ascii="Arial" w:cs="Arial" w:eastAsia="Arial" w:hAnsi="Arial"/>
          <w:sz w:val="18"/>
          <w:szCs w:val="18"/>
          <w:color w:val="auto"/>
        </w:rPr>
      </w:pPr>
    </w:p>
    <w:p>
      <w:pPr>
        <w:ind w:left="680" w:hanging="40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significant developments in borrowings, or financings or capital investments;</w:t>
      </w:r>
    </w:p>
    <w:p>
      <w:pPr>
        <w:spacing w:after="0" w:line="36" w:lineRule="exact"/>
        <w:rPr>
          <w:rFonts w:ascii="Arial" w:cs="Arial" w:eastAsia="Arial" w:hAnsi="Arial"/>
          <w:sz w:val="18"/>
          <w:szCs w:val="18"/>
          <w:color w:val="auto"/>
        </w:rPr>
      </w:pPr>
    </w:p>
    <w:p>
      <w:pPr>
        <w:ind w:left="680" w:hanging="40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significant changes in corporate strategy;</w:t>
      </w:r>
    </w:p>
    <w:p>
      <w:pPr>
        <w:spacing w:after="0" w:line="31" w:lineRule="exact"/>
        <w:rPr>
          <w:rFonts w:ascii="Arial" w:cs="Arial" w:eastAsia="Arial" w:hAnsi="Arial"/>
          <w:sz w:val="18"/>
          <w:szCs w:val="18"/>
          <w:color w:val="auto"/>
        </w:rPr>
      </w:pPr>
    </w:p>
    <w:p>
      <w:pPr>
        <w:ind w:left="780" w:hanging="498"/>
        <w:spacing w:after="0"/>
        <w:tabs>
          <w:tab w:leader="none" w:pos="78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color w:val="auto"/>
        </w:rPr>
        <w:t>restatements of historical financial statements;</w:t>
      </w:r>
    </w:p>
    <w:p>
      <w:pPr>
        <w:spacing w:after="0" w:line="39"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stock offerings or stock splits; and</w:t>
      </w:r>
    </w:p>
    <w:p>
      <w:pPr>
        <w:spacing w:after="0" w:line="36" w:lineRule="exact"/>
        <w:rPr>
          <w:rFonts w:ascii="Arial" w:cs="Arial" w:eastAsia="Arial" w:hAnsi="Arial"/>
          <w:sz w:val="18"/>
          <w:szCs w:val="18"/>
          <w:color w:val="auto"/>
        </w:rPr>
      </w:pPr>
    </w:p>
    <w:p>
      <w:pPr>
        <w:ind w:left="680" w:hanging="40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changes in senior executive management or our Board.</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list is illustrative only and is not intended to provide a comprehensive list of circumstances that could result in material information. Determination of what may constitute material information will depend upon the facts and circumstances in each particular situation.</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“Nonpublic” means that the confidential information has not yet been shared broadly outside the Company. Please remember as well that we may possess confidential information relating to or belonging to our collaborators, partners or other third parties and that it is equally important that we treat this information with the same care with which we treat our own information. If you are not sure whether information is considered public, you should either consult with our Chief Compliance Officer or Chief Financial Officer or assume that the information is nonpublic and treat it as confidential.</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Policy applies to all transactions involving our securities, including common stock, restricted stock units (“RSUs”), options and warrants to purchase common stock and any other debt or equity securities the Company may issue from time to time, such as bonds, preferred stock, convertible notes, as well as to derivative securities relating to the Company’s securities, whether or not issued by the Company, such as exchange-traded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242570</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0"/>
          <w:szCs w:val="20"/>
          <w:color w:val="auto"/>
        </w:rPr>
      </w:pPr>
    </w:p>
    <w:p>
      <w:pPr>
        <w:jc w:val="center"/>
        <w:ind w:right="740"/>
        <w:spacing w:after="0"/>
        <w:rPr>
          <w:sz w:val="20"/>
          <w:szCs w:val="20"/>
          <w:color w:val="auto"/>
        </w:rPr>
      </w:pPr>
      <w:r>
        <w:rPr>
          <w:rFonts w:ascii="Arial" w:cs="Arial" w:eastAsia="Arial" w:hAnsi="Arial"/>
          <w:sz w:val="16"/>
          <w:szCs w:val="16"/>
          <w:b w:val="1"/>
          <w:bCs w:val="1"/>
          <w:color w:val="FF0000"/>
        </w:rPr>
        <w:t>Printed or downloaded documents must be verified against the effective version.</w:t>
      </w:r>
    </w:p>
    <w:p>
      <w:pPr>
        <w:spacing w:after="0" w:line="22"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i w:val="1"/>
          <w:iCs w:val="1"/>
          <w:color w:val="auto"/>
        </w:rPr>
        <w:t>CONFIDENTIAL INFORMATION</w:t>
      </w:r>
    </w:p>
    <w:p>
      <w:pPr>
        <w:ind w:left="1100"/>
        <w:spacing w:after="0"/>
        <w:rPr>
          <w:sz w:val="20"/>
          <w:szCs w:val="20"/>
          <w:color w:val="auto"/>
        </w:rPr>
      </w:pPr>
      <w:r>
        <w:rPr>
          <w:rFonts w:ascii="Arial" w:cs="Arial" w:eastAsia="Arial" w:hAnsi="Arial"/>
          <w:sz w:val="16"/>
          <w:szCs w:val="16"/>
          <w:b w:val="1"/>
          <w:bCs w:val="1"/>
          <w:color w:val="auto"/>
        </w:rPr>
        <w:t>Do not distribute outside of Day One Biopharmaceuticals Inc. without a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306705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688"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7"/>
          <w:szCs w:val="17"/>
          <w:b w:val="1"/>
          <w:bCs w:val="1"/>
          <w:color w:val="auto"/>
        </w:rPr>
        <w:t>DELEGATION OF ACTIVITIES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Responsible roles identified in this policy may delegate an activity to a qualified delegate but retain accountability for the outcome.</w:t>
      </w:r>
    </w:p>
    <w:p>
      <w:pPr>
        <w:spacing w:after="0" w:line="3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7"/>
          <w:szCs w:val="17"/>
          <w:b w:val="1"/>
          <w:bCs w:val="1"/>
          <w:color w:val="auto"/>
        </w:rPr>
        <w:t>DEFINITIONS AND KEY TERMS</w:t>
      </w:r>
    </w:p>
    <w:p>
      <w:pPr>
        <w:spacing w:after="0" w:line="3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GUI-004</w:t>
      </w:r>
      <w:r>
        <w:rPr>
          <w:rFonts w:ascii="Arial" w:cs="Arial" w:eastAsia="Arial" w:hAnsi="Arial"/>
          <w:sz w:val="18"/>
          <w:szCs w:val="18"/>
          <w:color w:val="auto"/>
        </w:rPr>
        <w:t xml:space="preserve"> Day One Glossary</w:t>
      </w:r>
    </w:p>
    <w:p>
      <w:pPr>
        <w:spacing w:after="0" w:line="3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7"/>
          <w:szCs w:val="17"/>
          <w:b w:val="1"/>
          <w:bCs w:val="1"/>
          <w:color w:val="auto"/>
        </w:rPr>
        <w:t>POLICY</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Prohibited Activities and Other Restrictions</w:t>
      </w:r>
    </w:p>
    <w:p>
      <w:pPr>
        <w:spacing w:after="0" w:line="10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8"/>
          <w:szCs w:val="18"/>
          <w:color w:val="auto"/>
        </w:rPr>
        <w:t>Insider Restrictions</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 is a list of prohibited activities for all Insiders:</w:t>
      </w:r>
    </w:p>
    <w:p>
      <w:pPr>
        <w:spacing w:after="0" w:line="131" w:lineRule="exact"/>
        <w:rPr>
          <w:sz w:val="20"/>
          <w:szCs w:val="20"/>
          <w:color w:val="auto"/>
        </w:rPr>
      </w:pPr>
    </w:p>
    <w:p>
      <w:pPr>
        <w:ind w:left="1960" w:right="800" w:hanging="365"/>
        <w:spacing w:after="0" w:line="230" w:lineRule="auto"/>
        <w:tabs>
          <w:tab w:leader="none" w:pos="1960" w:val="left"/>
        </w:tabs>
        <w:numPr>
          <w:ilvl w:val="0"/>
          <w:numId w:val="78"/>
        </w:numPr>
        <w:rPr>
          <w:rFonts w:ascii="Times New Roman" w:cs="Times New Roman" w:eastAsia="Times New Roman" w:hAnsi="Times New Roman"/>
          <w:sz w:val="22"/>
          <w:szCs w:val="22"/>
          <w:color w:val="auto"/>
        </w:rPr>
      </w:pPr>
      <w:r>
        <w:rPr>
          <w:rFonts w:ascii="Arial" w:cs="Arial" w:eastAsia="Arial" w:hAnsi="Arial"/>
          <w:sz w:val="18"/>
          <w:szCs w:val="18"/>
          <w:color w:val="auto"/>
        </w:rPr>
        <w:t>Trade our securities while in possession of any MNPI (other than pursuant to a 10b5-1 Plan entered into in accordance with this Policy).</w:t>
      </w:r>
    </w:p>
    <w:p>
      <w:pPr>
        <w:spacing w:after="0" w:line="31" w:lineRule="exact"/>
        <w:rPr>
          <w:rFonts w:ascii="Times New Roman" w:cs="Times New Roman" w:eastAsia="Times New Roman" w:hAnsi="Times New Roman"/>
          <w:sz w:val="22"/>
          <w:szCs w:val="22"/>
          <w:color w:val="auto"/>
        </w:rPr>
      </w:pPr>
    </w:p>
    <w:p>
      <w:pPr>
        <w:jc w:val="both"/>
        <w:ind w:left="1960" w:hanging="365"/>
        <w:spacing w:after="0" w:line="234" w:lineRule="auto"/>
        <w:tabs>
          <w:tab w:leader="none" w:pos="1960" w:val="left"/>
        </w:tabs>
        <w:numPr>
          <w:ilvl w:val="0"/>
          <w:numId w:val="78"/>
        </w:numPr>
        <w:rPr>
          <w:rFonts w:ascii="Times New Roman" w:cs="Times New Roman" w:eastAsia="Times New Roman" w:hAnsi="Times New Roman"/>
          <w:sz w:val="22"/>
          <w:szCs w:val="22"/>
          <w:color w:val="auto"/>
        </w:rPr>
      </w:pPr>
      <w:r>
        <w:rPr>
          <w:rFonts w:ascii="Arial" w:cs="Arial" w:eastAsia="Arial" w:hAnsi="Arial"/>
          <w:sz w:val="18"/>
          <w:szCs w:val="18"/>
          <w:color w:val="auto"/>
        </w:rPr>
        <w:t xml:space="preserve">Trade our securities outside of a Trading Window or during a Blackout Period designated by our Chief Compliance Officer or Chief Financial Officer (other than pursuant to a 10b5-1 Plan entered into in accordance with this Policy). See the definition of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Trading Window</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Blackout Period</w:t>
      </w:r>
      <w:r>
        <w:rPr>
          <w:rFonts w:ascii="Arial" w:cs="Arial" w:eastAsia="Arial" w:hAnsi="Arial"/>
          <w:sz w:val="18"/>
          <w:szCs w:val="18"/>
          <w:color w:val="auto"/>
        </w:rPr>
        <w:t>” below.</w:t>
      </w:r>
    </w:p>
    <w:p>
      <w:pPr>
        <w:spacing w:after="0" w:line="24" w:lineRule="exact"/>
        <w:rPr>
          <w:rFonts w:ascii="Times New Roman" w:cs="Times New Roman" w:eastAsia="Times New Roman" w:hAnsi="Times New Roman"/>
          <w:sz w:val="22"/>
          <w:szCs w:val="22"/>
          <w:color w:val="auto"/>
        </w:rPr>
      </w:pPr>
    </w:p>
    <w:p>
      <w:pPr>
        <w:ind w:left="1960" w:right="20" w:hanging="365"/>
        <w:spacing w:after="0" w:line="230" w:lineRule="auto"/>
        <w:tabs>
          <w:tab w:leader="none" w:pos="1960" w:val="left"/>
        </w:tabs>
        <w:numPr>
          <w:ilvl w:val="0"/>
          <w:numId w:val="78"/>
        </w:numPr>
        <w:rPr>
          <w:rFonts w:ascii="Times New Roman" w:cs="Times New Roman" w:eastAsia="Times New Roman" w:hAnsi="Times New Roman"/>
          <w:sz w:val="22"/>
          <w:szCs w:val="22"/>
          <w:color w:val="auto"/>
        </w:rPr>
      </w:pPr>
      <w:r>
        <w:rPr>
          <w:rFonts w:ascii="Arial" w:cs="Arial" w:eastAsia="Arial" w:hAnsi="Arial"/>
          <w:sz w:val="18"/>
          <w:szCs w:val="18"/>
          <w:color w:val="auto"/>
        </w:rPr>
        <w:t>Unless approved in advance by our Chief Compliance Officer or Chief Financial Officer, make a gift, charitable contribution or other transfer without consideration, of our securities during a period when the Insider cannot trade.</w:t>
      </w:r>
    </w:p>
    <w:p>
      <w:pPr>
        <w:spacing w:after="0" w:line="18" w:lineRule="exact"/>
        <w:rPr>
          <w:rFonts w:ascii="Times New Roman" w:cs="Times New Roman" w:eastAsia="Times New Roman" w:hAnsi="Times New Roman"/>
          <w:sz w:val="22"/>
          <w:szCs w:val="22"/>
          <w:color w:val="auto"/>
        </w:rPr>
      </w:pPr>
    </w:p>
    <w:p>
      <w:pPr>
        <w:jc w:val="both"/>
        <w:ind w:left="1960" w:hanging="365"/>
        <w:spacing w:after="0" w:line="233" w:lineRule="auto"/>
        <w:tabs>
          <w:tab w:leader="none" w:pos="1960" w:val="left"/>
        </w:tabs>
        <w:numPr>
          <w:ilvl w:val="0"/>
          <w:numId w:val="78"/>
        </w:numPr>
        <w:rPr>
          <w:rFonts w:ascii="Times New Roman" w:cs="Times New Roman" w:eastAsia="Times New Roman" w:hAnsi="Times New Roman"/>
          <w:sz w:val="22"/>
          <w:szCs w:val="22"/>
          <w:color w:val="auto"/>
        </w:rPr>
      </w:pPr>
      <w:r>
        <w:rPr>
          <w:rFonts w:ascii="Arial" w:cs="Arial" w:eastAsia="Arial" w:hAnsi="Arial"/>
          <w:sz w:val="18"/>
          <w:szCs w:val="18"/>
          <w:color w:val="auto"/>
        </w:rPr>
        <w:t>Share MNPI with any outside person, unless required by your job and such person is under NDA, or as authorized by our Chief Compliance Officer or Chief Financial Officer; provided that a director may disclose such information to his or her affiliates so long as such affiliates have established their own insider trading controls and procedures in compliance with applicable securities laws. For further clarity, a director that is originally sponsored, nominated or designated by a third party person or entity (the “</w:t>
      </w:r>
      <w:r>
        <w:rPr>
          <w:rFonts w:ascii="Arial" w:cs="Arial" w:eastAsia="Arial" w:hAnsi="Arial"/>
          <w:sz w:val="18"/>
          <w:szCs w:val="18"/>
          <w:b w:val="1"/>
          <w:bCs w:val="1"/>
          <w:i w:val="1"/>
          <w:iCs w:val="1"/>
          <w:color w:val="auto"/>
        </w:rPr>
        <w:t>Sponsoring Party</w:t>
      </w:r>
      <w:r>
        <w:rPr>
          <w:rFonts w:ascii="Arial" w:cs="Arial" w:eastAsia="Arial" w:hAnsi="Arial"/>
          <w:sz w:val="18"/>
          <w:szCs w:val="18"/>
          <w:color w:val="auto"/>
        </w:rPr>
        <w:t>”) may share MNPI with their respective Sponsoring Party whether or not such Sponsoring Party is an affiliate of the director.</w:t>
      </w:r>
    </w:p>
    <w:p>
      <w:pPr>
        <w:spacing w:after="0" w:line="32" w:lineRule="exact"/>
        <w:rPr>
          <w:rFonts w:ascii="Times New Roman" w:cs="Times New Roman" w:eastAsia="Times New Roman" w:hAnsi="Times New Roman"/>
          <w:sz w:val="22"/>
          <w:szCs w:val="22"/>
          <w:color w:val="auto"/>
        </w:rPr>
      </w:pPr>
    </w:p>
    <w:p>
      <w:pPr>
        <w:jc w:val="both"/>
        <w:ind w:left="1960" w:hanging="365"/>
        <w:spacing w:after="0" w:line="232" w:lineRule="auto"/>
        <w:tabs>
          <w:tab w:leader="none" w:pos="1960" w:val="left"/>
        </w:tabs>
        <w:numPr>
          <w:ilvl w:val="0"/>
          <w:numId w:val="78"/>
        </w:numPr>
        <w:rPr>
          <w:rFonts w:ascii="Times New Roman" w:cs="Times New Roman" w:eastAsia="Times New Roman" w:hAnsi="Times New Roman"/>
          <w:sz w:val="22"/>
          <w:szCs w:val="22"/>
          <w:color w:val="auto"/>
        </w:rPr>
      </w:pPr>
      <w:r>
        <w:rPr>
          <w:rFonts w:ascii="Arial" w:cs="Arial" w:eastAsia="Arial" w:hAnsi="Arial"/>
          <w:sz w:val="18"/>
          <w:szCs w:val="18"/>
          <w:color w:val="auto"/>
        </w:rPr>
        <w:t>Give trading advice about the Company, unless the advice is to tell someone not to trade our securities because the trade would violate this Policy or the law; provided that a director may provide such advice to his or her affiliates so long as such affiliates have established their own insider trading controls and procedures in compliance with applicable securities laws.</w:t>
      </w:r>
    </w:p>
    <w:p>
      <w:pPr>
        <w:spacing w:after="0" w:line="32" w:lineRule="exact"/>
        <w:rPr>
          <w:rFonts w:ascii="Times New Roman" w:cs="Times New Roman" w:eastAsia="Times New Roman" w:hAnsi="Times New Roman"/>
          <w:sz w:val="22"/>
          <w:szCs w:val="22"/>
          <w:color w:val="auto"/>
        </w:rPr>
      </w:pPr>
    </w:p>
    <w:p>
      <w:pPr>
        <w:ind w:left="1960" w:hanging="365"/>
        <w:spacing w:after="0" w:line="230" w:lineRule="auto"/>
        <w:tabs>
          <w:tab w:leader="none" w:pos="1960" w:val="left"/>
        </w:tabs>
        <w:numPr>
          <w:ilvl w:val="0"/>
          <w:numId w:val="78"/>
        </w:numPr>
        <w:rPr>
          <w:rFonts w:ascii="Times New Roman" w:cs="Times New Roman" w:eastAsia="Times New Roman" w:hAnsi="Times New Roman"/>
          <w:sz w:val="22"/>
          <w:szCs w:val="22"/>
          <w:color w:val="auto"/>
        </w:rPr>
      </w:pPr>
      <w:r>
        <w:rPr>
          <w:rFonts w:ascii="Arial" w:cs="Arial" w:eastAsia="Arial" w:hAnsi="Arial"/>
          <w:sz w:val="18"/>
          <w:szCs w:val="18"/>
          <w:color w:val="auto"/>
        </w:rPr>
        <w:t>Other than the exercise of equity awards issued by us, engage in transactions involving options or other derivative securities on our stock, such as puts and calls, whether on an exchange or in any other market.</w:t>
      </w:r>
    </w:p>
    <w:p>
      <w:pPr>
        <w:spacing w:after="0" w:line="18" w:lineRule="exact"/>
        <w:rPr>
          <w:rFonts w:ascii="Times New Roman" w:cs="Times New Roman" w:eastAsia="Times New Roman" w:hAnsi="Times New Roman"/>
          <w:sz w:val="22"/>
          <w:szCs w:val="22"/>
          <w:color w:val="auto"/>
        </w:rPr>
      </w:pPr>
    </w:p>
    <w:p>
      <w:pPr>
        <w:jc w:val="both"/>
        <w:ind w:left="1960" w:hanging="365"/>
        <w:spacing w:after="0" w:line="231" w:lineRule="auto"/>
        <w:tabs>
          <w:tab w:leader="none" w:pos="1960" w:val="left"/>
        </w:tabs>
        <w:numPr>
          <w:ilvl w:val="0"/>
          <w:numId w:val="78"/>
        </w:numPr>
        <w:rPr>
          <w:rFonts w:ascii="Times New Roman" w:cs="Times New Roman" w:eastAsia="Times New Roman" w:hAnsi="Times New Roman"/>
          <w:sz w:val="22"/>
          <w:szCs w:val="22"/>
          <w:color w:val="auto"/>
        </w:rPr>
      </w:pPr>
      <w:r>
        <w:rPr>
          <w:rFonts w:ascii="Arial" w:cs="Arial" w:eastAsia="Arial" w:hAnsi="Arial"/>
          <w:sz w:val="18"/>
          <w:szCs w:val="18"/>
          <w:color w:val="auto"/>
        </w:rPr>
        <w:t>Engage in hedging or monetization transactions involving our securities, such as zero cost collars and forward sale contracts, or contribute our securities to exchange funds in a manner that could be interpreted as hedging in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0000"/>
        </w:rPr>
        <w:t>Printed or downloaded documents must be verified against the effective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CONFIDENTIAL INFORMATION</w:t>
      </w:r>
    </w:p>
    <w:p>
      <w:pPr>
        <w:jc w:val="center"/>
        <w:spacing w:after="0"/>
        <w:rPr>
          <w:sz w:val="20"/>
          <w:szCs w:val="20"/>
          <w:color w:val="auto"/>
        </w:rPr>
      </w:pPr>
      <w:r>
        <w:rPr>
          <w:rFonts w:ascii="Arial" w:cs="Arial" w:eastAsia="Arial" w:hAnsi="Arial"/>
          <w:sz w:val="16"/>
          <w:szCs w:val="16"/>
          <w:b w:val="1"/>
          <w:bCs w:val="1"/>
          <w:color w:val="auto"/>
        </w:rPr>
        <w:t>Do not distribute outside of Day One Biopharmaceuticals Inc. without a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0" w:right="20" w:hanging="365"/>
        <w:spacing w:after="0" w:line="230" w:lineRule="auto"/>
        <w:tabs>
          <w:tab w:leader="none" w:pos="1200" w:val="left"/>
        </w:tabs>
        <w:numPr>
          <w:ilvl w:val="0"/>
          <w:numId w:val="79"/>
        </w:numPr>
        <w:rPr>
          <w:rFonts w:ascii="Times New Roman" w:cs="Times New Roman" w:eastAsia="Times New Roman" w:hAnsi="Times New Roman"/>
          <w:sz w:val="22"/>
          <w:szCs w:val="22"/>
          <w:color w:val="auto"/>
        </w:rPr>
      </w:pPr>
      <w:r>
        <w:rPr>
          <w:rFonts w:ascii="Arial" w:cs="Arial" w:eastAsia="Arial" w:hAnsi="Arial"/>
          <w:sz w:val="18"/>
          <w:szCs w:val="18"/>
          <w:color w:val="auto"/>
        </w:rPr>
        <w:t>Engage in short sales of our securities, meaning a sale of securities that you do not own, including short sales “against the box”.</w:t>
      </w:r>
    </w:p>
    <w:p>
      <w:pPr>
        <w:spacing w:after="0" w:line="31" w:lineRule="exact"/>
        <w:rPr>
          <w:rFonts w:ascii="Times New Roman" w:cs="Times New Roman" w:eastAsia="Times New Roman" w:hAnsi="Times New Roman"/>
          <w:sz w:val="22"/>
          <w:szCs w:val="22"/>
          <w:color w:val="auto"/>
        </w:rPr>
      </w:pPr>
    </w:p>
    <w:p>
      <w:pPr>
        <w:ind w:left="1200" w:hanging="365"/>
        <w:spacing w:after="0" w:line="230" w:lineRule="auto"/>
        <w:tabs>
          <w:tab w:leader="none" w:pos="1200" w:val="left"/>
        </w:tabs>
        <w:numPr>
          <w:ilvl w:val="0"/>
          <w:numId w:val="79"/>
        </w:numPr>
        <w:rPr>
          <w:rFonts w:ascii="Times New Roman" w:cs="Times New Roman" w:eastAsia="Times New Roman" w:hAnsi="Times New Roman"/>
          <w:sz w:val="22"/>
          <w:szCs w:val="22"/>
          <w:color w:val="auto"/>
        </w:rPr>
      </w:pPr>
      <w:r>
        <w:rPr>
          <w:rFonts w:ascii="Arial" w:cs="Arial" w:eastAsia="Arial" w:hAnsi="Arial"/>
          <w:sz w:val="18"/>
          <w:szCs w:val="18"/>
          <w:color w:val="auto"/>
        </w:rPr>
        <w:t>Use or pledge our securities as collateral in a margin account or as collateral for a loan unless the pledge has been approved by our Chief Compliance Officer or Chief Financial Officer.</w:t>
      </w:r>
    </w:p>
    <w:p>
      <w:pPr>
        <w:spacing w:after="0" w:line="18" w:lineRule="exact"/>
        <w:rPr>
          <w:rFonts w:ascii="Times New Roman" w:cs="Times New Roman" w:eastAsia="Times New Roman" w:hAnsi="Times New Roman"/>
          <w:sz w:val="22"/>
          <w:szCs w:val="22"/>
          <w:color w:val="auto"/>
        </w:rPr>
      </w:pPr>
    </w:p>
    <w:p>
      <w:pPr>
        <w:jc w:val="both"/>
        <w:ind w:left="1200" w:hanging="365"/>
        <w:spacing w:after="0" w:line="231" w:lineRule="auto"/>
        <w:tabs>
          <w:tab w:leader="none" w:pos="1200" w:val="left"/>
        </w:tabs>
        <w:numPr>
          <w:ilvl w:val="0"/>
          <w:numId w:val="79"/>
        </w:numPr>
        <w:rPr>
          <w:rFonts w:ascii="Times New Roman" w:cs="Times New Roman" w:eastAsia="Times New Roman" w:hAnsi="Times New Roman"/>
          <w:sz w:val="22"/>
          <w:szCs w:val="22"/>
          <w:color w:val="auto"/>
        </w:rPr>
      </w:pPr>
      <w:r>
        <w:rPr>
          <w:rFonts w:ascii="Arial" w:cs="Arial" w:eastAsia="Arial" w:hAnsi="Arial"/>
          <w:sz w:val="18"/>
          <w:szCs w:val="18"/>
          <w:color w:val="auto"/>
        </w:rPr>
        <w:t>Distribute our securities to limited partners, general partners or stockholders of any entity outside of a Trading Window or during a Blackout Period, unless those limited partners, general partners or stockholders have agreed in writing to hold the securities until the next Trading Window.</w:t>
      </w:r>
    </w:p>
    <w:p>
      <w:pPr>
        <w:spacing w:after="0" w:line="33" w:lineRule="exact"/>
        <w:rPr>
          <w:rFonts w:ascii="Times New Roman" w:cs="Times New Roman" w:eastAsia="Times New Roman" w:hAnsi="Times New Roman"/>
          <w:sz w:val="22"/>
          <w:szCs w:val="22"/>
          <w:color w:val="auto"/>
        </w:rPr>
      </w:pPr>
    </w:p>
    <w:p>
      <w:pPr>
        <w:ind w:left="1200" w:hanging="365"/>
        <w:spacing w:after="0" w:line="230" w:lineRule="auto"/>
        <w:tabs>
          <w:tab w:leader="none" w:pos="1200" w:val="left"/>
        </w:tabs>
        <w:numPr>
          <w:ilvl w:val="0"/>
          <w:numId w:val="79"/>
        </w:numPr>
        <w:rPr>
          <w:rFonts w:ascii="Times New Roman" w:cs="Times New Roman" w:eastAsia="Times New Roman" w:hAnsi="Times New Roman"/>
          <w:sz w:val="22"/>
          <w:szCs w:val="22"/>
          <w:color w:val="auto"/>
        </w:rPr>
      </w:pPr>
      <w:r>
        <w:rPr>
          <w:rFonts w:ascii="Arial" w:cs="Arial" w:eastAsia="Arial" w:hAnsi="Arial"/>
          <w:sz w:val="18"/>
          <w:szCs w:val="18"/>
          <w:color w:val="auto"/>
        </w:rPr>
        <w:t>Engage in any of the above activities for securities you own in any other company if you have MNPI about that company obtained in the course of your service to the Company.</w:t>
      </w:r>
    </w:p>
    <w:p>
      <w:pPr>
        <w:spacing w:after="0" w:line="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8"/>
          <w:szCs w:val="18"/>
          <w:color w:val="auto"/>
        </w:rPr>
        <w:t>Additional Restrictions Applicable to Section 16 Insiders and Designated Insiders</w:t>
      </w:r>
    </w:p>
    <w:p>
      <w:pPr>
        <w:spacing w:after="0" w:line="77" w:lineRule="exact"/>
        <w:rPr>
          <w:sz w:val="20"/>
          <w:szCs w:val="20"/>
          <w:color w:val="auto"/>
        </w:rPr>
      </w:pPr>
    </w:p>
    <w:p>
      <w:pPr>
        <w:jc w:val="both"/>
        <w:ind w:left="740"/>
        <w:spacing w:after="0" w:line="271" w:lineRule="auto"/>
        <w:rPr>
          <w:sz w:val="20"/>
          <w:szCs w:val="20"/>
          <w:color w:val="auto"/>
        </w:rPr>
      </w:pPr>
      <w:r>
        <w:rPr>
          <w:rFonts w:ascii="Arial" w:cs="Arial" w:eastAsia="Arial" w:hAnsi="Arial"/>
          <w:sz w:val="18"/>
          <w:szCs w:val="18"/>
          <w:color w:val="auto"/>
        </w:rPr>
        <w:t>All of the restrictions noted above for Insiders and elsewhere in this Policy also apply to our Section 16 Insiders and Designated Insiders.</w:t>
      </w:r>
    </w:p>
    <w:p>
      <w:pPr>
        <w:spacing w:after="0" w:line="32" w:lineRule="exact"/>
        <w:rPr>
          <w:sz w:val="20"/>
          <w:szCs w:val="20"/>
          <w:color w:val="auto"/>
        </w:rPr>
      </w:pPr>
    </w:p>
    <w:p>
      <w:pPr>
        <w:jc w:val="both"/>
        <w:ind w:left="740"/>
        <w:spacing w:after="0" w:line="239" w:lineRule="auto"/>
        <w:rPr>
          <w:sz w:val="20"/>
          <w:szCs w:val="20"/>
          <w:color w:val="auto"/>
        </w:rPr>
      </w:pPr>
      <w:r>
        <w:rPr>
          <w:rFonts w:ascii="Arial" w:cs="Arial" w:eastAsia="Arial" w:hAnsi="Arial"/>
          <w:sz w:val="18"/>
          <w:szCs w:val="18"/>
          <w:color w:val="auto"/>
        </w:rPr>
        <w:t>Prior to trading our securities other than pursuant to a 10b5-1 Plan, Section 16 Officers and Designated Insiders must obtain pre- approval from our Chief Compliance Officer or Chief Financial Officer (or in the case of the Chief Compliance Officer or Chief Financial Officer, the Chief Executive Officer) by: (a) providing written notification of the amount and nature of the proposed trade, (b) certifying no earlier than two business days prior to the proposed trade that you have no MNPI and, to your knowledge, you will have no MNPI as of the proposed trade, and (c) receiving email confirmation from our Chief Compliance Officer or Chief Financial Officer approving the trade, which approval can be granted or denied at the Chief Compliance Officer’s or Chief Financial Officer’s discretion. You may satisfy (a) and (b) by emailing the required information and certification to our Chief Compliance Officer or Chief Financial Officer and must notify our Chief Compliance Officer or Chief Financial Officer promptly via email of any changes to the certification in (b) prior to the proposed trade.</w:t>
      </w:r>
    </w:p>
    <w:p>
      <w:pPr>
        <w:spacing w:after="0" w:line="4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7"/>
          <w:szCs w:val="17"/>
          <w:color w:val="auto"/>
        </w:rPr>
        <w:t>Exceptions to Prohibited Activities</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trading restrictions of this Policy do not apply to the following:</w:t>
      </w:r>
    </w:p>
    <w:p>
      <w:pPr>
        <w:spacing w:after="0" w:line="117" w:lineRule="exact"/>
        <w:rPr>
          <w:sz w:val="20"/>
          <w:szCs w:val="20"/>
          <w:color w:val="auto"/>
        </w:rPr>
      </w:pPr>
    </w:p>
    <w:p>
      <w:pPr>
        <w:jc w:val="both"/>
        <w:ind w:left="1200" w:right="400" w:hanging="365"/>
        <w:spacing w:after="0" w:line="231" w:lineRule="auto"/>
        <w:tabs>
          <w:tab w:leader="none" w:pos="1200" w:val="left"/>
        </w:tabs>
        <w:numPr>
          <w:ilvl w:val="0"/>
          <w:numId w:val="80"/>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401(k) Plan</w:t>
      </w:r>
      <w:r>
        <w:rPr>
          <w:rFonts w:ascii="Arial" w:cs="Arial" w:eastAsia="Arial" w:hAnsi="Arial"/>
          <w:sz w:val="18"/>
          <w:szCs w:val="18"/>
          <w:color w:val="auto"/>
        </w:rPr>
        <w:t>. Investing 401(k) plan contributions in a company stock fund in accordance with the terms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401(k) plan. However, any changes in your investment election regarding the Company’s securities are subject to trading restrictions under this Policy.</w:t>
      </w:r>
    </w:p>
    <w:p>
      <w:pPr>
        <w:spacing w:after="0" w:line="6" w:lineRule="exact"/>
        <w:rPr>
          <w:rFonts w:ascii="Times New Roman" w:cs="Times New Roman" w:eastAsia="Times New Roman" w:hAnsi="Times New Roman"/>
          <w:sz w:val="22"/>
          <w:szCs w:val="22"/>
          <w:color w:val="auto"/>
        </w:rPr>
      </w:pPr>
    </w:p>
    <w:p>
      <w:pPr>
        <w:jc w:val="both"/>
        <w:ind w:left="1200" w:right="400" w:hanging="365"/>
        <w:spacing w:after="0" w:line="233" w:lineRule="auto"/>
        <w:tabs>
          <w:tab w:leader="none" w:pos="1200" w:val="left"/>
        </w:tabs>
        <w:numPr>
          <w:ilvl w:val="0"/>
          <w:numId w:val="80"/>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ESPP</w:t>
      </w:r>
      <w:r>
        <w:rPr>
          <w:rFonts w:ascii="Arial" w:cs="Arial" w:eastAsia="Arial" w:hAnsi="Arial"/>
          <w:sz w:val="18"/>
          <w:szCs w:val="18"/>
          <w:color w:val="auto"/>
        </w:rPr>
        <w:t>. Purchasing our stock through periodic, automatic payroll contributions under our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Plan. Employees, other than Section 16 Insiders or Designated Insiders, may make changes in elections under the ESPP outside of a Trading Window or during a Blackout Period. Section 16 Insiders or Designated Insiders may not make any decrease in their elections under, or withdraw from, the ESPP outside of a Trading Window or during a Blackout Period. Moreover, any sales of stock acquired under the ESPP are subject to trading restrictions under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58420</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jc w:val="center"/>
        <w:ind w:right="740"/>
        <w:spacing w:after="0"/>
        <w:rPr>
          <w:sz w:val="20"/>
          <w:szCs w:val="20"/>
          <w:color w:val="auto"/>
        </w:rPr>
      </w:pPr>
      <w:r>
        <w:rPr>
          <w:rFonts w:ascii="Arial" w:cs="Arial" w:eastAsia="Arial" w:hAnsi="Arial"/>
          <w:sz w:val="16"/>
          <w:szCs w:val="16"/>
          <w:b w:val="1"/>
          <w:bCs w:val="1"/>
          <w:color w:val="FF0000"/>
        </w:rPr>
        <w:t>Printed or downloaded documents must be verified against the effective version.</w:t>
      </w:r>
    </w:p>
    <w:p>
      <w:pPr>
        <w:spacing w:after="0" w:line="22"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i w:val="1"/>
          <w:iCs w:val="1"/>
          <w:color w:val="auto"/>
        </w:rPr>
        <w:t>CONFIDENTIAL INFORMATION</w:t>
      </w:r>
    </w:p>
    <w:p>
      <w:pPr>
        <w:ind w:left="1100"/>
        <w:spacing w:after="0"/>
        <w:rPr>
          <w:sz w:val="20"/>
          <w:szCs w:val="20"/>
          <w:color w:val="auto"/>
        </w:rPr>
      </w:pPr>
      <w:r>
        <w:rPr>
          <w:rFonts w:ascii="Arial" w:cs="Arial" w:eastAsia="Arial" w:hAnsi="Arial"/>
          <w:sz w:val="16"/>
          <w:szCs w:val="16"/>
          <w:b w:val="1"/>
          <w:bCs w:val="1"/>
          <w:color w:val="auto"/>
        </w:rPr>
        <w:t>Do not distribute outside of Day One Biopharmaceuticals Inc. without a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306705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688"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960" w:right="380" w:hanging="365"/>
        <w:spacing w:after="0" w:line="233" w:lineRule="auto"/>
        <w:tabs>
          <w:tab w:leader="none" w:pos="1960" w:val="left"/>
        </w:tabs>
        <w:numPr>
          <w:ilvl w:val="0"/>
          <w:numId w:val="81"/>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Exercising stock options granted under our equity incentive plans for cash or by delivering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previously owned Company stock or through a net exercise of a stock option that is permitted by the Company’s equity incentive plan and that does not involve a sales of shares in the open market. Payment of taxes in connection with exercising stock options granted under our equity incentive plans pursuant to net settlement arrangements approved by the Company for the payment of taxes upon the exercise of stock options and that does not involve a sale of shares in the open market. However, the sale of any shares issued on the exercise of Company- granted stock options, as well as any cashless exercise of Company-granted stock options in which stock is sold on the open market to pay the exercise price or taxes (i.e., “same-day sales”) are subject to trading restrictions under this Policy.</w:t>
      </w:r>
    </w:p>
    <w:p>
      <w:pPr>
        <w:spacing w:after="0" w:line="9" w:lineRule="exact"/>
        <w:rPr>
          <w:rFonts w:ascii="Times New Roman" w:cs="Times New Roman" w:eastAsia="Times New Roman" w:hAnsi="Times New Roman"/>
          <w:sz w:val="22"/>
          <w:szCs w:val="22"/>
          <w:color w:val="auto"/>
        </w:rPr>
      </w:pPr>
    </w:p>
    <w:p>
      <w:pPr>
        <w:ind w:left="1960" w:right="400" w:hanging="365"/>
        <w:spacing w:after="0" w:line="245" w:lineRule="auto"/>
        <w:tabs>
          <w:tab w:leader="none" w:pos="1960" w:val="left"/>
        </w:tabs>
        <w:numPr>
          <w:ilvl w:val="0"/>
          <w:numId w:val="81"/>
        </w:numPr>
        <w:rPr>
          <w:rFonts w:ascii="Times New Roman" w:cs="Times New Roman" w:eastAsia="Times New Roman" w:hAnsi="Times New Roman"/>
          <w:sz w:val="21"/>
          <w:szCs w:val="21"/>
          <w:color w:val="auto"/>
        </w:rPr>
      </w:pPr>
      <w:r>
        <w:rPr>
          <w:rFonts w:ascii="Arial" w:cs="Arial" w:eastAsia="Arial" w:hAnsi="Arial"/>
          <w:sz w:val="17"/>
          <w:szCs w:val="17"/>
          <w:i w:val="1"/>
          <w:iCs w:val="1"/>
          <w:color w:val="auto"/>
        </w:rPr>
        <w:t>RSUs</w:t>
      </w:r>
      <w:r>
        <w:rPr>
          <w:rFonts w:ascii="Arial" w:cs="Arial" w:eastAsia="Arial" w:hAnsi="Arial"/>
          <w:sz w:val="17"/>
          <w:szCs w:val="17"/>
          <w:color w:val="auto"/>
        </w:rPr>
        <w:t>. The settlement of RSUs pursuant to a net settlement or a “sale to cover” for non-discretionary, automatic</w:t>
      </w:r>
      <w:r>
        <w:rPr>
          <w:rFonts w:ascii="Arial" w:cs="Arial" w:eastAsia="Arial" w:hAnsi="Arial"/>
          <w:sz w:val="17"/>
          <w:szCs w:val="17"/>
          <w:i w:val="1"/>
          <w:iCs w:val="1"/>
          <w:color w:val="auto"/>
        </w:rPr>
        <w:t xml:space="preserve"> </w:t>
      </w:r>
      <w:r>
        <w:rPr>
          <w:rFonts w:ascii="Arial" w:cs="Arial" w:eastAsia="Arial" w:hAnsi="Arial"/>
          <w:sz w:val="17"/>
          <w:szCs w:val="17"/>
          <w:color w:val="auto"/>
        </w:rPr>
        <w:t>tax withholdings initiated and approved by the Company for the payment of taxes upon the vesting of RSUs.</w:t>
      </w:r>
    </w:p>
    <w:p>
      <w:pPr>
        <w:spacing w:after="0" w:line="67"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8"/>
          <w:szCs w:val="18"/>
          <w:color w:val="auto"/>
        </w:rPr>
        <w:t>Other Legal Restrictions</w:t>
      </w:r>
    </w:p>
    <w:p>
      <w:pPr>
        <w:spacing w:after="0" w:line="104" w:lineRule="exact"/>
        <w:rPr>
          <w:sz w:val="20"/>
          <w:szCs w:val="20"/>
          <w:color w:val="auto"/>
        </w:rPr>
      </w:pPr>
    </w:p>
    <w:p>
      <w:pPr>
        <w:jc w:val="both"/>
        <w:ind w:left="1500"/>
        <w:spacing w:after="0" w:line="244" w:lineRule="auto"/>
        <w:rPr>
          <w:sz w:val="20"/>
          <w:szCs w:val="20"/>
          <w:color w:val="auto"/>
        </w:rPr>
      </w:pPr>
      <w:r>
        <w:rPr>
          <w:rFonts w:ascii="Arial" w:cs="Arial" w:eastAsia="Arial" w:hAnsi="Arial"/>
          <w:sz w:val="18"/>
          <w:szCs w:val="18"/>
          <w:color w:val="auto"/>
        </w:rPr>
        <w:t>The trading prohibitions of this Policy are not the only stock-trading rules and regulations you need to follow. You should be aware of additional prohibitions and restrictions set by contract or by federal and state securities laws and regulations (e.g., contractual restrictions on the resale of securities, rules on short swing trading by Section 16 Insiders, compliance with Rule 144 under the Securities Act of 1933, as amended, and others). Any Insider who is uncertain whether other prohibitions or restrictions apply should ask our Chief Compliance Officer or Chief Financial Officer.</w:t>
      </w:r>
    </w:p>
    <w:p>
      <w:pPr>
        <w:spacing w:after="0" w:line="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When Trading is Allowed</w:t>
      </w:r>
    </w:p>
    <w:p>
      <w:pPr>
        <w:spacing w:after="0" w:line="10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color w:val="auto"/>
        </w:rPr>
        <w:t>Blackout Periods</w:t>
      </w:r>
    </w:p>
    <w:p>
      <w:pPr>
        <w:spacing w:after="0" w:line="104" w:lineRule="exact"/>
        <w:rPr>
          <w:sz w:val="20"/>
          <w:szCs w:val="20"/>
          <w:color w:val="auto"/>
        </w:rPr>
      </w:pPr>
    </w:p>
    <w:p>
      <w:pPr>
        <w:jc w:val="both"/>
        <w:ind w:left="1500"/>
        <w:spacing w:after="0" w:line="239" w:lineRule="auto"/>
        <w:rPr>
          <w:sz w:val="20"/>
          <w:szCs w:val="20"/>
          <w:color w:val="auto"/>
        </w:rPr>
      </w:pPr>
      <w:r>
        <w:rPr>
          <w:rFonts w:ascii="Arial" w:cs="Arial" w:eastAsia="Arial" w:hAnsi="Arial"/>
          <w:sz w:val="18"/>
          <w:szCs w:val="18"/>
          <w:i w:val="1"/>
          <w:iCs w:val="1"/>
          <w:color w:val="auto"/>
        </w:rPr>
        <w:t xml:space="preserve">You can only Trade in a Trading Window. </w:t>
      </w:r>
      <w:r>
        <w:rPr>
          <w:rFonts w:ascii="Arial" w:cs="Arial" w:eastAsia="Arial" w:hAnsi="Arial"/>
          <w:sz w:val="18"/>
          <w:szCs w:val="18"/>
          <w:color w:val="auto"/>
        </w:rPr>
        <w:t>Other than pursuant to an approved 10b5-1 Plan, Insiders are allowed to trade</w:t>
      </w:r>
      <w:r>
        <w:rPr>
          <w:rFonts w:ascii="Arial" w:cs="Arial" w:eastAsia="Arial" w:hAnsi="Arial"/>
          <w:sz w:val="18"/>
          <w:szCs w:val="18"/>
          <w:i w:val="1"/>
          <w:iCs w:val="1"/>
          <w:color w:val="auto"/>
        </w:rPr>
        <w:t xml:space="preserve"> </w:t>
      </w:r>
      <w:r>
        <w:rPr>
          <w:rFonts w:ascii="Arial" w:cs="Arial" w:eastAsia="Arial" w:hAnsi="Arial"/>
          <w:sz w:val="18"/>
          <w:szCs w:val="18"/>
          <w:color w:val="auto"/>
        </w:rPr>
        <w:t>our securities only during a trading window period, which opens after the close of trading on the next full trading day following the widespread public release of our quarterly or year end operating results, and closes at the close of trading on the last day of the month of the then current quarter (the “</w:t>
      </w:r>
      <w:r>
        <w:rPr>
          <w:rFonts w:ascii="Arial" w:cs="Arial" w:eastAsia="Arial" w:hAnsi="Arial"/>
          <w:sz w:val="18"/>
          <w:szCs w:val="18"/>
          <w:b w:val="1"/>
          <w:bCs w:val="1"/>
          <w:i w:val="1"/>
          <w:iCs w:val="1"/>
          <w:color w:val="auto"/>
        </w:rPr>
        <w:t>Trading Window</w:t>
      </w:r>
      <w:r>
        <w:rPr>
          <w:rFonts w:ascii="Arial" w:cs="Arial" w:eastAsia="Arial" w:hAnsi="Arial"/>
          <w:sz w:val="18"/>
          <w:szCs w:val="18"/>
          <w:color w:val="auto"/>
        </w:rPr>
        <w:t>”). If the last day of the month falls on a weekend or U.S. federal holiday, the Blackout Period will begin after the closing of trading on the immediately preceding business day. For example, if we publicly announce our quarterly financial results after the close of trading on a Monday (or before trading begins on a Tuesday), then the first time an Insider can trade our securities is after the close of market on Tuesday (effectively at the opening of the market on Wednesday for regular trading). However, if we announce quarterly financial results after trading begins on that Tuesday, then the first time the Insider can trade is after the close of market on Wednesday (effectively at the opening of the market on Thursday for regular trading).</w:t>
      </w:r>
    </w:p>
    <w:p>
      <w:pPr>
        <w:spacing w:after="0" w:line="180" w:lineRule="exact"/>
        <w:rPr>
          <w:sz w:val="20"/>
          <w:szCs w:val="20"/>
          <w:color w:val="auto"/>
        </w:rPr>
      </w:pPr>
    </w:p>
    <w:p>
      <w:pPr>
        <w:ind w:left="1500" w:right="60"/>
        <w:spacing w:after="0" w:line="247" w:lineRule="auto"/>
        <w:rPr>
          <w:sz w:val="20"/>
          <w:szCs w:val="20"/>
          <w:color w:val="auto"/>
        </w:rPr>
      </w:pPr>
      <w:r>
        <w:rPr>
          <w:rFonts w:ascii="Arial" w:cs="Arial" w:eastAsia="Arial" w:hAnsi="Arial"/>
          <w:sz w:val="18"/>
          <w:szCs w:val="18"/>
          <w:i w:val="1"/>
          <w:iCs w:val="1"/>
          <w:color w:val="auto"/>
        </w:rPr>
        <w:t>Even During a Trading Window, You Are Not Allowed to Trade While in Possession of MNPI</w:t>
      </w:r>
      <w:r>
        <w:rPr>
          <w:rFonts w:ascii="Arial" w:cs="Arial" w:eastAsia="Arial" w:hAnsi="Arial"/>
          <w:sz w:val="18"/>
          <w:szCs w:val="18"/>
          <w:color w:val="auto"/>
        </w:rPr>
        <w:t>. Even during a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Window, you still may not trade our securities if you possess MNPI at that time. An Insider who possesses MNPI during a Trading Window may only trade our securities after the close of trading on the next full trading day following our widespread public release of that MNPI.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0000"/>
        </w:rPr>
        <w:t>Printed or downloaded documents must be verified against the effective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CONFIDENTIAL INFORMATION</w:t>
      </w:r>
    </w:p>
    <w:p>
      <w:pPr>
        <w:jc w:val="center"/>
        <w:spacing w:after="0"/>
        <w:rPr>
          <w:sz w:val="20"/>
          <w:szCs w:val="20"/>
          <w:color w:val="auto"/>
        </w:rPr>
      </w:pPr>
      <w:r>
        <w:rPr>
          <w:rFonts w:ascii="Arial" w:cs="Arial" w:eastAsia="Arial" w:hAnsi="Arial"/>
          <w:sz w:val="16"/>
          <w:szCs w:val="16"/>
          <w:b w:val="1"/>
          <w:bCs w:val="1"/>
          <w:color w:val="auto"/>
        </w:rPr>
        <w:t>Do not distribute outside of Day One Biopharmaceuticals Inc. without a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740"/>
        <w:spacing w:after="0" w:line="239" w:lineRule="auto"/>
        <w:rPr>
          <w:sz w:val="20"/>
          <w:szCs w:val="20"/>
          <w:color w:val="auto"/>
        </w:rPr>
      </w:pPr>
      <w:r>
        <w:rPr>
          <w:rFonts w:ascii="Arial" w:cs="Arial" w:eastAsia="Arial" w:hAnsi="Arial"/>
          <w:sz w:val="18"/>
          <w:szCs w:val="18"/>
          <w:i w:val="1"/>
          <w:iCs w:val="1"/>
          <w:color w:val="auto"/>
        </w:rPr>
        <w:t xml:space="preserve">You Cannot Trade During a Blackout Period. </w:t>
      </w:r>
      <w:r>
        <w:rPr>
          <w:rFonts w:ascii="Arial" w:cs="Arial" w:eastAsia="Arial" w:hAnsi="Arial"/>
          <w:sz w:val="18"/>
          <w:szCs w:val="18"/>
          <w:color w:val="auto"/>
        </w:rPr>
        <w:t>Even during a Trading Window, our Chief Compliance Officer or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at his or her discretion, may designate special trading Blackout Periods that apply to specific individuals or groups of people (including all Insiders) for as long as our Chief Compliance Officer or Chief Financial Officer determines. No Insider subject to a Blackout Period may trade our securities during any such Blackout Period. Additionally, no Insider subject to a Blackout Period may tell anyone (other than an advisor authorized to effectuate trades on such Insider’s behalf) not subject to the Blackout Period that a Blackout Period has been designated or that one previously was in place because that also is confidential information that cannot be disclosed internally or externally; provided that each of the Chief Compliance Officer and Chief Financial Officer may, at his or her discretion, disclose the existence of a Blackout Period to third parties not subject to the Blackout Period.</w:t>
      </w:r>
    </w:p>
    <w:p>
      <w:pPr>
        <w:spacing w:after="0" w:line="7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8"/>
          <w:szCs w:val="18"/>
          <w:color w:val="auto"/>
        </w:rPr>
        <w:t>Permitted Trades Under 10b5-1 Plans</w:t>
      </w:r>
    </w:p>
    <w:p>
      <w:pPr>
        <w:spacing w:after="0" w:line="104" w:lineRule="exact"/>
        <w:rPr>
          <w:sz w:val="20"/>
          <w:szCs w:val="20"/>
          <w:color w:val="auto"/>
        </w:rPr>
      </w:pPr>
    </w:p>
    <w:p>
      <w:pPr>
        <w:jc w:val="both"/>
        <w:ind w:left="740" w:right="20"/>
        <w:spacing w:after="0" w:line="271" w:lineRule="auto"/>
        <w:rPr>
          <w:sz w:val="20"/>
          <w:szCs w:val="20"/>
          <w:color w:val="auto"/>
        </w:rPr>
      </w:pPr>
      <w:r>
        <w:rPr>
          <w:rFonts w:ascii="Arial" w:cs="Arial" w:eastAsia="Arial" w:hAnsi="Arial"/>
          <w:sz w:val="18"/>
          <w:szCs w:val="18"/>
          <w:color w:val="auto"/>
        </w:rPr>
        <w:t>We allow Insiders to trade in our securities while in possession of MNPI, outside of a Trading Window or during a Blackout Period, only pursuant to a “10b5-1 Plan.”</w:t>
      </w:r>
    </w:p>
    <w:p>
      <w:pPr>
        <w:spacing w:after="0" w:line="46" w:lineRule="exact"/>
        <w:rPr>
          <w:sz w:val="20"/>
          <w:szCs w:val="20"/>
          <w:color w:val="auto"/>
        </w:rPr>
      </w:pPr>
    </w:p>
    <w:p>
      <w:pPr>
        <w:jc w:val="both"/>
        <w:ind w:left="740"/>
        <w:spacing w:after="0" w:line="271" w:lineRule="auto"/>
        <w:rPr>
          <w:sz w:val="20"/>
          <w:szCs w:val="20"/>
          <w:color w:val="auto"/>
        </w:rPr>
      </w:pPr>
      <w:r>
        <w:rPr>
          <w:rFonts w:ascii="Arial" w:cs="Arial" w:eastAsia="Arial" w:hAnsi="Arial"/>
          <w:sz w:val="18"/>
          <w:szCs w:val="18"/>
          <w:i w:val="1"/>
          <w:iCs w:val="1"/>
          <w:color w:val="auto"/>
        </w:rPr>
        <w:t xml:space="preserve">What Is a 10b5-1 Plan? </w:t>
      </w:r>
      <w:r>
        <w:rPr>
          <w:rFonts w:ascii="Arial" w:cs="Arial" w:eastAsia="Arial" w:hAnsi="Arial"/>
          <w:sz w:val="18"/>
          <w:szCs w:val="18"/>
          <w:color w:val="auto"/>
        </w:rPr>
        <w:t>A 10b5-1 Plan is a written plan for selling or purchasing a predetermined number of shares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while an Insider is not in possession of MNPI as contemplated in Rule 10b5-1.</w:t>
      </w:r>
    </w:p>
    <w:p>
      <w:pPr>
        <w:spacing w:after="0" w:line="46" w:lineRule="exact"/>
        <w:rPr>
          <w:sz w:val="20"/>
          <w:szCs w:val="20"/>
          <w:color w:val="auto"/>
        </w:rPr>
      </w:pPr>
    </w:p>
    <w:p>
      <w:pPr>
        <w:jc w:val="both"/>
        <w:ind w:left="740"/>
        <w:spacing w:after="0" w:line="247" w:lineRule="auto"/>
        <w:rPr>
          <w:sz w:val="20"/>
          <w:szCs w:val="20"/>
          <w:color w:val="auto"/>
        </w:rPr>
      </w:pPr>
      <w:r>
        <w:rPr>
          <w:rFonts w:ascii="Arial" w:cs="Arial" w:eastAsia="Arial" w:hAnsi="Arial"/>
          <w:sz w:val="18"/>
          <w:szCs w:val="18"/>
          <w:i w:val="1"/>
          <w:iCs w:val="1"/>
          <w:color w:val="auto"/>
        </w:rPr>
        <w:t>How Do I Adopt a 10b5-1 Plan? W</w:t>
      </w:r>
      <w:r>
        <w:rPr>
          <w:rFonts w:ascii="Arial" w:cs="Arial" w:eastAsia="Arial" w:hAnsi="Arial"/>
          <w:sz w:val="18"/>
          <w:szCs w:val="18"/>
          <w:color w:val="auto"/>
        </w:rPr>
        <w:t>e have engaged a broker to administer our 10b5-1 Plans, and any 10b5-1 Plan that you</w:t>
      </w:r>
      <w:r>
        <w:rPr>
          <w:rFonts w:ascii="Arial" w:cs="Arial" w:eastAsia="Arial" w:hAnsi="Arial"/>
          <w:sz w:val="18"/>
          <w:szCs w:val="18"/>
          <w:i w:val="1"/>
          <w:iCs w:val="1"/>
          <w:color w:val="auto"/>
        </w:rPr>
        <w:t xml:space="preserve"> </w:t>
      </w:r>
      <w:r>
        <w:rPr>
          <w:rFonts w:ascii="Arial" w:cs="Arial" w:eastAsia="Arial" w:hAnsi="Arial"/>
          <w:sz w:val="18"/>
          <w:szCs w:val="18"/>
          <w:color w:val="auto"/>
        </w:rPr>
        <w:t>adopt must be adopted through that broker unless otherwise approved by our Chief Compliance Officer or Chief Financial Officer. If you are interested in setting up a 10b5-1 Plan, you should consult with our Chief Compliance Officer or Chief Financial Officer and make sure that:</w:t>
      </w:r>
    </w:p>
    <w:p>
      <w:pPr>
        <w:spacing w:after="0" w:line="79" w:lineRule="exact"/>
        <w:rPr>
          <w:sz w:val="20"/>
          <w:szCs w:val="20"/>
          <w:color w:val="auto"/>
        </w:rPr>
      </w:pPr>
    </w:p>
    <w:p>
      <w:pPr>
        <w:ind w:left="1200" w:hanging="365"/>
        <w:spacing w:after="0"/>
        <w:tabs>
          <w:tab w:leader="none" w:pos="1200" w:val="left"/>
        </w:tabs>
        <w:numPr>
          <w:ilvl w:val="0"/>
          <w:numId w:val="82"/>
        </w:numPr>
        <w:rPr>
          <w:rFonts w:ascii="Times New Roman" w:cs="Times New Roman" w:eastAsia="Times New Roman" w:hAnsi="Times New Roman"/>
          <w:sz w:val="22"/>
          <w:szCs w:val="22"/>
          <w:color w:val="auto"/>
        </w:rPr>
      </w:pPr>
      <w:r>
        <w:rPr>
          <w:rFonts w:ascii="Arial" w:cs="Arial" w:eastAsia="Arial" w:hAnsi="Arial"/>
          <w:sz w:val="18"/>
          <w:szCs w:val="18"/>
          <w:color w:val="auto"/>
        </w:rPr>
        <w:t>The 10b5-1 Plan complies with the requirements of Rule 10b5-1 under the Exchange Act and this Policy.</w:t>
      </w:r>
    </w:p>
    <w:p>
      <w:pPr>
        <w:spacing w:after="0" w:line="17" w:lineRule="exact"/>
        <w:rPr>
          <w:rFonts w:ascii="Times New Roman" w:cs="Times New Roman" w:eastAsia="Times New Roman" w:hAnsi="Times New Roman"/>
          <w:sz w:val="22"/>
          <w:szCs w:val="22"/>
          <w:color w:val="auto"/>
        </w:rPr>
      </w:pPr>
    </w:p>
    <w:p>
      <w:pPr>
        <w:jc w:val="both"/>
        <w:ind w:left="1200" w:right="380" w:hanging="365"/>
        <w:spacing w:after="0" w:line="233" w:lineRule="auto"/>
        <w:tabs>
          <w:tab w:leader="none" w:pos="1200" w:val="left"/>
        </w:tabs>
        <w:numPr>
          <w:ilvl w:val="0"/>
          <w:numId w:val="82"/>
        </w:numPr>
        <w:rPr>
          <w:rFonts w:ascii="Times New Roman" w:cs="Times New Roman" w:eastAsia="Times New Roman" w:hAnsi="Times New Roman"/>
          <w:sz w:val="22"/>
          <w:szCs w:val="22"/>
          <w:color w:val="auto"/>
        </w:rPr>
      </w:pPr>
      <w:r>
        <w:rPr>
          <w:rFonts w:ascii="Arial" w:cs="Arial" w:eastAsia="Arial" w:hAnsi="Arial"/>
          <w:sz w:val="18"/>
          <w:szCs w:val="18"/>
          <w:color w:val="auto"/>
        </w:rPr>
        <w:t>You have certified to our Chief Compliance Officer or Chief Financial Officer in writing, no earlier than two business days prior to the date that the 10b5-1 Plan is formally adopted (and shall not have withdrawn such certification prior to such adoption), that as of such date and as of the adoption date of the 10b5-1 Plan, (i) you are not and, to your knowledge, will not be, aware of MNPI, (ii) all trades to be made pursuant to the 10b5-1 Plan will be in accordance with applicable SEC rules, (iii) you are adopting the 10b5-1 Plan in good faith and not as part of a plan or scheme to evade the prohibitions of Section 10(b) of the Exchange Act and Rule 10b-5 of the Exchange Act, and (iv) you will act in good faith with respect to the 10b5-1 Plan throughout its duration. This certification may be made in an email to our Chief Compliance Officer or Chief Financial Officer. You must notify the Chief Compliance Officer or Chief Financial Officer promptly via email and withdraw the certification if any changes of circumstances prior to the adoption date of the 10b5-1 Plan have or will render such certification to be inaccurate as of that time.</w:t>
      </w:r>
    </w:p>
    <w:p>
      <w:pPr>
        <w:spacing w:after="0" w:line="8" w:lineRule="exact"/>
        <w:rPr>
          <w:rFonts w:ascii="Times New Roman" w:cs="Times New Roman" w:eastAsia="Times New Roman" w:hAnsi="Times New Roman"/>
          <w:sz w:val="22"/>
          <w:szCs w:val="22"/>
          <w:color w:val="auto"/>
        </w:rPr>
      </w:pPr>
    </w:p>
    <w:p>
      <w:pPr>
        <w:jc w:val="both"/>
        <w:ind w:left="1200" w:right="400" w:hanging="365"/>
        <w:spacing w:after="0" w:line="233" w:lineRule="auto"/>
        <w:tabs>
          <w:tab w:leader="none" w:pos="1200" w:val="left"/>
        </w:tabs>
        <w:numPr>
          <w:ilvl w:val="0"/>
          <w:numId w:val="82"/>
        </w:numPr>
        <w:rPr>
          <w:rFonts w:ascii="Times New Roman" w:cs="Times New Roman" w:eastAsia="Times New Roman" w:hAnsi="Times New Roman"/>
          <w:sz w:val="22"/>
          <w:szCs w:val="22"/>
          <w:color w:val="auto"/>
        </w:rPr>
      </w:pPr>
      <w:r>
        <w:rPr>
          <w:rFonts w:ascii="Arial" w:cs="Arial" w:eastAsia="Arial" w:hAnsi="Arial"/>
          <w:sz w:val="18"/>
          <w:szCs w:val="18"/>
          <w:color w:val="auto"/>
        </w:rPr>
        <w:t>The first trade under the 10b5-1 Plan does not occur (i) for a Section 16 Insider: until the later of (A) ninety (90) days after adoption of the 10b5-1 Plan and (B) two (2) business days following the disclosure of the Company’s financial results in a Form 10-Q or Form 10-K for the completed fiscal quarter in which the 10b5-1 Plan was adopted that discloses the Company’s financial results (but not to exceed 120 days following the adoption of the 10b5-1 Plan); and (ii) for persons other than Section 16 Insiders: at least thirty (30) days after adoption of the 10b5-1 Plan, in each case, for 30 days following our Chief Compliance Officer’s or Chief Financial Officer’s approval of the 10b5-1 Plan. These waiting periods are collectively referred to as the “</w:t>
      </w:r>
      <w:r>
        <w:rPr>
          <w:rFonts w:ascii="Arial" w:cs="Arial" w:eastAsia="Arial" w:hAnsi="Arial"/>
          <w:sz w:val="18"/>
          <w:szCs w:val="18"/>
          <w:b w:val="1"/>
          <w:bCs w:val="1"/>
          <w:i w:val="1"/>
          <w:iCs w:val="1"/>
          <w:color w:val="auto"/>
        </w:rPr>
        <w:t>Cooling- Off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44450</wp:posOffset>
            </wp:positionV>
            <wp:extent cx="71323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3" w:lineRule="exact"/>
        <w:rPr>
          <w:sz w:val="20"/>
          <w:szCs w:val="20"/>
          <w:color w:val="auto"/>
        </w:rPr>
      </w:pPr>
    </w:p>
    <w:p>
      <w:pPr>
        <w:jc w:val="center"/>
        <w:ind w:right="740"/>
        <w:spacing w:after="0"/>
        <w:rPr>
          <w:sz w:val="20"/>
          <w:szCs w:val="20"/>
          <w:color w:val="auto"/>
        </w:rPr>
      </w:pPr>
      <w:r>
        <w:rPr>
          <w:rFonts w:ascii="Arial" w:cs="Arial" w:eastAsia="Arial" w:hAnsi="Arial"/>
          <w:sz w:val="16"/>
          <w:szCs w:val="16"/>
          <w:b w:val="1"/>
          <w:bCs w:val="1"/>
          <w:color w:val="FF0000"/>
        </w:rPr>
        <w:t>Printed or downloaded documents must be verified against the effective version.</w:t>
      </w:r>
    </w:p>
    <w:p>
      <w:pPr>
        <w:spacing w:after="0" w:line="22"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i w:val="1"/>
          <w:iCs w:val="1"/>
          <w:color w:val="auto"/>
        </w:rPr>
        <w:t>CONFIDENTIAL INFORMATION</w:t>
      </w:r>
    </w:p>
    <w:p>
      <w:pPr>
        <w:ind w:left="1100"/>
        <w:spacing w:after="0"/>
        <w:rPr>
          <w:sz w:val="20"/>
          <w:szCs w:val="20"/>
          <w:color w:val="auto"/>
        </w:rPr>
      </w:pPr>
      <w:r>
        <w:rPr>
          <w:rFonts w:ascii="Arial" w:cs="Arial" w:eastAsia="Arial" w:hAnsi="Arial"/>
          <w:sz w:val="16"/>
          <w:szCs w:val="16"/>
          <w:b w:val="1"/>
          <w:bCs w:val="1"/>
          <w:color w:val="auto"/>
        </w:rPr>
        <w:t>Do not distribute outside of Day One Biopharmaceuticals Inc. without a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306705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688"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960" w:right="400" w:hanging="365"/>
        <w:spacing w:after="0" w:line="231" w:lineRule="auto"/>
        <w:tabs>
          <w:tab w:leader="none" w:pos="1960" w:val="left"/>
        </w:tabs>
        <w:numPr>
          <w:ilvl w:val="0"/>
          <w:numId w:val="83"/>
        </w:numPr>
        <w:rPr>
          <w:rFonts w:ascii="Times New Roman" w:cs="Times New Roman" w:eastAsia="Times New Roman" w:hAnsi="Times New Roman"/>
          <w:sz w:val="22"/>
          <w:szCs w:val="22"/>
          <w:color w:val="auto"/>
        </w:rPr>
      </w:pPr>
      <w:r>
        <w:rPr>
          <w:rFonts w:ascii="Arial" w:cs="Arial" w:eastAsia="Arial" w:hAnsi="Arial"/>
          <w:sz w:val="18"/>
          <w:szCs w:val="18"/>
          <w:color w:val="auto"/>
        </w:rPr>
        <w:t>The 10b5-1 Plan is not a single-trade 10b5-1 Plan adopted during the 12-month period immediately following the person’s adoption of another single-trade 10b5-1 Plan, subject to the exceptions noted in Rule 10b5-1, which are provided for you in the Appendix.</w:t>
      </w:r>
    </w:p>
    <w:p>
      <w:pPr>
        <w:spacing w:after="0" w:line="1" w:lineRule="exact"/>
        <w:rPr>
          <w:rFonts w:ascii="Times New Roman" w:cs="Times New Roman" w:eastAsia="Times New Roman" w:hAnsi="Times New Roman"/>
          <w:sz w:val="22"/>
          <w:szCs w:val="22"/>
          <w:color w:val="auto"/>
        </w:rPr>
      </w:pPr>
    </w:p>
    <w:p>
      <w:pPr>
        <w:ind w:left="1960" w:hanging="365"/>
        <w:spacing w:after="0" w:line="217" w:lineRule="auto"/>
        <w:tabs>
          <w:tab w:leader="none" w:pos="1960" w:val="left"/>
        </w:tabs>
        <w:numPr>
          <w:ilvl w:val="0"/>
          <w:numId w:val="83"/>
        </w:numPr>
        <w:rPr>
          <w:rFonts w:ascii="Times New Roman" w:cs="Times New Roman" w:eastAsia="Times New Roman" w:hAnsi="Times New Roman"/>
          <w:sz w:val="22"/>
          <w:szCs w:val="22"/>
          <w:color w:val="auto"/>
        </w:rPr>
      </w:pPr>
      <w:r>
        <w:rPr>
          <w:rFonts w:ascii="Arial" w:cs="Arial" w:eastAsia="Arial" w:hAnsi="Arial"/>
          <w:sz w:val="18"/>
          <w:szCs w:val="18"/>
          <w:color w:val="auto"/>
        </w:rPr>
        <w:t>The 10b5-1 Plan is adopted during a Trading Window and not during any Blackout Period.</w:t>
      </w:r>
    </w:p>
    <w:p>
      <w:pPr>
        <w:spacing w:after="0" w:line="86" w:lineRule="exact"/>
        <w:rPr>
          <w:sz w:val="20"/>
          <w:szCs w:val="20"/>
          <w:color w:val="auto"/>
        </w:rPr>
      </w:pPr>
    </w:p>
    <w:p>
      <w:pPr>
        <w:jc w:val="both"/>
        <w:ind w:left="1500"/>
        <w:spacing w:after="0" w:line="253" w:lineRule="auto"/>
        <w:rPr>
          <w:sz w:val="20"/>
          <w:szCs w:val="20"/>
          <w:color w:val="auto"/>
        </w:rPr>
      </w:pPr>
      <w:r>
        <w:rPr>
          <w:rFonts w:ascii="Arial" w:cs="Arial" w:eastAsia="Arial" w:hAnsi="Arial"/>
          <w:sz w:val="18"/>
          <w:szCs w:val="18"/>
          <w:color w:val="auto"/>
        </w:rPr>
        <w:t>An individual may have no more than one 10b5-1 Plan adopted at any point in time (i.e., multiple concurrent or overlapping plans are prohibited), subject to the exceptions noted in Rule 10b5-1, which are provided for you in the Appendix. One of these exceptions is for plans authorizing certain “sell-to-cover” transactions.</w:t>
      </w:r>
    </w:p>
    <w:p>
      <w:pPr>
        <w:spacing w:after="0" w:line="61" w:lineRule="exact"/>
        <w:rPr>
          <w:sz w:val="20"/>
          <w:szCs w:val="20"/>
          <w:color w:val="auto"/>
        </w:rPr>
      </w:pPr>
    </w:p>
    <w:p>
      <w:pPr>
        <w:jc w:val="both"/>
        <w:ind w:left="1500"/>
        <w:spacing w:after="0" w:line="253" w:lineRule="auto"/>
        <w:rPr>
          <w:sz w:val="20"/>
          <w:szCs w:val="20"/>
          <w:color w:val="auto"/>
        </w:rPr>
      </w:pPr>
      <w:r>
        <w:rPr>
          <w:rFonts w:ascii="Arial" w:cs="Arial" w:eastAsia="Arial" w:hAnsi="Arial"/>
          <w:sz w:val="18"/>
          <w:szCs w:val="18"/>
          <w:color w:val="auto"/>
        </w:rPr>
        <w:t>Approval of a 10b5-1 Plan by our Chief Compliance Officer or Chief Financial Officer and/or acknowledgment of a 10b5-1 Plan by the Company shall not be considered a determination by us or our Chief Compliance Officer or Chief Financial Officer that the 10b5-1 Plan satisfies the requirements of Rule 10b5-1.</w:t>
      </w:r>
    </w:p>
    <w:p>
      <w:pPr>
        <w:spacing w:after="0" w:line="61" w:lineRule="exact"/>
        <w:rPr>
          <w:sz w:val="20"/>
          <w:szCs w:val="20"/>
          <w:color w:val="auto"/>
        </w:rPr>
      </w:pPr>
    </w:p>
    <w:p>
      <w:pPr>
        <w:jc w:val="both"/>
        <w:ind w:left="1500"/>
        <w:spacing w:after="0" w:line="238" w:lineRule="auto"/>
        <w:rPr>
          <w:sz w:val="20"/>
          <w:szCs w:val="20"/>
          <w:color w:val="auto"/>
        </w:rPr>
      </w:pPr>
      <w:r>
        <w:rPr>
          <w:rFonts w:ascii="Arial" w:cs="Arial" w:eastAsia="Arial" w:hAnsi="Arial"/>
          <w:sz w:val="18"/>
          <w:szCs w:val="18"/>
          <w:i w:val="1"/>
          <w:iCs w:val="1"/>
          <w:color w:val="auto"/>
        </w:rPr>
        <w:t xml:space="preserve">How Do I Modify a 10b5-1 Plan? </w:t>
      </w:r>
      <w:r>
        <w:rPr>
          <w:rFonts w:ascii="Arial" w:cs="Arial" w:eastAsia="Arial" w:hAnsi="Arial"/>
          <w:sz w:val="18"/>
          <w:szCs w:val="18"/>
          <w:color w:val="auto"/>
        </w:rPr>
        <w:t>Once you have an approved 10b5-1 Plan in place, you will need approval from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Officer or Chief Financial Officer to make certain changes to it. Modifying or changing the amount, price or timing of the purchase or sale of our securities underlying the 10b5-1 Plan (or a modification or change to a written formula or algorithm, or computer program that affects the amount, price or timing of the purchase or sale of such securities) (any such modification or change, a “</w:t>
      </w:r>
      <w:r>
        <w:rPr>
          <w:rFonts w:ascii="Arial" w:cs="Arial" w:eastAsia="Arial" w:hAnsi="Arial"/>
          <w:sz w:val="18"/>
          <w:szCs w:val="18"/>
          <w:b w:val="1"/>
          <w:bCs w:val="1"/>
          <w:i w:val="1"/>
          <w:iCs w:val="1"/>
          <w:color w:val="auto"/>
        </w:rPr>
        <w:t>Plan Modification</w:t>
      </w:r>
      <w:r>
        <w:rPr>
          <w:rFonts w:ascii="Arial" w:cs="Arial" w:eastAsia="Arial" w:hAnsi="Arial"/>
          <w:sz w:val="18"/>
          <w:szCs w:val="18"/>
          <w:color w:val="auto"/>
        </w:rPr>
        <w:t>”) will be deemed to be the same as terminating your existing 10b5-1 Plan and entering into a new 10b5-1 Plan. As a result, the approval process for a Plan Modification is the same as the approval process for initially adopting a 10b5-1 Plan, including being subject to a new Cooling-Off Period. We discourage you from making multiple Plan Modifications, as that may give the appearance that you are trading on MNPI under the guise of that plan. Plan Modifications can only be made during a Trading Window and not during any Blackout Period and can be made only when you are not in possession of MNPI. For other modifications to a 10b5-1 Plan, you must notify our Chief Compliance Officer or Chief Financial Officer of such modification in writing at least two business days prior to the modification and such modification must be approved by the Chief Compliance Officer or Chief Financial Officer.</w:t>
      </w:r>
    </w:p>
    <w:p>
      <w:pPr>
        <w:spacing w:after="0" w:line="72" w:lineRule="exact"/>
        <w:rPr>
          <w:sz w:val="20"/>
          <w:szCs w:val="20"/>
          <w:color w:val="auto"/>
        </w:rPr>
      </w:pPr>
    </w:p>
    <w:p>
      <w:pPr>
        <w:jc w:val="both"/>
        <w:ind w:left="1500"/>
        <w:spacing w:after="0" w:line="271" w:lineRule="auto"/>
        <w:rPr>
          <w:sz w:val="20"/>
          <w:szCs w:val="20"/>
          <w:color w:val="auto"/>
        </w:rPr>
      </w:pPr>
      <w:r>
        <w:rPr>
          <w:rFonts w:ascii="Arial" w:cs="Arial" w:eastAsia="Arial" w:hAnsi="Arial"/>
          <w:sz w:val="18"/>
          <w:szCs w:val="18"/>
          <w:i w:val="1"/>
          <w:iCs w:val="1"/>
          <w:color w:val="auto"/>
        </w:rPr>
        <w:t xml:space="preserve">How Do I Terminate a 10b5-1 Plan? </w:t>
      </w:r>
      <w:r>
        <w:rPr>
          <w:rFonts w:ascii="Arial" w:cs="Arial" w:eastAsia="Arial" w:hAnsi="Arial"/>
          <w:sz w:val="18"/>
          <w:szCs w:val="18"/>
          <w:color w:val="auto"/>
        </w:rPr>
        <w:t>Once you have an approved 10b5-1 Plan in place, you will need approval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Chief Compliance Officer or Chief Financial Officer to terminate it.</w:t>
      </w:r>
    </w:p>
    <w:p>
      <w:pPr>
        <w:spacing w:after="0" w:line="4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8"/>
          <w:szCs w:val="18"/>
          <w:color w:val="auto"/>
        </w:rPr>
        <w:t>Other Trading Arrangements</w:t>
      </w:r>
    </w:p>
    <w:p>
      <w:pPr>
        <w:spacing w:after="0" w:line="104" w:lineRule="exact"/>
        <w:rPr>
          <w:sz w:val="20"/>
          <w:szCs w:val="20"/>
          <w:color w:val="auto"/>
        </w:rPr>
      </w:pPr>
    </w:p>
    <w:p>
      <w:pPr>
        <w:jc w:val="both"/>
        <w:ind w:left="1500"/>
        <w:spacing w:after="0" w:line="271" w:lineRule="auto"/>
        <w:rPr>
          <w:sz w:val="20"/>
          <w:szCs w:val="20"/>
          <w:color w:val="auto"/>
        </w:rPr>
      </w:pPr>
      <w:r>
        <w:rPr>
          <w:rFonts w:ascii="Arial" w:cs="Arial" w:eastAsia="Arial" w:hAnsi="Arial"/>
          <w:sz w:val="18"/>
          <w:szCs w:val="18"/>
          <w:color w:val="auto"/>
        </w:rPr>
        <w:t>Insiders are not allowed to enter into “non-Rule 10b5-1 trading arrangements” (as defined in Regulation S-K Item 408(c)) unless otherwise approved in advance by the Chief Compliance Officer or Chief Financial Officer.</w:t>
      </w:r>
    </w:p>
    <w:p>
      <w:pPr>
        <w:spacing w:after="0" w:line="4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Consequences for Violating Insider Trading Laws</w:t>
      </w:r>
    </w:p>
    <w:p>
      <w:pPr>
        <w:spacing w:after="0" w:line="104" w:lineRule="exact"/>
        <w:rPr>
          <w:sz w:val="20"/>
          <w:szCs w:val="20"/>
          <w:color w:val="auto"/>
        </w:rPr>
      </w:pPr>
    </w:p>
    <w:p>
      <w:pPr>
        <w:jc w:val="both"/>
        <w:ind w:left="760"/>
        <w:spacing w:after="0" w:line="242" w:lineRule="auto"/>
        <w:rPr>
          <w:sz w:val="20"/>
          <w:szCs w:val="20"/>
          <w:color w:val="auto"/>
        </w:rPr>
      </w:pPr>
      <w:r>
        <w:rPr>
          <w:rFonts w:ascii="Arial" w:cs="Arial" w:eastAsia="Arial" w:hAnsi="Arial"/>
          <w:sz w:val="18"/>
          <w:szCs w:val="18"/>
          <w:color w:val="auto"/>
        </w:rPr>
        <w:t>The consequences of violating the insider trading laws can be severe. People who violate insider trading laws may be required to disgorge profits made or losses avoided by trading, pay the loss suffered by the persons who purchased securities from or sold securities to the insider tippee, pay civil fines of up to three times the profit made or loss avoided, pay a criminal penalty of up to $5 million for individuals and $25 million for entities and serve a prison term of up to 20 years. In addition, individual directors, officers and other supervisory personnel may also be required to pay major civil or criminal penalties for failure to take appropriate steps to prevent insider trading by those under their supervision, influence or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0000"/>
        </w:rPr>
        <w:t>Printed or downloaded documents must be verified against the effective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CONFIDENTIAL INFORMATION</w:t>
      </w:r>
    </w:p>
    <w:p>
      <w:pPr>
        <w:jc w:val="center"/>
        <w:spacing w:after="0"/>
        <w:rPr>
          <w:sz w:val="20"/>
          <w:szCs w:val="20"/>
          <w:color w:val="auto"/>
        </w:rPr>
      </w:pPr>
      <w:r>
        <w:rPr>
          <w:rFonts w:ascii="Arial" w:cs="Arial" w:eastAsia="Arial" w:hAnsi="Arial"/>
          <w:sz w:val="16"/>
          <w:szCs w:val="16"/>
          <w:b w:val="1"/>
          <w:bCs w:val="1"/>
          <w:color w:val="auto"/>
        </w:rPr>
        <w:t>Do not distribute outside of Day One Biopharmaceuticals Inc. without a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00" w:type="dxa"/>
            <w:vAlign w:val="bottom"/>
          </w:tcPr>
          <w:p>
            <w:pPr>
              <w:jc w:val="right"/>
              <w:ind w:right="150"/>
              <w:spacing w:after="0"/>
              <w:rPr>
                <w:sz w:val="20"/>
                <w:szCs w:val="20"/>
                <w:color w:val="auto"/>
              </w:rPr>
            </w:pPr>
            <w:r>
              <w:rPr>
                <w:rFonts w:ascii="Arial" w:cs="Arial" w:eastAsia="Arial" w:hAnsi="Arial"/>
                <w:sz w:val="18"/>
                <w:szCs w:val="18"/>
                <w:color w:val="auto"/>
                <w:w w:val="95"/>
              </w:rPr>
              <w:t>5.4</w:t>
            </w:r>
          </w:p>
        </w:tc>
        <w:tc>
          <w:tcPr>
            <w:tcW w:w="10740" w:type="dxa"/>
            <w:vAlign w:val="bottom"/>
            <w:gridSpan w:val="3"/>
          </w:tcPr>
          <w:p>
            <w:pPr>
              <w:ind w:left="260"/>
              <w:spacing w:after="0"/>
              <w:rPr>
                <w:sz w:val="20"/>
                <w:szCs w:val="20"/>
                <w:color w:val="auto"/>
              </w:rPr>
            </w:pPr>
            <w:r>
              <w:rPr>
                <w:rFonts w:ascii="Arial" w:cs="Arial" w:eastAsia="Arial" w:hAnsi="Arial"/>
                <w:sz w:val="18"/>
                <w:szCs w:val="18"/>
                <w:color w:val="auto"/>
              </w:rPr>
              <w:t>Consequences of Violating This Policy</w:t>
            </w:r>
          </w:p>
        </w:tc>
      </w:tr>
      <w:tr>
        <w:trPr>
          <w:trHeight w:val="274"/>
        </w:trPr>
        <w:tc>
          <w:tcPr>
            <w:tcW w:w="500" w:type="dxa"/>
            <w:vAlign w:val="bottom"/>
          </w:tcPr>
          <w:p>
            <w:pPr>
              <w:spacing w:after="0"/>
              <w:rPr>
                <w:sz w:val="23"/>
                <w:szCs w:val="23"/>
                <w:color w:val="auto"/>
              </w:rPr>
            </w:pPr>
          </w:p>
        </w:tc>
        <w:tc>
          <w:tcPr>
            <w:tcW w:w="10740" w:type="dxa"/>
            <w:vAlign w:val="bottom"/>
            <w:gridSpan w:val="3"/>
          </w:tcPr>
          <w:p>
            <w:pPr>
              <w:ind w:left="260"/>
              <w:spacing w:after="0"/>
              <w:rPr>
                <w:sz w:val="20"/>
                <w:szCs w:val="20"/>
                <w:color w:val="auto"/>
              </w:rPr>
            </w:pPr>
            <w:r>
              <w:rPr>
                <w:rFonts w:ascii="Arial" w:cs="Arial" w:eastAsia="Arial" w:hAnsi="Arial"/>
                <w:sz w:val="18"/>
                <w:szCs w:val="18"/>
                <w:color w:val="auto"/>
              </w:rPr>
              <w:t>We may impose discipline on anyone violating this Policy, up to and including termination of employment, and we may issue stop</w:t>
            </w:r>
          </w:p>
        </w:tc>
      </w:tr>
      <w:tr>
        <w:trPr>
          <w:trHeight w:val="239"/>
        </w:trPr>
        <w:tc>
          <w:tcPr>
            <w:tcW w:w="500" w:type="dxa"/>
            <w:vAlign w:val="bottom"/>
          </w:tcPr>
          <w:p>
            <w:pPr>
              <w:spacing w:after="0"/>
              <w:rPr>
                <w:sz w:val="20"/>
                <w:szCs w:val="20"/>
                <w:color w:val="auto"/>
              </w:rPr>
            </w:pPr>
          </w:p>
        </w:tc>
        <w:tc>
          <w:tcPr>
            <w:tcW w:w="10740" w:type="dxa"/>
            <w:vAlign w:val="bottom"/>
            <w:gridSpan w:val="3"/>
          </w:tcPr>
          <w:p>
            <w:pPr>
              <w:ind w:left="260"/>
              <w:spacing w:after="0"/>
              <w:rPr>
                <w:sz w:val="20"/>
                <w:szCs w:val="20"/>
                <w:color w:val="auto"/>
              </w:rPr>
            </w:pPr>
            <w:r>
              <w:rPr>
                <w:rFonts w:ascii="Arial" w:cs="Arial" w:eastAsia="Arial" w:hAnsi="Arial"/>
                <w:sz w:val="18"/>
                <w:szCs w:val="18"/>
                <w:color w:val="auto"/>
              </w:rPr>
              <w:t>transfer orders to our transfer agent to prevent any attempted trades that would violate this Policy.</w:t>
            </w:r>
          </w:p>
        </w:tc>
      </w:tr>
      <w:tr>
        <w:trPr>
          <w:trHeight w:val="310"/>
        </w:trPr>
        <w:tc>
          <w:tcPr>
            <w:tcW w:w="500" w:type="dxa"/>
            <w:vAlign w:val="bottom"/>
          </w:tcPr>
          <w:p>
            <w:pPr>
              <w:jc w:val="right"/>
              <w:ind w:right="150"/>
              <w:spacing w:after="0"/>
              <w:rPr>
                <w:sz w:val="20"/>
                <w:szCs w:val="20"/>
                <w:color w:val="auto"/>
              </w:rPr>
            </w:pPr>
            <w:r>
              <w:rPr>
                <w:rFonts w:ascii="Arial" w:cs="Arial" w:eastAsia="Arial" w:hAnsi="Arial"/>
                <w:sz w:val="18"/>
                <w:szCs w:val="18"/>
                <w:color w:val="auto"/>
                <w:w w:val="95"/>
              </w:rPr>
              <w:t>5.5</w:t>
            </w: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rPr>
              <w:t>Administration</w:t>
            </w:r>
          </w:p>
        </w:tc>
        <w:tc>
          <w:tcPr>
            <w:tcW w:w="8460" w:type="dxa"/>
            <w:vAlign w:val="bottom"/>
          </w:tcPr>
          <w:p>
            <w:pPr>
              <w:spacing w:after="0"/>
              <w:rPr>
                <w:sz w:val="24"/>
                <w:szCs w:val="24"/>
                <w:color w:val="auto"/>
              </w:rPr>
            </w:pPr>
          </w:p>
        </w:tc>
      </w:tr>
      <w:tr>
        <w:trPr>
          <w:trHeight w:val="274"/>
        </w:trPr>
        <w:tc>
          <w:tcPr>
            <w:tcW w:w="500" w:type="dxa"/>
            <w:vAlign w:val="bottom"/>
          </w:tcPr>
          <w:p>
            <w:pPr>
              <w:spacing w:after="0"/>
              <w:rPr>
                <w:sz w:val="23"/>
                <w:szCs w:val="23"/>
                <w:color w:val="auto"/>
              </w:rPr>
            </w:pPr>
          </w:p>
        </w:tc>
        <w:tc>
          <w:tcPr>
            <w:tcW w:w="10740" w:type="dxa"/>
            <w:vAlign w:val="bottom"/>
            <w:gridSpan w:val="3"/>
          </w:tcPr>
          <w:p>
            <w:pPr>
              <w:ind w:left="260"/>
              <w:spacing w:after="0"/>
              <w:rPr>
                <w:sz w:val="20"/>
                <w:szCs w:val="20"/>
                <w:color w:val="auto"/>
              </w:rPr>
            </w:pPr>
            <w:r>
              <w:rPr>
                <w:rFonts w:ascii="Arial" w:cs="Arial" w:eastAsia="Arial" w:hAnsi="Arial"/>
                <w:sz w:val="18"/>
                <w:szCs w:val="18"/>
                <w:color w:val="auto"/>
              </w:rPr>
              <w:t>The Chief Compliance Officer or Chief Financial Officer will administer and interpret this Policy and enforce compliance as needed.</w:t>
            </w:r>
          </w:p>
        </w:tc>
      </w:tr>
      <w:tr>
        <w:trPr>
          <w:trHeight w:val="203"/>
        </w:trPr>
        <w:tc>
          <w:tcPr>
            <w:tcW w:w="500" w:type="dxa"/>
            <w:vAlign w:val="bottom"/>
          </w:tcPr>
          <w:p>
            <w:pPr>
              <w:spacing w:after="0"/>
              <w:rPr>
                <w:sz w:val="17"/>
                <w:szCs w:val="17"/>
                <w:color w:val="auto"/>
              </w:rPr>
            </w:pPr>
          </w:p>
        </w:tc>
        <w:tc>
          <w:tcPr>
            <w:tcW w:w="1074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The Chief Compliance Officer or Chief Financial Officer may consult with the Company’s outside legal counsel as needed. The</w:t>
            </w:r>
          </w:p>
        </w:tc>
      </w:tr>
      <w:tr>
        <w:trPr>
          <w:trHeight w:val="203"/>
        </w:trPr>
        <w:tc>
          <w:tcPr>
            <w:tcW w:w="500" w:type="dxa"/>
            <w:vAlign w:val="bottom"/>
          </w:tcPr>
          <w:p>
            <w:pPr>
              <w:spacing w:after="0"/>
              <w:rPr>
                <w:sz w:val="17"/>
                <w:szCs w:val="17"/>
                <w:color w:val="auto"/>
              </w:rPr>
            </w:pPr>
          </w:p>
        </w:tc>
        <w:tc>
          <w:tcPr>
            <w:tcW w:w="1074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Chief Compliance Officer or Chief Financial Officer may designate other individuals to perform the Chief Compliance Officer’s or</w:t>
            </w:r>
          </w:p>
        </w:tc>
      </w:tr>
      <w:tr>
        <w:trPr>
          <w:trHeight w:val="239"/>
        </w:trPr>
        <w:tc>
          <w:tcPr>
            <w:tcW w:w="500" w:type="dxa"/>
            <w:vAlign w:val="bottom"/>
          </w:tcPr>
          <w:p>
            <w:pPr>
              <w:spacing w:after="0"/>
              <w:rPr>
                <w:sz w:val="20"/>
                <w:szCs w:val="20"/>
                <w:color w:val="auto"/>
              </w:rPr>
            </w:pPr>
          </w:p>
        </w:tc>
        <w:tc>
          <w:tcPr>
            <w:tcW w:w="1074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Officer’s duties under this Policy.</w:t>
            </w:r>
          </w:p>
        </w:tc>
      </w:tr>
      <w:tr>
        <w:trPr>
          <w:trHeight w:val="274"/>
        </w:trPr>
        <w:tc>
          <w:tcPr>
            <w:tcW w:w="500" w:type="dxa"/>
            <w:vAlign w:val="bottom"/>
          </w:tcPr>
          <w:p>
            <w:pPr>
              <w:spacing w:after="0"/>
              <w:rPr>
                <w:sz w:val="23"/>
                <w:szCs w:val="23"/>
                <w:color w:val="auto"/>
              </w:rPr>
            </w:pPr>
          </w:p>
        </w:tc>
        <w:tc>
          <w:tcPr>
            <w:tcW w:w="10740" w:type="dxa"/>
            <w:vAlign w:val="bottom"/>
            <w:gridSpan w:val="3"/>
          </w:tcPr>
          <w:p>
            <w:pPr>
              <w:ind w:left="260"/>
              <w:spacing w:after="0"/>
              <w:rPr>
                <w:sz w:val="20"/>
                <w:szCs w:val="20"/>
                <w:color w:val="auto"/>
              </w:rPr>
            </w:pPr>
            <w:r>
              <w:rPr>
                <w:rFonts w:ascii="Arial" w:cs="Arial" w:eastAsia="Arial" w:hAnsi="Arial"/>
                <w:sz w:val="18"/>
                <w:szCs w:val="18"/>
                <w:color w:val="auto"/>
              </w:rPr>
              <w:t>Neither the Company nor the Chief Compliance Officer nor the Chief Financial Officer will be liable for any act made under this</w:t>
            </w:r>
          </w:p>
        </w:tc>
      </w:tr>
      <w:tr>
        <w:trPr>
          <w:trHeight w:val="203"/>
        </w:trPr>
        <w:tc>
          <w:tcPr>
            <w:tcW w:w="500" w:type="dxa"/>
            <w:vAlign w:val="bottom"/>
          </w:tcPr>
          <w:p>
            <w:pPr>
              <w:spacing w:after="0"/>
              <w:rPr>
                <w:sz w:val="17"/>
                <w:szCs w:val="17"/>
                <w:color w:val="auto"/>
              </w:rPr>
            </w:pPr>
          </w:p>
        </w:tc>
        <w:tc>
          <w:tcPr>
            <w:tcW w:w="1074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Policy. Neither the Company nor the Chief Compliance Officer nor the Chief Financial Officer is responsible for any failure to</w:t>
            </w:r>
          </w:p>
        </w:tc>
      </w:tr>
      <w:tr>
        <w:trPr>
          <w:trHeight w:val="239"/>
        </w:trPr>
        <w:tc>
          <w:tcPr>
            <w:tcW w:w="500" w:type="dxa"/>
            <w:vAlign w:val="bottom"/>
          </w:tcPr>
          <w:p>
            <w:pPr>
              <w:spacing w:after="0"/>
              <w:rPr>
                <w:sz w:val="20"/>
                <w:szCs w:val="20"/>
                <w:color w:val="auto"/>
              </w:rPr>
            </w:pPr>
          </w:p>
        </w:tc>
        <w:tc>
          <w:tcPr>
            <w:tcW w:w="10740" w:type="dxa"/>
            <w:vAlign w:val="bottom"/>
            <w:gridSpan w:val="3"/>
          </w:tcPr>
          <w:p>
            <w:pPr>
              <w:ind w:left="260"/>
              <w:spacing w:after="0"/>
              <w:rPr>
                <w:sz w:val="20"/>
                <w:szCs w:val="20"/>
                <w:color w:val="auto"/>
              </w:rPr>
            </w:pPr>
            <w:r>
              <w:rPr>
                <w:rFonts w:ascii="Arial" w:cs="Arial" w:eastAsia="Arial" w:hAnsi="Arial"/>
                <w:sz w:val="18"/>
                <w:szCs w:val="18"/>
                <w:color w:val="auto"/>
              </w:rPr>
              <w:t>approve a trade or for imposing any Blackout Period.</w:t>
            </w:r>
          </w:p>
        </w:tc>
      </w:tr>
      <w:tr>
        <w:trPr>
          <w:trHeight w:val="311"/>
        </w:trPr>
        <w:tc>
          <w:tcPr>
            <w:tcW w:w="500" w:type="dxa"/>
            <w:vAlign w:val="bottom"/>
          </w:tcPr>
          <w:p>
            <w:pPr>
              <w:jc w:val="right"/>
              <w:ind w:right="150"/>
              <w:spacing w:after="0"/>
              <w:rPr>
                <w:sz w:val="20"/>
                <w:szCs w:val="20"/>
                <w:color w:val="auto"/>
              </w:rPr>
            </w:pPr>
            <w:r>
              <w:rPr>
                <w:rFonts w:ascii="Arial" w:cs="Arial" w:eastAsia="Arial" w:hAnsi="Arial"/>
                <w:sz w:val="18"/>
                <w:szCs w:val="18"/>
                <w:color w:val="auto"/>
                <w:w w:val="95"/>
              </w:rPr>
              <w:t>5.6</w:t>
            </w: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rPr>
              <w:t>Reporting Violations</w:t>
            </w:r>
          </w:p>
        </w:tc>
        <w:tc>
          <w:tcPr>
            <w:tcW w:w="8460" w:type="dxa"/>
            <w:vAlign w:val="bottom"/>
          </w:tcPr>
          <w:p>
            <w:pPr>
              <w:spacing w:after="0"/>
              <w:rPr>
                <w:sz w:val="24"/>
                <w:szCs w:val="24"/>
                <w:color w:val="auto"/>
              </w:rPr>
            </w:pPr>
          </w:p>
        </w:tc>
      </w:tr>
      <w:tr>
        <w:trPr>
          <w:trHeight w:val="274"/>
        </w:trPr>
        <w:tc>
          <w:tcPr>
            <w:tcW w:w="500" w:type="dxa"/>
            <w:vAlign w:val="bottom"/>
          </w:tcPr>
          <w:p>
            <w:pPr>
              <w:spacing w:after="0"/>
              <w:rPr>
                <w:sz w:val="23"/>
                <w:szCs w:val="23"/>
                <w:color w:val="auto"/>
              </w:rPr>
            </w:pPr>
          </w:p>
        </w:tc>
        <w:tc>
          <w:tcPr>
            <w:tcW w:w="10740" w:type="dxa"/>
            <w:vAlign w:val="bottom"/>
            <w:gridSpan w:val="3"/>
          </w:tcPr>
          <w:p>
            <w:pPr>
              <w:ind w:left="260"/>
              <w:spacing w:after="0"/>
              <w:rPr>
                <w:sz w:val="20"/>
                <w:szCs w:val="20"/>
                <w:color w:val="auto"/>
              </w:rPr>
            </w:pPr>
            <w:r>
              <w:rPr>
                <w:rFonts w:ascii="Arial" w:cs="Arial" w:eastAsia="Arial" w:hAnsi="Arial"/>
                <w:sz w:val="18"/>
                <w:szCs w:val="18"/>
                <w:color w:val="auto"/>
              </w:rPr>
              <w:t>Any Insider who violates this Policy or any federal or state laws governing insider trading or tipping, or who knows of any such</w:t>
            </w:r>
          </w:p>
        </w:tc>
      </w:tr>
      <w:tr>
        <w:trPr>
          <w:trHeight w:val="203"/>
        </w:trPr>
        <w:tc>
          <w:tcPr>
            <w:tcW w:w="500" w:type="dxa"/>
            <w:vAlign w:val="bottom"/>
          </w:tcPr>
          <w:p>
            <w:pPr>
              <w:spacing w:after="0"/>
              <w:rPr>
                <w:sz w:val="17"/>
                <w:szCs w:val="17"/>
                <w:color w:val="auto"/>
              </w:rPr>
            </w:pPr>
          </w:p>
        </w:tc>
        <w:tc>
          <w:tcPr>
            <w:tcW w:w="10740" w:type="dxa"/>
            <w:vAlign w:val="bottom"/>
            <w:gridSpan w:val="3"/>
          </w:tcPr>
          <w:p>
            <w:pPr>
              <w:ind w:left="260"/>
              <w:spacing w:after="0" w:line="202" w:lineRule="exact"/>
              <w:rPr>
                <w:sz w:val="20"/>
                <w:szCs w:val="20"/>
                <w:color w:val="auto"/>
              </w:rPr>
            </w:pPr>
            <w:r>
              <w:rPr>
                <w:rFonts w:ascii="Arial" w:cs="Arial" w:eastAsia="Arial" w:hAnsi="Arial"/>
                <w:sz w:val="18"/>
                <w:szCs w:val="18"/>
                <w:color w:val="auto"/>
                <w:w w:val="99"/>
              </w:rPr>
              <w:t>violation by any other Insider, must report the violation immediately to our Chief Compliance Officer. If you want to submit a concern</w:t>
            </w:r>
          </w:p>
        </w:tc>
      </w:tr>
      <w:tr>
        <w:trPr>
          <w:trHeight w:val="203"/>
        </w:trPr>
        <w:tc>
          <w:tcPr>
            <w:tcW w:w="500" w:type="dxa"/>
            <w:vAlign w:val="bottom"/>
          </w:tcPr>
          <w:p>
            <w:pPr>
              <w:spacing w:after="0"/>
              <w:rPr>
                <w:sz w:val="17"/>
                <w:szCs w:val="17"/>
                <w:color w:val="auto"/>
              </w:rPr>
            </w:pPr>
          </w:p>
        </w:tc>
        <w:tc>
          <w:tcPr>
            <w:tcW w:w="1074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or complaint regarding a possible violation of this Policy anonymously, you should follow the procedures outlined in our</w:t>
            </w:r>
          </w:p>
        </w:tc>
      </w:tr>
      <w:tr>
        <w:trPr>
          <w:trHeight w:val="203"/>
        </w:trPr>
        <w:tc>
          <w:tcPr>
            <w:tcW w:w="500" w:type="dxa"/>
            <w:vAlign w:val="bottom"/>
          </w:tcPr>
          <w:p>
            <w:pPr>
              <w:spacing w:after="0"/>
              <w:rPr>
                <w:sz w:val="17"/>
                <w:szCs w:val="17"/>
                <w:color w:val="auto"/>
              </w:rPr>
            </w:pPr>
          </w:p>
        </w:tc>
        <w:tc>
          <w:tcPr>
            <w:tcW w:w="1074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Whistleblower Policy (</w:t>
            </w:r>
            <w:r>
              <w:rPr>
                <w:rFonts w:ascii="Arial" w:cs="Arial" w:eastAsia="Arial" w:hAnsi="Arial"/>
                <w:sz w:val="18"/>
                <w:szCs w:val="18"/>
                <w:i w:val="1"/>
                <w:iCs w:val="1"/>
                <w:color w:val="auto"/>
              </w:rPr>
              <w:t>POL-016</w:t>
            </w:r>
            <w:r>
              <w:rPr>
                <w:rFonts w:ascii="Arial" w:cs="Arial" w:eastAsia="Arial" w:hAnsi="Arial"/>
                <w:sz w:val="18"/>
                <w:szCs w:val="18"/>
                <w:color w:val="auto"/>
              </w:rPr>
              <w:t>). Anyone who violates this Policy may be subject to disciplinary measures, which may include</w:t>
            </w:r>
          </w:p>
        </w:tc>
      </w:tr>
      <w:tr>
        <w:trPr>
          <w:trHeight w:val="239"/>
        </w:trPr>
        <w:tc>
          <w:tcPr>
            <w:tcW w:w="500" w:type="dxa"/>
            <w:vAlign w:val="bottom"/>
          </w:tcPr>
          <w:p>
            <w:pPr>
              <w:spacing w:after="0"/>
              <w:rPr>
                <w:sz w:val="20"/>
                <w:szCs w:val="20"/>
                <w:color w:val="auto"/>
              </w:rPr>
            </w:pPr>
          </w:p>
        </w:tc>
        <w:tc>
          <w:tcPr>
            <w:tcW w:w="10740" w:type="dxa"/>
            <w:vAlign w:val="bottom"/>
            <w:gridSpan w:val="3"/>
          </w:tcPr>
          <w:p>
            <w:pPr>
              <w:ind w:left="260"/>
              <w:spacing w:after="0"/>
              <w:rPr>
                <w:sz w:val="20"/>
                <w:szCs w:val="20"/>
                <w:color w:val="auto"/>
              </w:rPr>
            </w:pPr>
            <w:r>
              <w:rPr>
                <w:rFonts w:ascii="Arial" w:cs="Arial" w:eastAsia="Arial" w:hAnsi="Arial"/>
                <w:sz w:val="18"/>
                <w:szCs w:val="18"/>
                <w:color w:val="auto"/>
              </w:rPr>
              <w:t>termination of employment.</w:t>
            </w:r>
          </w:p>
        </w:tc>
      </w:tr>
      <w:tr>
        <w:trPr>
          <w:trHeight w:val="310"/>
        </w:trPr>
        <w:tc>
          <w:tcPr>
            <w:tcW w:w="500" w:type="dxa"/>
            <w:vAlign w:val="bottom"/>
          </w:tcPr>
          <w:p>
            <w:pPr>
              <w:jc w:val="right"/>
              <w:ind w:right="150"/>
              <w:spacing w:after="0"/>
              <w:rPr>
                <w:sz w:val="20"/>
                <w:szCs w:val="20"/>
                <w:color w:val="auto"/>
              </w:rPr>
            </w:pPr>
            <w:r>
              <w:rPr>
                <w:rFonts w:ascii="Arial" w:cs="Arial" w:eastAsia="Arial" w:hAnsi="Arial"/>
                <w:sz w:val="18"/>
                <w:szCs w:val="18"/>
                <w:color w:val="auto"/>
                <w:w w:val="95"/>
              </w:rPr>
              <w:t>5.7</w:t>
            </w: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rPr>
              <w:t>Changes to This Policy</w:t>
            </w:r>
          </w:p>
        </w:tc>
        <w:tc>
          <w:tcPr>
            <w:tcW w:w="8460" w:type="dxa"/>
            <w:vAlign w:val="bottom"/>
          </w:tcPr>
          <w:p>
            <w:pPr>
              <w:spacing w:after="0"/>
              <w:rPr>
                <w:sz w:val="24"/>
                <w:szCs w:val="24"/>
                <w:color w:val="auto"/>
              </w:rPr>
            </w:pPr>
          </w:p>
        </w:tc>
      </w:tr>
      <w:tr>
        <w:trPr>
          <w:trHeight w:val="274"/>
        </w:trPr>
        <w:tc>
          <w:tcPr>
            <w:tcW w:w="500" w:type="dxa"/>
            <w:vAlign w:val="bottom"/>
          </w:tcPr>
          <w:p>
            <w:pPr>
              <w:spacing w:after="0"/>
              <w:rPr>
                <w:sz w:val="23"/>
                <w:szCs w:val="23"/>
                <w:color w:val="auto"/>
              </w:rPr>
            </w:pPr>
          </w:p>
        </w:tc>
        <w:tc>
          <w:tcPr>
            <w:tcW w:w="10740" w:type="dxa"/>
            <w:vAlign w:val="bottom"/>
            <w:gridSpan w:val="3"/>
          </w:tcPr>
          <w:p>
            <w:pPr>
              <w:ind w:left="260"/>
              <w:spacing w:after="0"/>
              <w:rPr>
                <w:sz w:val="20"/>
                <w:szCs w:val="20"/>
                <w:color w:val="auto"/>
              </w:rPr>
            </w:pPr>
            <w:r>
              <w:rPr>
                <w:rFonts w:ascii="Arial" w:cs="Arial" w:eastAsia="Arial" w:hAnsi="Arial"/>
                <w:sz w:val="18"/>
                <w:szCs w:val="18"/>
                <w:color w:val="auto"/>
              </w:rPr>
              <w:t>Our Board reserves the right in its sole discretion to modify or grant waivers to this Policy. Any amendments or waiver may be</w:t>
            </w:r>
          </w:p>
        </w:tc>
      </w:tr>
      <w:tr>
        <w:trPr>
          <w:trHeight w:val="203"/>
        </w:trPr>
        <w:tc>
          <w:tcPr>
            <w:tcW w:w="500" w:type="dxa"/>
            <w:vAlign w:val="bottom"/>
          </w:tcPr>
          <w:p>
            <w:pPr>
              <w:spacing w:after="0"/>
              <w:rPr>
                <w:sz w:val="17"/>
                <w:szCs w:val="17"/>
                <w:color w:val="auto"/>
              </w:rPr>
            </w:pPr>
          </w:p>
        </w:tc>
        <w:tc>
          <w:tcPr>
            <w:tcW w:w="1074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publicly disclosed if required by applicable laws, rules and regulations. For the avoidance of doubt, unless explicitly stated by the</w:t>
            </w:r>
          </w:p>
        </w:tc>
      </w:tr>
      <w:tr>
        <w:trPr>
          <w:trHeight w:val="203"/>
        </w:trPr>
        <w:tc>
          <w:tcPr>
            <w:tcW w:w="500" w:type="dxa"/>
            <w:vAlign w:val="bottom"/>
          </w:tcPr>
          <w:p>
            <w:pPr>
              <w:spacing w:after="0"/>
              <w:rPr>
                <w:sz w:val="17"/>
                <w:szCs w:val="17"/>
                <w:color w:val="auto"/>
              </w:rPr>
            </w:pPr>
          </w:p>
        </w:tc>
        <w:tc>
          <w:tcPr>
            <w:tcW w:w="1074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Board, any waiver, amendment or modification of the Policy by the Board shall not be considered a waiver of the Company’s Code</w:t>
            </w:r>
          </w:p>
        </w:tc>
      </w:tr>
      <w:tr>
        <w:trPr>
          <w:trHeight w:val="239"/>
        </w:trPr>
        <w:tc>
          <w:tcPr>
            <w:tcW w:w="500" w:type="dxa"/>
            <w:vAlign w:val="bottom"/>
          </w:tcPr>
          <w:p>
            <w:pPr>
              <w:spacing w:after="0"/>
              <w:rPr>
                <w:sz w:val="20"/>
                <w:szCs w:val="20"/>
                <w:color w:val="auto"/>
              </w:rPr>
            </w:pPr>
          </w:p>
        </w:tc>
        <w:tc>
          <w:tcPr>
            <w:tcW w:w="10740" w:type="dxa"/>
            <w:vAlign w:val="bottom"/>
            <w:gridSpan w:val="3"/>
          </w:tcPr>
          <w:p>
            <w:pPr>
              <w:ind w:left="260"/>
              <w:spacing w:after="0"/>
              <w:rPr>
                <w:sz w:val="20"/>
                <w:szCs w:val="20"/>
                <w:color w:val="auto"/>
              </w:rPr>
            </w:pPr>
            <w:r>
              <w:rPr>
                <w:rFonts w:ascii="Arial" w:cs="Arial" w:eastAsia="Arial" w:hAnsi="Arial"/>
                <w:sz w:val="18"/>
                <w:szCs w:val="18"/>
                <w:color w:val="auto"/>
              </w:rPr>
              <w:t>of Business Conduct and Ethics (</w:t>
            </w:r>
            <w:r>
              <w:rPr>
                <w:rFonts w:ascii="Arial" w:cs="Arial" w:eastAsia="Arial" w:hAnsi="Arial"/>
                <w:sz w:val="18"/>
                <w:szCs w:val="18"/>
                <w:i w:val="1"/>
                <w:iCs w:val="1"/>
                <w:color w:val="auto"/>
              </w:rPr>
              <w:t>CODE-001</w:t>
            </w:r>
            <w:r>
              <w:rPr>
                <w:rFonts w:ascii="Arial" w:cs="Arial" w:eastAsia="Arial" w:hAnsi="Arial"/>
                <w:sz w:val="18"/>
                <w:szCs w:val="18"/>
                <w:color w:val="auto"/>
              </w:rPr>
              <w:t>).</w:t>
            </w:r>
          </w:p>
        </w:tc>
      </w:tr>
      <w:tr>
        <w:trPr>
          <w:trHeight w:val="310"/>
        </w:trPr>
        <w:tc>
          <w:tcPr>
            <w:tcW w:w="500" w:type="dxa"/>
            <w:vAlign w:val="bottom"/>
          </w:tcPr>
          <w:p>
            <w:pPr>
              <w:jc w:val="right"/>
              <w:ind w:right="150"/>
              <w:spacing w:after="0"/>
              <w:rPr>
                <w:sz w:val="20"/>
                <w:szCs w:val="20"/>
                <w:color w:val="auto"/>
              </w:rPr>
            </w:pPr>
            <w:r>
              <w:rPr>
                <w:rFonts w:ascii="Arial" w:cs="Arial" w:eastAsia="Arial" w:hAnsi="Arial"/>
                <w:sz w:val="18"/>
                <w:szCs w:val="18"/>
                <w:color w:val="auto"/>
                <w:w w:val="95"/>
              </w:rPr>
              <w:t>5.8</w:t>
            </w: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w w:val="98"/>
              </w:rPr>
              <w:t>Trading by The Company</w:t>
            </w:r>
          </w:p>
        </w:tc>
        <w:tc>
          <w:tcPr>
            <w:tcW w:w="8460" w:type="dxa"/>
            <w:vAlign w:val="bottom"/>
          </w:tcPr>
          <w:p>
            <w:pPr>
              <w:spacing w:after="0"/>
              <w:rPr>
                <w:sz w:val="24"/>
                <w:szCs w:val="24"/>
                <w:color w:val="auto"/>
              </w:rPr>
            </w:pPr>
          </w:p>
        </w:tc>
      </w:tr>
      <w:tr>
        <w:trPr>
          <w:trHeight w:val="274"/>
        </w:trPr>
        <w:tc>
          <w:tcPr>
            <w:tcW w:w="500" w:type="dxa"/>
            <w:vAlign w:val="bottom"/>
          </w:tcPr>
          <w:p>
            <w:pPr>
              <w:spacing w:after="0"/>
              <w:rPr>
                <w:sz w:val="23"/>
                <w:szCs w:val="23"/>
                <w:color w:val="auto"/>
              </w:rPr>
            </w:pPr>
          </w:p>
        </w:tc>
        <w:tc>
          <w:tcPr>
            <w:tcW w:w="10740" w:type="dxa"/>
            <w:vAlign w:val="bottom"/>
            <w:gridSpan w:val="3"/>
          </w:tcPr>
          <w:p>
            <w:pPr>
              <w:ind w:left="260"/>
              <w:spacing w:after="0"/>
              <w:rPr>
                <w:sz w:val="20"/>
                <w:szCs w:val="20"/>
                <w:color w:val="auto"/>
              </w:rPr>
            </w:pPr>
            <w:r>
              <w:rPr>
                <w:rFonts w:ascii="Arial" w:cs="Arial" w:eastAsia="Arial" w:hAnsi="Arial"/>
                <w:sz w:val="18"/>
                <w:szCs w:val="18"/>
                <w:color w:val="auto"/>
              </w:rPr>
              <w:t>We will not transact in our securities unless in compliance with applicable U.S. securities laws, rules and regulations and applicable</w:t>
            </w:r>
          </w:p>
        </w:tc>
      </w:tr>
      <w:tr>
        <w:trPr>
          <w:trHeight w:val="239"/>
        </w:trPr>
        <w:tc>
          <w:tcPr>
            <w:tcW w:w="500" w:type="dxa"/>
            <w:vAlign w:val="bottom"/>
          </w:tcPr>
          <w:p>
            <w:pPr>
              <w:spacing w:after="0"/>
              <w:rPr>
                <w:sz w:val="20"/>
                <w:szCs w:val="20"/>
                <w:color w:val="auto"/>
              </w:rPr>
            </w:pP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w w:val="98"/>
              </w:rPr>
              <w:t>Nasdaq listing standards.</w:t>
            </w:r>
          </w:p>
        </w:tc>
        <w:tc>
          <w:tcPr>
            <w:tcW w:w="8460" w:type="dxa"/>
            <w:vAlign w:val="bottom"/>
          </w:tcPr>
          <w:p>
            <w:pPr>
              <w:spacing w:after="0"/>
              <w:rPr>
                <w:sz w:val="20"/>
                <w:szCs w:val="20"/>
                <w:color w:val="auto"/>
              </w:rPr>
            </w:pPr>
          </w:p>
        </w:tc>
      </w:tr>
      <w:tr>
        <w:trPr>
          <w:trHeight w:val="535"/>
        </w:trPr>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6.0</w:t>
            </w:r>
          </w:p>
        </w:tc>
        <w:tc>
          <w:tcPr>
            <w:tcW w:w="2280" w:type="dxa"/>
            <w:vAlign w:val="bottom"/>
            <w:gridSpan w:val="2"/>
          </w:tcPr>
          <w:p>
            <w:pPr>
              <w:ind w:left="260"/>
              <w:spacing w:after="0"/>
              <w:rPr>
                <w:sz w:val="20"/>
                <w:szCs w:val="20"/>
                <w:color w:val="auto"/>
              </w:rPr>
            </w:pPr>
            <w:r>
              <w:rPr>
                <w:rFonts w:ascii="Arial" w:cs="Arial" w:eastAsia="Arial" w:hAnsi="Arial"/>
                <w:sz w:val="18"/>
                <w:szCs w:val="18"/>
                <w:b w:val="1"/>
                <w:bCs w:val="1"/>
                <w:color w:val="auto"/>
              </w:rPr>
              <w:t>REFERENCES</w:t>
            </w:r>
          </w:p>
        </w:tc>
        <w:tc>
          <w:tcPr>
            <w:tcW w:w="8460" w:type="dxa"/>
            <w:vAlign w:val="bottom"/>
          </w:tcPr>
          <w:p>
            <w:pPr>
              <w:spacing w:after="0"/>
              <w:rPr>
                <w:sz w:val="24"/>
                <w:szCs w:val="24"/>
                <w:color w:val="auto"/>
              </w:rPr>
            </w:pPr>
          </w:p>
        </w:tc>
      </w:tr>
      <w:tr>
        <w:trPr>
          <w:trHeight w:val="187"/>
        </w:trPr>
        <w:tc>
          <w:tcPr>
            <w:tcW w:w="2740" w:type="dxa"/>
            <w:vAlign w:val="bottom"/>
            <w:tcBorders>
              <w:bottom w:val="single" w:sz="8" w:color="auto"/>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60" w:type="dxa"/>
            <w:vAlign w:val="bottom"/>
            <w:tcBorders>
              <w:bottom w:val="single" w:sz="8" w:color="auto"/>
            </w:tcBorders>
          </w:tcPr>
          <w:p>
            <w:pPr>
              <w:spacing w:after="0"/>
              <w:rPr>
                <w:sz w:val="16"/>
                <w:szCs w:val="16"/>
                <w:color w:val="auto"/>
              </w:rPr>
            </w:pPr>
          </w:p>
        </w:tc>
      </w:tr>
      <w:tr>
        <w:trPr>
          <w:trHeight w:val="298"/>
        </w:trPr>
        <w:tc>
          <w:tcPr>
            <w:tcW w:w="2740" w:type="dxa"/>
            <w:vAlign w:val="bottom"/>
            <w:tcBorders>
              <w:left w:val="single" w:sz="8" w:color="auto"/>
              <w:right w:val="single" w:sz="8" w:color="auto"/>
            </w:tcBorders>
            <w:gridSpan w:val="2"/>
            <w:shd w:val="clear" w:color="auto" w:fill="D9D9D9"/>
          </w:tcPr>
          <w:p>
            <w:pPr>
              <w:ind w:left="120"/>
              <w:spacing w:after="0"/>
              <w:rPr>
                <w:sz w:val="20"/>
                <w:szCs w:val="20"/>
                <w:color w:val="auto"/>
              </w:rPr>
            </w:pPr>
            <w:r>
              <w:rPr>
                <w:rFonts w:ascii="Arial" w:cs="Arial" w:eastAsia="Arial" w:hAnsi="Arial"/>
                <w:sz w:val="18"/>
                <w:szCs w:val="18"/>
                <w:color w:val="auto"/>
              </w:rPr>
              <w:t>Document ID</w:t>
            </w:r>
          </w:p>
        </w:tc>
        <w:tc>
          <w:tcPr>
            <w:tcW w:w="40" w:type="dxa"/>
            <w:vAlign w:val="bottom"/>
            <w:shd w:val="clear" w:color="auto" w:fill="D9D9D9"/>
          </w:tcPr>
          <w:p>
            <w:pPr>
              <w:spacing w:after="0"/>
              <w:rPr>
                <w:sz w:val="24"/>
                <w:szCs w:val="24"/>
                <w:color w:val="auto"/>
              </w:rPr>
            </w:pPr>
          </w:p>
        </w:tc>
        <w:tc>
          <w:tcPr>
            <w:tcW w:w="8460" w:type="dxa"/>
            <w:vAlign w:val="bottom"/>
            <w:tcBorders>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Document Title</w:t>
            </w:r>
          </w:p>
        </w:tc>
      </w:tr>
      <w:tr>
        <w:trPr>
          <w:trHeight w:val="60"/>
        </w:trPr>
        <w:tc>
          <w:tcPr>
            <w:tcW w:w="2740" w:type="dxa"/>
            <w:vAlign w:val="bottom"/>
            <w:tcBorders>
              <w:left w:val="single" w:sz="8" w:color="auto"/>
              <w:bottom w:val="single" w:sz="8" w:color="auto"/>
              <w:right w:val="single" w:sz="8" w:color="auto"/>
            </w:tcBorders>
            <w:gridSpan w:val="2"/>
            <w:shd w:val="clear" w:color="auto" w:fill="D9D9D9"/>
          </w:tcPr>
          <w:p>
            <w:pPr>
              <w:spacing w:after="0"/>
              <w:rPr>
                <w:sz w:val="5"/>
                <w:szCs w:val="5"/>
                <w:color w:val="auto"/>
              </w:rPr>
            </w:pPr>
          </w:p>
        </w:tc>
        <w:tc>
          <w:tcPr>
            <w:tcW w:w="40" w:type="dxa"/>
            <w:vAlign w:val="bottom"/>
            <w:tcBorders>
              <w:bottom w:val="single" w:sz="8" w:color="auto"/>
            </w:tcBorders>
            <w:shd w:val="clear" w:color="auto" w:fill="D9D9D9"/>
          </w:tcPr>
          <w:p>
            <w:pPr>
              <w:spacing w:after="0"/>
              <w:rPr>
                <w:sz w:val="5"/>
                <w:szCs w:val="5"/>
                <w:color w:val="auto"/>
              </w:rPr>
            </w:pPr>
          </w:p>
        </w:tc>
        <w:tc>
          <w:tcPr>
            <w:tcW w:w="8460" w:type="dxa"/>
            <w:vAlign w:val="bottom"/>
            <w:tcBorders>
              <w:bottom w:val="single" w:sz="8" w:color="auto"/>
              <w:right w:val="single" w:sz="8" w:color="auto"/>
            </w:tcBorders>
            <w:shd w:val="clear" w:color="auto" w:fill="D9D9D9"/>
          </w:tcPr>
          <w:p>
            <w:pPr>
              <w:spacing w:after="0"/>
              <w:rPr>
                <w:sz w:val="5"/>
                <w:szCs w:val="5"/>
                <w:color w:val="auto"/>
              </w:rPr>
            </w:pPr>
          </w:p>
        </w:tc>
      </w:tr>
      <w:tr>
        <w:trPr>
          <w:trHeight w:val="262"/>
        </w:trPr>
        <w:tc>
          <w:tcPr>
            <w:tcW w:w="27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CODE-001</w:t>
            </w:r>
          </w:p>
        </w:tc>
        <w:tc>
          <w:tcPr>
            <w:tcW w:w="40" w:type="dxa"/>
            <w:vAlign w:val="bottom"/>
            <w:tcBorders>
              <w:bottom w:val="single" w:sz="8" w:color="auto"/>
            </w:tcBorders>
          </w:tcPr>
          <w:p>
            <w:pPr>
              <w:spacing w:after="0"/>
              <w:rPr>
                <w:sz w:val="22"/>
                <w:szCs w:val="22"/>
                <w:color w:val="auto"/>
              </w:rPr>
            </w:pPr>
          </w:p>
        </w:tc>
        <w:tc>
          <w:tcPr>
            <w:tcW w:w="8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Code of Business Conduct &amp; Ethics</w:t>
            </w:r>
          </w:p>
        </w:tc>
      </w:tr>
      <w:tr>
        <w:trPr>
          <w:trHeight w:val="263"/>
        </w:trPr>
        <w:tc>
          <w:tcPr>
            <w:tcW w:w="27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GUI-004</w:t>
            </w:r>
          </w:p>
        </w:tc>
        <w:tc>
          <w:tcPr>
            <w:tcW w:w="40" w:type="dxa"/>
            <w:vAlign w:val="bottom"/>
            <w:tcBorders>
              <w:bottom w:val="single" w:sz="8" w:color="auto"/>
            </w:tcBorders>
          </w:tcPr>
          <w:p>
            <w:pPr>
              <w:spacing w:after="0"/>
              <w:rPr>
                <w:sz w:val="22"/>
                <w:szCs w:val="22"/>
                <w:color w:val="auto"/>
              </w:rPr>
            </w:pPr>
          </w:p>
        </w:tc>
        <w:tc>
          <w:tcPr>
            <w:tcW w:w="8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Day One Glossary</w:t>
            </w:r>
          </w:p>
        </w:tc>
      </w:tr>
      <w:tr>
        <w:trPr>
          <w:trHeight w:val="263"/>
        </w:trPr>
        <w:tc>
          <w:tcPr>
            <w:tcW w:w="27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POL-016</w:t>
            </w:r>
          </w:p>
        </w:tc>
        <w:tc>
          <w:tcPr>
            <w:tcW w:w="40" w:type="dxa"/>
            <w:vAlign w:val="bottom"/>
            <w:tcBorders>
              <w:bottom w:val="single" w:sz="8" w:color="auto"/>
            </w:tcBorders>
          </w:tcPr>
          <w:p>
            <w:pPr>
              <w:spacing w:after="0"/>
              <w:rPr>
                <w:sz w:val="22"/>
                <w:szCs w:val="22"/>
                <w:color w:val="auto"/>
              </w:rPr>
            </w:pPr>
          </w:p>
        </w:tc>
        <w:tc>
          <w:tcPr>
            <w:tcW w:w="8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Whistleblower Policy</w:t>
            </w:r>
          </w:p>
        </w:tc>
      </w:tr>
    </w:tbl>
    <w:p>
      <w:pPr>
        <w:spacing w:after="0" w:line="3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7"/>
          <w:szCs w:val="17"/>
          <w:b w:val="1"/>
          <w:bCs w:val="1"/>
          <w:color w:val="auto"/>
        </w:rPr>
        <w:t>APPENDICES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Exhibit A: Designated Insiders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Appendix : Exceptions to the Multiple, Overlapping 10b5-1 Plan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0000"/>
        </w:rPr>
        <w:t>Printed or downloaded documents must be verified against the effective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CONFIDENTIAL INFORMATION</w:t>
      </w:r>
    </w:p>
    <w:p>
      <w:pPr>
        <w:jc w:val="center"/>
        <w:spacing w:after="0"/>
        <w:rPr>
          <w:sz w:val="20"/>
          <w:szCs w:val="20"/>
          <w:color w:val="auto"/>
        </w:rPr>
      </w:pPr>
      <w:r>
        <w:rPr>
          <w:rFonts w:ascii="Arial" w:cs="Arial" w:eastAsia="Arial" w:hAnsi="Arial"/>
          <w:sz w:val="16"/>
          <w:szCs w:val="16"/>
          <w:b w:val="1"/>
          <w:bCs w:val="1"/>
          <w:color w:val="auto"/>
        </w:rPr>
        <w:t>Do not distribute outside of Day One Biopharmaceuticals Inc. without a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Designated Insiders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All full-time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0000"/>
        </w:rPr>
        <w:t>Printed or downloaded documents must be verified against the effective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CONFIDENTIAL INFORMATION</w:t>
      </w:r>
    </w:p>
    <w:p>
      <w:pPr>
        <w:jc w:val="center"/>
        <w:spacing w:after="0"/>
        <w:rPr>
          <w:sz w:val="20"/>
          <w:szCs w:val="20"/>
          <w:color w:val="auto"/>
        </w:rPr>
      </w:pPr>
      <w:r>
        <w:rPr>
          <w:rFonts w:ascii="Arial" w:cs="Arial" w:eastAsia="Arial" w:hAnsi="Arial"/>
          <w:sz w:val="16"/>
          <w:szCs w:val="16"/>
          <w:b w:val="1"/>
          <w:bCs w:val="1"/>
          <w:color w:val="auto"/>
        </w:rPr>
        <w:t>Do not distribute outside of Day One Biopharmaceuticals Inc. without a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Appendix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Exceptions to the Multiple, Overlapping 10b5-1 Plan Restriction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Such exceptions are:</w:t>
      </w:r>
    </w:p>
    <w:p>
      <w:pPr>
        <w:spacing w:after="0" w:line="212" w:lineRule="exact"/>
        <w:rPr>
          <w:sz w:val="20"/>
          <w:szCs w:val="20"/>
          <w:color w:val="auto"/>
        </w:rPr>
      </w:pPr>
    </w:p>
    <w:p>
      <w:pPr>
        <w:jc w:val="both"/>
        <w:ind w:left="760" w:hanging="378"/>
        <w:spacing w:after="0" w:line="246" w:lineRule="auto"/>
        <w:tabs>
          <w:tab w:leader="none" w:pos="76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An eligible “sell-to-cover” 10b5-1 Plan where such plan authorizes an agent to sell only such securities as are necessary to satisfy tax withholding obligations arising exclusively from the vesting of a compensatory award, such as restricted stock or stock appreciation rights, and the Insider does not otherwise exercise control over the timing of such sales. For the avoidance of doubt, this exception does not extend to sales incident to the exercise of option awards.</w:t>
      </w:r>
    </w:p>
    <w:p>
      <w:pPr>
        <w:spacing w:after="0" w:line="176" w:lineRule="exact"/>
        <w:rPr>
          <w:rFonts w:ascii="Times New Roman" w:cs="Times New Roman" w:eastAsia="Times New Roman" w:hAnsi="Times New Roman"/>
          <w:sz w:val="18"/>
          <w:szCs w:val="18"/>
          <w:color w:val="auto"/>
        </w:rPr>
      </w:pPr>
    </w:p>
    <w:p>
      <w:pPr>
        <w:jc w:val="both"/>
        <w:ind w:left="760" w:hanging="378"/>
        <w:spacing w:after="0" w:line="239" w:lineRule="auto"/>
        <w:tabs>
          <w:tab w:leader="none" w:pos="76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A series of separate contracts with different broker-dealers or other agents acting on behalf of the person (other than the Company) to execute trades thereunder may be treated as a single 10b5-1 Plan, provided that the individual constituent contracts with each broker-dealer or other agent, when taken together as a whole, meet all of the applicable conditions of and remain collectively subject to the provisions of Rule 10b5-1, including that a modification of any individual contract acts as modification of the whole 10b5-1 Plan, as defined in Rule 10b5-1(c)(1)(iv). The substitution of a broker-dealer or other agent acting on behalf of the person (other than the Company) for another broker-dealer that is executing trades pursuant to a 10b5-1 Plan shall not be a “Plan Modification” as long as the purchase or sales instructions applicable to the substitute and substituted broker are identical with respect to the prices of securities to be purchased or sold, dates of the purchases or sales to be executed, and amount of securities to be purchased or sold.</w:t>
      </w:r>
    </w:p>
    <w:p>
      <w:pPr>
        <w:spacing w:after="0" w:line="182" w:lineRule="exact"/>
        <w:rPr>
          <w:rFonts w:ascii="Times New Roman" w:cs="Times New Roman" w:eastAsia="Times New Roman" w:hAnsi="Times New Roman"/>
          <w:sz w:val="18"/>
          <w:szCs w:val="18"/>
          <w:color w:val="auto"/>
        </w:rPr>
      </w:pPr>
    </w:p>
    <w:p>
      <w:pPr>
        <w:jc w:val="both"/>
        <w:ind w:left="760" w:hanging="378"/>
        <w:spacing w:after="0" w:line="242" w:lineRule="auto"/>
        <w:tabs>
          <w:tab w:leader="none" w:pos="76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One later-commencing 10b5-1 Plan for purchases or sales of any securities of the Company on the open market under which trading is not authorized to begin until after all trades under the earlier-commencing 10b5-1 Plan are completed or expired without execution. However, if the earlier commencing 10b5-1 Plan does not end naturally pursuant to its existing terms without action by the 10b5-1 Plan participant, the first trade under such later-commencing 10b5-1 Plan must be scheduled after the “Effective Cooling-Off Period,” or the Cooling-Off Period that would be applicable to the later-commencing 10b5-1 Plan if the date of adoption of the later-commencing 10b5-1 Plan were deemed to be the date of termination of the earlier-commencing 10b5-1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Exceptions to the Single-Trade 10b5-1 Plan Restriction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is an exception for eligible “sell-to-cover” 10b5-1 Plans where the plan authorizes an agent to sell only such securities as are necessary to satisfy tax withholding obligations arising exclusively from the vesting of a compensatory award, such as restricted stock or stock appreciation rights, and the Insider does not otherwise exercise control over the timing of such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0000"/>
        </w:rPr>
        <w:t>Printed or downloaded documents must be verified against the effective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CONFIDENTIAL INFORMATION</w:t>
      </w:r>
    </w:p>
    <w:p>
      <w:pPr>
        <w:jc w:val="center"/>
        <w:spacing w:after="0"/>
        <w:rPr>
          <w:sz w:val="20"/>
          <w:szCs w:val="20"/>
          <w:color w:val="auto"/>
        </w:rPr>
      </w:pPr>
      <w:r>
        <w:rPr>
          <w:rFonts w:ascii="Arial" w:cs="Arial" w:eastAsia="Arial" w:hAnsi="Arial"/>
          <w:sz w:val="16"/>
          <w:szCs w:val="16"/>
          <w:b w:val="1"/>
          <w:bCs w:val="1"/>
          <w:color w:val="auto"/>
        </w:rPr>
        <w:t>Do not distribute outside of Day One Biopharmaceuticals Inc. without a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8.0</w:t>
            </w:r>
          </w:p>
        </w:tc>
        <w:tc>
          <w:tcPr>
            <w:tcW w:w="27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REVISION HISTORY</w:t>
            </w:r>
          </w:p>
        </w:tc>
        <w:tc>
          <w:tcPr>
            <w:tcW w:w="8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spacing w:after="0"/>
              <w:rPr>
                <w:sz w:val="24"/>
                <w:szCs w:val="24"/>
                <w:color w:val="auto"/>
              </w:rPr>
            </w:pPr>
          </w:p>
        </w:tc>
        <w:tc>
          <w:tcPr>
            <w:tcW w:w="8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0" w:type="dxa"/>
            <w:vAlign w:val="bottom"/>
            <w:tcBorders>
              <w:right w:val="single" w:sz="8" w:color="auto"/>
            </w:tcBorders>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060" w:type="dxa"/>
            <w:vAlign w:val="bottom"/>
            <w:tcBorders>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Version</w:t>
            </w:r>
          </w:p>
        </w:tc>
        <w:tc>
          <w:tcPr>
            <w:tcW w:w="1700" w:type="dxa"/>
            <w:vAlign w:val="bottom"/>
            <w:tcBorders>
              <w:right w:val="single" w:sz="8" w:color="auto"/>
            </w:tcBorders>
            <w:gridSpan w:val="2"/>
            <w:shd w:val="clear" w:color="auto" w:fill="D9D9D9"/>
          </w:tcPr>
          <w:p>
            <w:pPr>
              <w:ind w:left="80"/>
              <w:spacing w:after="0"/>
              <w:rPr>
                <w:sz w:val="20"/>
                <w:szCs w:val="20"/>
                <w:color w:val="auto"/>
              </w:rPr>
            </w:pPr>
            <w:r>
              <w:rPr>
                <w:rFonts w:ascii="Arial" w:cs="Arial" w:eastAsia="Arial" w:hAnsi="Arial"/>
                <w:sz w:val="18"/>
                <w:szCs w:val="18"/>
                <w:color w:val="auto"/>
              </w:rPr>
              <w:t>Effective Date</w:t>
            </w:r>
          </w:p>
        </w:tc>
        <w:tc>
          <w:tcPr>
            <w:tcW w:w="804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8"/>
                <w:szCs w:val="18"/>
                <w:color w:val="auto"/>
              </w:rPr>
              <w:t>Change History</w:t>
            </w:r>
          </w:p>
        </w:tc>
        <w:tc>
          <w:tcPr>
            <w:tcW w:w="0" w:type="dxa"/>
            <w:vAlign w:val="bottom"/>
          </w:tcPr>
          <w:p>
            <w:pPr>
              <w:spacing w:after="0"/>
              <w:rPr>
                <w:sz w:val="1"/>
                <w:szCs w:val="1"/>
                <w:color w:val="auto"/>
              </w:rPr>
            </w:pPr>
          </w:p>
        </w:tc>
      </w:tr>
      <w:tr>
        <w:trPr>
          <w:trHeight w:val="60"/>
        </w:trPr>
        <w:tc>
          <w:tcPr>
            <w:tcW w:w="200" w:type="dxa"/>
            <w:vAlign w:val="bottom"/>
            <w:tcBorders>
              <w:right w:val="single" w:sz="8" w:color="auto"/>
            </w:tcBorders>
          </w:tcPr>
          <w:p>
            <w:pPr>
              <w:spacing w:after="0"/>
              <w:rPr>
                <w:sz w:val="5"/>
                <w:szCs w:val="5"/>
                <w:color w:val="auto"/>
              </w:rPr>
            </w:pPr>
          </w:p>
        </w:tc>
        <w:tc>
          <w:tcPr>
            <w:tcW w:w="80" w:type="dxa"/>
            <w:vAlign w:val="bottom"/>
            <w:tcBorders>
              <w:bottom w:val="single" w:sz="8" w:color="auto"/>
            </w:tcBorders>
            <w:shd w:val="clear" w:color="auto" w:fill="D9D9D9"/>
          </w:tcPr>
          <w:p>
            <w:pPr>
              <w:spacing w:after="0"/>
              <w:rPr>
                <w:sz w:val="5"/>
                <w:szCs w:val="5"/>
                <w:color w:val="auto"/>
              </w:rPr>
            </w:pPr>
          </w:p>
        </w:tc>
        <w:tc>
          <w:tcPr>
            <w:tcW w:w="1060" w:type="dxa"/>
            <w:vAlign w:val="bottom"/>
            <w:tcBorders>
              <w:bottom w:val="single" w:sz="8" w:color="auto"/>
              <w:right w:val="single" w:sz="8" w:color="auto"/>
            </w:tcBorders>
            <w:shd w:val="clear" w:color="auto" w:fill="D9D9D9"/>
          </w:tcPr>
          <w:p>
            <w:pPr>
              <w:spacing w:after="0"/>
              <w:rPr>
                <w:sz w:val="5"/>
                <w:szCs w:val="5"/>
                <w:color w:val="auto"/>
              </w:rPr>
            </w:pPr>
          </w:p>
        </w:tc>
        <w:tc>
          <w:tcPr>
            <w:tcW w:w="1700" w:type="dxa"/>
            <w:vAlign w:val="bottom"/>
            <w:tcBorders>
              <w:bottom w:val="single" w:sz="8" w:color="auto"/>
              <w:right w:val="single" w:sz="8" w:color="auto"/>
            </w:tcBorders>
            <w:gridSpan w:val="2"/>
            <w:shd w:val="clear" w:color="auto" w:fill="D9D9D9"/>
          </w:tcPr>
          <w:p>
            <w:pPr>
              <w:spacing w:after="0"/>
              <w:rPr>
                <w:sz w:val="5"/>
                <w:szCs w:val="5"/>
                <w:color w:val="auto"/>
              </w:rPr>
            </w:pPr>
          </w:p>
        </w:tc>
        <w:tc>
          <w:tcPr>
            <w:tcW w:w="804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0" w:type="dxa"/>
            <w:vAlign w:val="bottom"/>
            <w:tcBorders>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04</w:t>
            </w:r>
          </w:p>
        </w:tc>
        <w:tc>
          <w:tcPr>
            <w:tcW w:w="17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Current</w:t>
            </w:r>
          </w:p>
        </w:tc>
        <w:tc>
          <w:tcPr>
            <w:tcW w:w="8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Added Appendices</w:t>
            </w:r>
          </w:p>
        </w:tc>
        <w:tc>
          <w:tcPr>
            <w:tcW w:w="0" w:type="dxa"/>
            <w:vAlign w:val="bottom"/>
          </w:tcPr>
          <w:p>
            <w:pPr>
              <w:spacing w:after="0"/>
              <w:rPr>
                <w:sz w:val="1"/>
                <w:szCs w:val="1"/>
                <w:color w:val="auto"/>
              </w:rPr>
            </w:pPr>
          </w:p>
        </w:tc>
      </w:tr>
      <w:tr>
        <w:trPr>
          <w:trHeight w:val="263"/>
        </w:trPr>
        <w:tc>
          <w:tcPr>
            <w:tcW w:w="200" w:type="dxa"/>
            <w:vAlign w:val="bottom"/>
            <w:tcBorders>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25</w:t>
            </w:r>
          </w:p>
        </w:tc>
        <w:tc>
          <w:tcPr>
            <w:tcW w:w="140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May 2024</w:t>
            </w:r>
          </w:p>
        </w:tc>
        <w:tc>
          <w:tcPr>
            <w:tcW w:w="8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Added Trading Window definition and updated Section 5.2.1</w:t>
            </w:r>
          </w:p>
        </w:tc>
        <w:tc>
          <w:tcPr>
            <w:tcW w:w="0" w:type="dxa"/>
            <w:vAlign w:val="bottom"/>
          </w:tcPr>
          <w:p>
            <w:pPr>
              <w:spacing w:after="0"/>
              <w:rPr>
                <w:sz w:val="1"/>
                <w:szCs w:val="1"/>
                <w:color w:val="auto"/>
              </w:rPr>
            </w:pPr>
          </w:p>
        </w:tc>
      </w:tr>
      <w:tr>
        <w:trPr>
          <w:trHeight w:val="264"/>
        </w:trPr>
        <w:tc>
          <w:tcPr>
            <w:tcW w:w="200" w:type="dxa"/>
            <w:vAlign w:val="bottom"/>
            <w:tcBorders>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04</w:t>
            </w:r>
          </w:p>
        </w:tc>
        <w:tc>
          <w:tcPr>
            <w:tcW w:w="140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Mar 2024</w:t>
            </w:r>
          </w:p>
        </w:tc>
        <w:tc>
          <w:tcPr>
            <w:tcW w:w="8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Transposed to company policy template</w:t>
            </w:r>
          </w:p>
        </w:tc>
        <w:tc>
          <w:tcPr>
            <w:tcW w:w="0" w:type="dxa"/>
            <w:vAlign w:val="bottom"/>
          </w:tcPr>
          <w:p>
            <w:pPr>
              <w:spacing w:after="0"/>
              <w:rPr>
                <w:sz w:val="1"/>
                <w:szCs w:val="1"/>
                <w:color w:val="auto"/>
              </w:rPr>
            </w:pPr>
          </w:p>
        </w:tc>
      </w:tr>
      <w:tr>
        <w:trPr>
          <w:trHeight w:val="259"/>
        </w:trPr>
        <w:tc>
          <w:tcPr>
            <w:tcW w:w="2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01</w:t>
            </w:r>
          </w:p>
        </w:tc>
        <w:tc>
          <w:tcPr>
            <w:tcW w:w="17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17 Feb 2023</w:t>
            </w:r>
          </w:p>
        </w:tc>
        <w:tc>
          <w:tcPr>
            <w:tcW w:w="8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New Document</w:t>
            </w:r>
          </w:p>
        </w:tc>
        <w:tc>
          <w:tcPr>
            <w:tcW w:w="0" w:type="dxa"/>
            <w:vAlign w:val="bottom"/>
          </w:tcPr>
          <w:p>
            <w:pPr>
              <w:spacing w:after="0"/>
              <w:rPr>
                <w:sz w:val="1"/>
                <w:szCs w:val="1"/>
                <w:color w:val="auto"/>
              </w:rPr>
            </w:pPr>
          </w:p>
        </w:tc>
      </w:tr>
      <w:tr>
        <w:trPr>
          <w:trHeight w:val="122"/>
        </w:trPr>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gridSpan w:val="2"/>
            <w:vMerge w:val="continue"/>
          </w:tcPr>
          <w:p>
            <w:pPr>
              <w:spacing w:after="0"/>
              <w:rPr>
                <w:sz w:val="10"/>
                <w:szCs w:val="10"/>
                <w:color w:val="auto"/>
              </w:rPr>
            </w:pPr>
          </w:p>
        </w:tc>
        <w:tc>
          <w:tcPr>
            <w:tcW w:w="80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Policy was approved by the Board on 17 Feb 2023.</w:t>
            </w:r>
          </w:p>
        </w:tc>
        <w:tc>
          <w:tcPr>
            <w:tcW w:w="0" w:type="dxa"/>
            <w:vAlign w:val="bottom"/>
          </w:tcPr>
          <w:p>
            <w:pPr>
              <w:spacing w:after="0"/>
              <w:rPr>
                <w:sz w:val="1"/>
                <w:szCs w:val="1"/>
                <w:color w:val="auto"/>
              </w:rPr>
            </w:pPr>
          </w:p>
        </w:tc>
      </w:tr>
      <w:tr>
        <w:trPr>
          <w:trHeight w:val="126"/>
        </w:trPr>
        <w:tc>
          <w:tcPr>
            <w:tcW w:w="200" w:type="dxa"/>
            <w:vAlign w:val="bottom"/>
            <w:tcBorders>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80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0000"/>
        </w:rPr>
        <w:t>Printed or downloaded documents must be verified against the effective version.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CONFIDENTIAL INFORMATION</w:t>
      </w:r>
    </w:p>
    <w:p>
      <w:pPr>
        <w:jc w:val="center"/>
        <w:spacing w:after="0"/>
        <w:rPr>
          <w:sz w:val="20"/>
          <w:szCs w:val="20"/>
          <w:color w:val="auto"/>
        </w:rPr>
      </w:pPr>
      <w:r>
        <w:rPr>
          <w:rFonts w:ascii="Arial" w:cs="Arial" w:eastAsia="Arial" w:hAnsi="Arial"/>
          <w:sz w:val="16"/>
          <w:szCs w:val="16"/>
          <w:b w:val="1"/>
          <w:bCs w:val="1"/>
          <w:color w:val="auto"/>
        </w:rPr>
        <w:t>Do not distribute outside of Day One Biopharmaceuticals Inc. without a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Subsidiaries of Day One Biopharmaceuticals, Inc.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135" w:lineRule="exact"/>
        <w:rPr>
          <w:sz w:val="20"/>
          <w:szCs w:val="20"/>
          <w:color w:val="auto"/>
        </w:rPr>
      </w:pPr>
    </w:p>
    <w:p>
      <w:pPr>
        <w:ind w:right="580"/>
        <w:spacing w:after="0" w:line="267" w:lineRule="auto"/>
        <w:rPr>
          <w:sz w:val="20"/>
          <w:szCs w:val="20"/>
          <w:color w:val="auto"/>
        </w:rPr>
      </w:pPr>
      <w:r>
        <w:rPr>
          <w:rFonts w:ascii="Times New Roman" w:cs="Times New Roman" w:eastAsia="Times New Roman" w:hAnsi="Times New Roman"/>
          <w:sz w:val="19"/>
          <w:szCs w:val="19"/>
          <w:color w:val="auto"/>
        </w:rPr>
        <w:t>We hereby consent to the incorporation by reference in the Registration Statements on Form S-8 (Nos. 333-256521, 333-263343, 333-268071, 333-269727, and 333-276372) and Registration Statements on Form S-3 (Nos. 333-265346 and 333-274521) of Day One</w:t>
      </w:r>
    </w:p>
    <w:p>
      <w:pPr>
        <w:spacing w:after="0" w:line="2"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20"/>
          <w:szCs w:val="20"/>
          <w:color w:val="auto"/>
        </w:rPr>
        <w:t>Biopharmaceuticals, Inc. of our report dated February 26, 2024 relating to the financial statements and the effectiveness of internal control over financial reporting, which appears in this Form 10-K.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9" w:name="page200"/>
    <w:bookmarkEnd w:id="199"/>
    <w:p>
      <w:pPr>
        <w:ind w:left="10260"/>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ERNST &amp; YOUNG LLP,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820" w:hanging="377"/>
        <w:spacing w:after="0" w:line="282" w:lineRule="auto"/>
        <w:tabs>
          <w:tab w:leader="none" w:pos="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333-284210, 333-256521, 333-263343, 333-268071, 333-269727 and 333-276372) pertaining to the 2021 Equity Incentive Plan, 2021 Employee Stock Purchase Plan and 2022 Equity Inducement Plan of Day One Biopharmaceuticals, Inc., and</w:t>
      </w:r>
    </w:p>
    <w:p>
      <w:pPr>
        <w:spacing w:after="0" w:line="161"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333-281822, 333-265346 and 333-274521) of Day One Biopharmaceuticals,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report dated March 6, 2023, with respect to the financial statements of Day One Biopharmaceuticals, Inc., included in this Annual Report (Form 10-</w:t>
      </w:r>
    </w:p>
    <w:p>
      <w:pPr>
        <w:spacing w:after="0" w:line="27" w:lineRule="exact"/>
        <w:rPr>
          <w:sz w:val="20"/>
          <w:szCs w:val="20"/>
          <w:color w:val="auto"/>
        </w:rPr>
      </w:pPr>
    </w:p>
    <w:p>
      <w:pPr>
        <w:ind w:left="60" w:right="8180" w:hanging="52"/>
        <w:spacing w:after="0" w:line="803" w:lineRule="auto"/>
        <w:tabs>
          <w:tab w:leader="none" w:pos="25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/s/ Ernst &amp; Young LLP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Jeremy Bender, certify that:</w:t>
      </w:r>
    </w:p>
    <w:p>
      <w:pPr>
        <w:spacing w:after="0" w:line="225" w:lineRule="exact"/>
        <w:rPr>
          <w:sz w:val="20"/>
          <w:szCs w:val="20"/>
          <w:color w:val="auto"/>
        </w:rPr>
      </w:pPr>
    </w:p>
    <w:p>
      <w:pPr>
        <w:ind w:left="180" w:hanging="172"/>
        <w:spacing w:after="0"/>
        <w:tabs>
          <w:tab w:leader="none" w:pos="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Day One Biopharmaceuticals, Inc.;</w:t>
      </w:r>
    </w:p>
    <w:p>
      <w:pPr>
        <w:spacing w:after="0" w:line="184" w:lineRule="exact"/>
        <w:rPr>
          <w:rFonts w:ascii="Times New Roman" w:cs="Times New Roman" w:eastAsia="Times New Roman" w:hAnsi="Times New Roman"/>
          <w:sz w:val="18"/>
          <w:szCs w:val="18"/>
          <w:color w:val="auto"/>
        </w:rPr>
      </w:pPr>
    </w:p>
    <w:p>
      <w:pPr>
        <w:ind w:left="920" w:right="180" w:hanging="912"/>
        <w:spacing w:after="0" w:line="266" w:lineRule="auto"/>
        <w:tabs>
          <w:tab w:leader="none" w:pos="19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920" w:right="540" w:hanging="912"/>
        <w:spacing w:after="0" w:line="282" w:lineRule="auto"/>
        <w:tabs>
          <w:tab w:leader="none" w:pos="19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920" w:right="20" w:hanging="912"/>
        <w:spacing w:after="0" w:line="266" w:lineRule="auto"/>
        <w:tabs>
          <w:tab w:leader="none" w:pos="19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940" w:right="20" w:hanging="911"/>
        <w:spacing w:after="0" w:line="266" w:lineRule="auto"/>
        <w:tabs>
          <w:tab w:leader="none" w:pos="120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940" w:right="220" w:hanging="911"/>
        <w:spacing w:after="0" w:line="266" w:lineRule="auto"/>
        <w:tabs>
          <w:tab w:leader="none" w:pos="121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40" w:right="320" w:hanging="911"/>
        <w:spacing w:after="0" w:line="266" w:lineRule="auto"/>
        <w:tabs>
          <w:tab w:leader="none" w:pos="120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40" w:right="280" w:hanging="911"/>
        <w:spacing w:after="0" w:line="266" w:lineRule="auto"/>
        <w:tabs>
          <w:tab w:leader="none" w:pos="121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920" w:right="460" w:hanging="912"/>
        <w:spacing w:after="0" w:line="282" w:lineRule="auto"/>
        <w:tabs>
          <w:tab w:leader="none" w:pos="19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940" w:right="160" w:hanging="911"/>
        <w:spacing w:after="0" w:line="282" w:lineRule="auto"/>
        <w:tabs>
          <w:tab w:leader="none" w:pos="120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40" w:right="220" w:hanging="911"/>
        <w:spacing w:after="0" w:line="282" w:lineRule="auto"/>
        <w:tabs>
          <w:tab w:leader="none" w:pos="121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25, 2025</w:t>
            </w:r>
          </w:p>
        </w:tc>
        <w:tc>
          <w:tcPr>
            <w:tcW w:w="130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Jeremy Bender, Ph.D., M.B.A.</w:t>
            </w:r>
          </w:p>
        </w:tc>
      </w:tr>
      <w:tr>
        <w:trPr>
          <w:trHeight w:val="191"/>
        </w:trPr>
        <w:tc>
          <w:tcPr>
            <w:tcW w:w="49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1300" w:type="dxa"/>
            <w:vAlign w:val="bottom"/>
          </w:tcPr>
          <w:p>
            <w:pPr>
              <w:spacing w:after="0"/>
              <w:rPr>
                <w:sz w:val="16"/>
                <w:szCs w:val="16"/>
                <w:color w:val="auto"/>
              </w:rPr>
            </w:pPr>
          </w:p>
        </w:tc>
        <w:tc>
          <w:tcPr>
            <w:tcW w:w="4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Jeremy Bender, Ph.D., M.B.A.</w:t>
            </w:r>
          </w:p>
        </w:tc>
      </w:tr>
      <w:tr>
        <w:trPr>
          <w:trHeight w:val="216"/>
        </w:trPr>
        <w:tc>
          <w:tcPr>
            <w:tcW w:w="4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762"/>
        </w:trPr>
        <w:tc>
          <w:tcPr>
            <w:tcW w:w="4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Charles York II, certify that:</w:t>
      </w:r>
    </w:p>
    <w:p>
      <w:pPr>
        <w:spacing w:after="0" w:line="225" w:lineRule="exact"/>
        <w:rPr>
          <w:sz w:val="20"/>
          <w:szCs w:val="20"/>
          <w:color w:val="auto"/>
        </w:rPr>
      </w:pPr>
    </w:p>
    <w:p>
      <w:pPr>
        <w:ind w:left="180" w:hanging="172"/>
        <w:spacing w:after="0"/>
        <w:tabs>
          <w:tab w:leader="none" w:pos="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Day One Biopharmaceuticals, Inc.;</w:t>
      </w:r>
    </w:p>
    <w:p>
      <w:pPr>
        <w:spacing w:after="0" w:line="184" w:lineRule="exact"/>
        <w:rPr>
          <w:rFonts w:ascii="Times New Roman" w:cs="Times New Roman" w:eastAsia="Times New Roman" w:hAnsi="Times New Roman"/>
          <w:sz w:val="18"/>
          <w:szCs w:val="18"/>
          <w:color w:val="auto"/>
        </w:rPr>
      </w:pPr>
    </w:p>
    <w:p>
      <w:pPr>
        <w:ind w:left="920" w:right="180" w:hanging="912"/>
        <w:spacing w:after="0" w:line="266" w:lineRule="auto"/>
        <w:tabs>
          <w:tab w:leader="none" w:pos="19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920" w:right="540" w:hanging="912"/>
        <w:spacing w:after="0" w:line="282" w:lineRule="auto"/>
        <w:tabs>
          <w:tab w:leader="none" w:pos="19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920" w:right="20" w:hanging="912"/>
        <w:spacing w:after="0" w:line="266" w:lineRule="auto"/>
        <w:tabs>
          <w:tab w:leader="none" w:pos="19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940" w:right="20" w:hanging="911"/>
        <w:spacing w:after="0" w:line="266" w:lineRule="auto"/>
        <w:tabs>
          <w:tab w:leader="none" w:pos="120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940" w:right="220" w:hanging="911"/>
        <w:spacing w:after="0" w:line="266" w:lineRule="auto"/>
        <w:tabs>
          <w:tab w:leader="none" w:pos="121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40" w:right="320" w:hanging="911"/>
        <w:spacing w:after="0" w:line="266" w:lineRule="auto"/>
        <w:tabs>
          <w:tab w:leader="none" w:pos="120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40" w:right="280" w:hanging="911"/>
        <w:spacing w:after="0" w:line="266" w:lineRule="auto"/>
        <w:tabs>
          <w:tab w:leader="none" w:pos="121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920" w:right="460" w:hanging="912"/>
        <w:spacing w:after="0" w:line="282" w:lineRule="auto"/>
        <w:tabs>
          <w:tab w:leader="none" w:pos="19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940" w:right="160" w:hanging="911"/>
        <w:spacing w:after="0" w:line="282" w:lineRule="auto"/>
        <w:tabs>
          <w:tab w:leader="none" w:pos="120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40" w:right="220" w:hanging="911"/>
        <w:spacing w:after="0" w:line="282" w:lineRule="auto"/>
        <w:tabs>
          <w:tab w:leader="none" w:pos="121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25, 2025</w:t>
            </w:r>
          </w:p>
        </w:tc>
        <w:tc>
          <w:tcPr>
            <w:tcW w:w="130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York II, M.B.A.</w:t>
            </w:r>
          </w:p>
        </w:tc>
      </w:tr>
      <w:tr>
        <w:trPr>
          <w:trHeight w:val="191"/>
        </w:trPr>
        <w:tc>
          <w:tcPr>
            <w:tcW w:w="49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1300" w:type="dxa"/>
            <w:vAlign w:val="bottom"/>
          </w:tcPr>
          <w:p>
            <w:pPr>
              <w:spacing w:after="0"/>
              <w:rPr>
                <w:sz w:val="16"/>
                <w:szCs w:val="16"/>
                <w:color w:val="auto"/>
              </w:rPr>
            </w:pPr>
          </w:p>
        </w:tc>
        <w:tc>
          <w:tcPr>
            <w:tcW w:w="4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Charles York II, M.B.A..</w:t>
            </w:r>
          </w:p>
        </w:tc>
      </w:tr>
      <w:tr>
        <w:trPr>
          <w:trHeight w:val="216"/>
        </w:trPr>
        <w:tc>
          <w:tcPr>
            <w:tcW w:w="4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1627"/>
        </w:trPr>
        <w:tc>
          <w:tcPr>
            <w:tcW w:w="4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 (a) and (b) of Section 1350, Chapter 63 of Title 18, United States Code)</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officers of Day One Biopharmaceuticals, Inc., a Delaware corporation (the “Company”), do hereby certify that, to the best of our knowledge:</w:t>
      </w:r>
    </w:p>
    <w:p>
      <w:pPr>
        <w:spacing w:after="0" w:line="162" w:lineRule="exact"/>
        <w:rPr>
          <w:sz w:val="20"/>
          <w:szCs w:val="20"/>
          <w:color w:val="auto"/>
        </w:rPr>
      </w:pPr>
    </w:p>
    <w:p>
      <w:pPr>
        <w:ind w:left="760" w:right="900" w:hanging="378"/>
        <w:spacing w:after="0" w:line="282"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2024 (the “Form 10-K”) of the Company fully complies with the requirements of Section 13(a) or 15(d) of the Securities Act of 1934; and</w:t>
      </w:r>
    </w:p>
    <w:p>
      <w:pPr>
        <w:spacing w:after="0" w:line="161"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25, 2025</w:t>
            </w:r>
          </w:p>
        </w:tc>
        <w:tc>
          <w:tcPr>
            <w:tcW w:w="130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Jeremy Bender, Ph.D., M.B.A.</w:t>
            </w:r>
          </w:p>
        </w:tc>
      </w:tr>
      <w:tr>
        <w:trPr>
          <w:trHeight w:val="191"/>
        </w:trPr>
        <w:tc>
          <w:tcPr>
            <w:tcW w:w="49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1300" w:type="dxa"/>
            <w:vAlign w:val="bottom"/>
          </w:tcPr>
          <w:p>
            <w:pPr>
              <w:spacing w:after="0"/>
              <w:rPr>
                <w:sz w:val="16"/>
                <w:szCs w:val="16"/>
                <w:color w:val="auto"/>
              </w:rPr>
            </w:pPr>
          </w:p>
        </w:tc>
        <w:tc>
          <w:tcPr>
            <w:tcW w:w="4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Jeremy Bender, Ph.D., M.B.A.</w:t>
            </w:r>
          </w:p>
        </w:tc>
      </w:tr>
      <w:tr>
        <w:trPr>
          <w:trHeight w:val="216"/>
        </w:trPr>
        <w:tc>
          <w:tcPr>
            <w:tcW w:w="4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4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25, 2025</w:t>
            </w:r>
          </w:p>
        </w:tc>
        <w:tc>
          <w:tcPr>
            <w:tcW w:w="1300" w:type="dxa"/>
            <w:vAlign w:val="bottom"/>
          </w:tcPr>
          <w:p>
            <w:pPr>
              <w:spacing w:after="0"/>
              <w:rPr>
                <w:sz w:val="24"/>
                <w:szCs w:val="24"/>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York II, M.B.A.</w:t>
            </w:r>
          </w:p>
        </w:tc>
      </w:tr>
      <w:tr>
        <w:trPr>
          <w:trHeight w:val="191"/>
        </w:trPr>
        <w:tc>
          <w:tcPr>
            <w:tcW w:w="49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1300" w:type="dxa"/>
            <w:vAlign w:val="bottom"/>
          </w:tcPr>
          <w:p>
            <w:pPr>
              <w:spacing w:after="0"/>
              <w:rPr>
                <w:sz w:val="16"/>
                <w:szCs w:val="16"/>
                <w:color w:val="auto"/>
              </w:rPr>
            </w:pPr>
          </w:p>
        </w:tc>
        <w:tc>
          <w:tcPr>
            <w:tcW w:w="4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Charles York II, M.B.A..</w:t>
            </w:r>
          </w:p>
        </w:tc>
      </w:tr>
      <w:tr>
        <w:trPr>
          <w:trHeight w:val="216"/>
        </w:trPr>
        <w:tc>
          <w:tcPr>
            <w:tcW w:w="4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627"/>
        </w:trPr>
        <w:tc>
          <w:tcPr>
            <w:tcW w:w="4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ne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iopharmaceuticals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ecovery</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December 5, 2023)</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1E1E1E"/>
        </w:rPr>
        <w:t>The Board has determined that it is in the best interests of the Company and its stockholders to adopt this Policy enabling the Company to recover from specified current and former Company executives certain incentive-based compensation in the event of an accounting restatement resulting from material noncompliance with any financial reporting requirements under the federal securities laws. Capitalized terms are defined in Section 14.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1E1E1E"/>
        </w:rPr>
        <w:t xml:space="preserve">This Policy </w:t>
      </w:r>
      <w:r>
        <w:rPr>
          <w:rFonts w:ascii="Times New Roman" w:cs="Times New Roman" w:eastAsia="Times New Roman" w:hAnsi="Times New Roman"/>
          <w:sz w:val="22"/>
          <w:szCs w:val="22"/>
          <w:color w:val="171717"/>
        </w:rPr>
        <w:t>is designed to comply with Rule 10D-1 of the Exchange Act and</w:t>
      </w:r>
      <w:r>
        <w:rPr>
          <w:rFonts w:ascii="Times New Roman" w:cs="Times New Roman" w:eastAsia="Times New Roman" w:hAnsi="Times New Roman"/>
          <w:sz w:val="22"/>
          <w:szCs w:val="22"/>
          <w:color w:val="1E1E1E"/>
        </w:rPr>
        <w:t xml:space="preserve"> shall become effective on the Effective Date and shall apply to </w:t>
      </w:r>
      <w:r>
        <w:rPr>
          <w:rFonts w:ascii="Times New Roman" w:cs="Times New Roman" w:eastAsia="Times New Roman" w:hAnsi="Times New Roman"/>
          <w:sz w:val="22"/>
          <w:szCs w:val="22"/>
          <w:color w:val="171717"/>
        </w:rPr>
        <w:t>Incentive-Based Compensation Received by Covered Persons on or after the Listing Rule Effective Date</w:t>
      </w:r>
      <w:r>
        <w:rPr>
          <w:rFonts w:ascii="Times New Roman" w:cs="Times New Roman" w:eastAsia="Times New Roman" w:hAnsi="Times New Roman"/>
          <w:sz w:val="22"/>
          <w:szCs w:val="22"/>
          <w:color w:val="1E1E1E"/>
        </w:rPr>
        <w:t>.</w:t>
      </w:r>
    </w:p>
    <w:p>
      <w:pPr>
        <w:spacing w:after="0" w:line="154" w:lineRule="exact"/>
        <w:rPr>
          <w:sz w:val="20"/>
          <w:szCs w:val="20"/>
          <w:color w:val="auto"/>
        </w:rPr>
      </w:pPr>
    </w:p>
    <w:p>
      <w:pPr>
        <w:ind w:left="760" w:hanging="752"/>
        <w:spacing w:after="0"/>
        <w:tabs>
          <w:tab w:leader="none" w:pos="760" w:val="left"/>
        </w:tabs>
        <w:numPr>
          <w:ilvl w:val="0"/>
          <w:numId w:val="90"/>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E1E1E"/>
        </w:rPr>
        <w:t>Administration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1E1E1E"/>
        </w:rPr>
        <w:t>This Policy shall be administered by the Administrator. The Administrator is authorized to interpret and construe this Policy and to make all determinations necessary, appropriate, or advisable for the administration of this Policy. The Administrator may retain, at the Company’s expense, outside legal counsel and such compensation, tax or other consultants as it may determine are advisable for purposes of administering this Policy.</w:t>
      </w:r>
    </w:p>
    <w:p>
      <w:pPr>
        <w:spacing w:after="0" w:line="176" w:lineRule="exact"/>
        <w:rPr>
          <w:sz w:val="20"/>
          <w:szCs w:val="20"/>
          <w:color w:val="auto"/>
        </w:rPr>
      </w:pPr>
    </w:p>
    <w:p>
      <w:pPr>
        <w:ind w:left="760" w:hanging="752"/>
        <w:spacing w:after="0"/>
        <w:tabs>
          <w:tab w:leader="none" w:pos="760" w:val="left"/>
        </w:tabs>
        <w:numPr>
          <w:ilvl w:val="0"/>
          <w:numId w:val="91"/>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E1E1E"/>
        </w:rPr>
        <w:t>Covered Persons and Applicable Compensation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E1E1E"/>
        </w:rPr>
        <w:t>This Policy applies to any Incentive-Based Compensation Received by a person (a) after beginning service as a Covered Person;</w:t>
      </w:r>
    </w:p>
    <w:p>
      <w:pPr>
        <w:spacing w:after="0" w:line="26" w:lineRule="exact"/>
        <w:rPr>
          <w:sz w:val="20"/>
          <w:szCs w:val="20"/>
          <w:color w:val="auto"/>
        </w:rPr>
      </w:pPr>
    </w:p>
    <w:p>
      <w:pPr>
        <w:ind w:firstLine="8"/>
        <w:spacing w:after="0" w:line="237" w:lineRule="auto"/>
        <w:tabs>
          <w:tab w:leader="none" w:pos="319" w:val="left"/>
        </w:tabs>
        <w:numPr>
          <w:ilvl w:val="0"/>
          <w:numId w:val="9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who served as a Covered Person at any time during the performance period for that Incentive-Based Compensation; and (c) was a Covered Person during the Clawback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However, recovery is not required under this Policy with respect to:</w:t>
      </w:r>
    </w:p>
    <w:p>
      <w:pPr>
        <w:spacing w:after="0" w:line="166" w:lineRule="exact"/>
        <w:rPr>
          <w:sz w:val="20"/>
          <w:szCs w:val="20"/>
          <w:color w:val="auto"/>
        </w:rPr>
      </w:pPr>
    </w:p>
    <w:p>
      <w:pPr>
        <w:ind w:left="760" w:right="20" w:hanging="378"/>
        <w:spacing w:after="0" w:line="258" w:lineRule="auto"/>
        <w:tabs>
          <w:tab w:leader="none" w:pos="760" w:val="left"/>
        </w:tabs>
        <w:numPr>
          <w:ilvl w:val="0"/>
          <w:numId w:val="9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71717"/>
        </w:rPr>
        <w:t>Incentive</w:t>
      </w:r>
      <w:r>
        <w:rPr>
          <w:rFonts w:ascii="Times New Roman" w:cs="Times New Roman" w:eastAsia="Times New Roman" w:hAnsi="Times New Roman"/>
          <w:sz w:val="22"/>
          <w:szCs w:val="22"/>
          <w:color w:val="1E1E1E"/>
        </w:rPr>
        <w:t>-Based Compensation Received prior to an individual becoming a Covered Person, even if the individual</w:t>
      </w:r>
      <w:r>
        <w:rPr>
          <w:rFonts w:ascii="Times New Roman" w:cs="Times New Roman" w:eastAsia="Times New Roman" w:hAnsi="Times New Roman"/>
          <w:sz w:val="22"/>
          <w:szCs w:val="22"/>
          <w:color w:val="171717"/>
        </w:rPr>
        <w:t xml:space="preserve"> </w:t>
      </w:r>
      <w:r>
        <w:rPr>
          <w:rFonts w:ascii="Times New Roman" w:cs="Times New Roman" w:eastAsia="Times New Roman" w:hAnsi="Times New Roman"/>
          <w:sz w:val="22"/>
          <w:szCs w:val="22"/>
          <w:color w:val="1E1E1E"/>
        </w:rPr>
        <w:t>served as a Covered Person during the Clawback Period.</w:t>
      </w:r>
    </w:p>
    <w:p>
      <w:pPr>
        <w:spacing w:after="0" w:line="212" w:lineRule="exact"/>
        <w:rPr>
          <w:rFonts w:ascii="Times New Roman" w:cs="Times New Roman" w:eastAsia="Times New Roman" w:hAnsi="Times New Roman"/>
          <w:sz w:val="22"/>
          <w:szCs w:val="22"/>
          <w:color w:val="1E1E1E"/>
        </w:rPr>
      </w:pPr>
    </w:p>
    <w:p>
      <w:pPr>
        <w:ind w:left="760" w:hanging="378"/>
        <w:spacing w:after="0"/>
        <w:tabs>
          <w:tab w:leader="none" w:pos="760" w:val="left"/>
        </w:tabs>
        <w:numPr>
          <w:ilvl w:val="0"/>
          <w:numId w:val="9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71717"/>
        </w:rPr>
        <w:t>Incentive-Based Compensation Received prior to the Listing Rule Effective Date.</w:t>
      </w:r>
    </w:p>
    <w:p>
      <w:pPr>
        <w:spacing w:after="0" w:line="200" w:lineRule="exact"/>
        <w:rPr>
          <w:rFonts w:ascii="Times New Roman" w:cs="Times New Roman" w:eastAsia="Times New Roman" w:hAnsi="Times New Roman"/>
          <w:sz w:val="22"/>
          <w:szCs w:val="22"/>
          <w:color w:val="1E1E1E"/>
        </w:rPr>
      </w:pPr>
    </w:p>
    <w:p>
      <w:pPr>
        <w:spacing w:after="0" w:line="249" w:lineRule="exact"/>
        <w:rPr>
          <w:rFonts w:ascii="Times New Roman" w:cs="Times New Roman" w:eastAsia="Times New Roman" w:hAnsi="Times New Roman"/>
          <w:sz w:val="22"/>
          <w:szCs w:val="22"/>
          <w:color w:val="1E1E1E"/>
        </w:rPr>
      </w:pPr>
    </w:p>
    <w:p>
      <w:pPr>
        <w:ind w:left="760" w:hanging="378"/>
        <w:spacing w:after="0"/>
        <w:tabs>
          <w:tab w:leader="none" w:pos="760" w:val="left"/>
        </w:tabs>
        <w:numPr>
          <w:ilvl w:val="0"/>
          <w:numId w:val="9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71717"/>
        </w:rPr>
        <w:t>Incentive</w:t>
      </w:r>
      <w:r>
        <w:rPr>
          <w:rFonts w:ascii="Times New Roman" w:cs="Times New Roman" w:eastAsia="Times New Roman" w:hAnsi="Times New Roman"/>
          <w:sz w:val="22"/>
          <w:szCs w:val="22"/>
          <w:color w:val="1E1E1E"/>
        </w:rPr>
        <w:t>-Based Compensation Received prior to the Clawback Period.</w:t>
      </w:r>
    </w:p>
    <w:p>
      <w:pPr>
        <w:spacing w:after="0" w:line="200" w:lineRule="exact"/>
        <w:rPr>
          <w:rFonts w:ascii="Times New Roman" w:cs="Times New Roman" w:eastAsia="Times New Roman" w:hAnsi="Times New Roman"/>
          <w:sz w:val="22"/>
          <w:szCs w:val="22"/>
          <w:color w:val="1E1E1E"/>
        </w:rPr>
      </w:pPr>
    </w:p>
    <w:p>
      <w:pPr>
        <w:spacing w:after="0" w:line="276" w:lineRule="exact"/>
        <w:rPr>
          <w:rFonts w:ascii="Times New Roman" w:cs="Times New Roman" w:eastAsia="Times New Roman" w:hAnsi="Times New Roman"/>
          <w:sz w:val="22"/>
          <w:szCs w:val="22"/>
          <w:color w:val="1E1E1E"/>
        </w:rPr>
      </w:pPr>
    </w:p>
    <w:p>
      <w:pPr>
        <w:ind w:left="760" w:right="20" w:hanging="378"/>
        <w:spacing w:after="0" w:line="258" w:lineRule="auto"/>
        <w:tabs>
          <w:tab w:leader="none" w:pos="760" w:val="left"/>
        </w:tabs>
        <w:numPr>
          <w:ilvl w:val="0"/>
          <w:numId w:val="9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71717"/>
        </w:rPr>
        <w:t>Incentive-Based Compensation Received while the Company did not have a class of listed securities on a national securities exchange or a national securities association, including the Exchange.</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171717"/>
        </w:rPr>
        <w:t>The Administrator will not consider the Covered Person’s responsibility or fault or lack thereof in enforcing this Policy with respect to recoupment under the Final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04" w:name="page205"/>
    <w:bookmarkEnd w:id="204"/>
    <w:p>
      <w:pPr>
        <w:ind w:left="760" w:hanging="752"/>
        <w:spacing w:after="0"/>
        <w:tabs>
          <w:tab w:leader="none" w:pos="760" w:val="left"/>
        </w:tabs>
        <w:numPr>
          <w:ilvl w:val="0"/>
          <w:numId w:val="94"/>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E1E1E"/>
        </w:rPr>
        <w:t>Triggering Event</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1E1E1E"/>
        </w:rPr>
        <w:t xml:space="preserve">Subject to and in accordance with the provisions of this Policy, if there is a Triggering Event, the Administrator shall require a Covered Person to reimburse or forfeit to the Company the Recoupment Amount applicable to such Covered Person. </w:t>
      </w:r>
      <w:r>
        <w:rPr>
          <w:rFonts w:ascii="Times New Roman" w:cs="Times New Roman" w:eastAsia="Times New Roman" w:hAnsi="Times New Roman"/>
          <w:sz w:val="22"/>
          <w:szCs w:val="22"/>
          <w:color w:val="171717"/>
        </w:rPr>
        <w:t>A</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color w:val="171717"/>
        </w:rPr>
        <w:t>Company’s obligation to recover the Recoupment Amount is not dependent on if or when the restated financial statements are filed.</w:t>
      </w:r>
    </w:p>
    <w:p>
      <w:pPr>
        <w:spacing w:after="0" w:line="176" w:lineRule="exact"/>
        <w:rPr>
          <w:sz w:val="20"/>
          <w:szCs w:val="20"/>
          <w:color w:val="auto"/>
        </w:rPr>
      </w:pPr>
    </w:p>
    <w:p>
      <w:pPr>
        <w:ind w:left="760" w:hanging="752"/>
        <w:spacing w:after="0"/>
        <w:tabs>
          <w:tab w:leader="none" w:pos="760" w:val="left"/>
        </w:tabs>
        <w:numPr>
          <w:ilvl w:val="0"/>
          <w:numId w:val="95"/>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E1E1E"/>
        </w:rPr>
        <w:t>Calculation of Recoupment Amount</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171717"/>
        </w:rPr>
        <w:t xml:space="preserve">The Recoupment Amount will be calculated in accordance with the Final Rules, illustrative, non-exclusive examples of which are provided in the Calculation Guidelines attached hereto as </w:t>
      </w:r>
      <w:r>
        <w:rPr>
          <w:rFonts w:ascii="Times New Roman" w:cs="Times New Roman" w:eastAsia="Times New Roman" w:hAnsi="Times New Roman"/>
          <w:sz w:val="22"/>
          <w:szCs w:val="22"/>
          <w:u w:val="single" w:color="auto"/>
          <w:color w:val="171717"/>
        </w:rPr>
        <w:t>Exhibit B</w:t>
      </w:r>
      <w:r>
        <w:rPr>
          <w:rFonts w:ascii="Times New Roman" w:cs="Times New Roman" w:eastAsia="Times New Roman" w:hAnsi="Times New Roman"/>
          <w:sz w:val="22"/>
          <w:szCs w:val="22"/>
          <w:color w:val="171717"/>
        </w:rPr>
        <w:t>.</w:t>
      </w:r>
    </w:p>
    <w:p>
      <w:pPr>
        <w:spacing w:after="0" w:line="154" w:lineRule="exact"/>
        <w:rPr>
          <w:sz w:val="20"/>
          <w:szCs w:val="20"/>
          <w:color w:val="auto"/>
        </w:rPr>
      </w:pPr>
    </w:p>
    <w:p>
      <w:pPr>
        <w:ind w:left="760" w:hanging="752"/>
        <w:spacing w:after="0"/>
        <w:tabs>
          <w:tab w:leader="none" w:pos="760" w:val="left"/>
        </w:tabs>
        <w:numPr>
          <w:ilvl w:val="0"/>
          <w:numId w:val="96"/>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Method of Recoupment</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171717"/>
        </w:rPr>
        <w:t>Subject to compliance with the Final Rules and applicable law, the Administrator will determine, in its sole discretion, the method for recouping the Recoupment Amount hereunder which may include, without limitation:</w:t>
      </w:r>
    </w:p>
    <w:p>
      <w:pPr>
        <w:spacing w:after="0" w:line="158" w:lineRule="exact"/>
        <w:rPr>
          <w:sz w:val="20"/>
          <w:szCs w:val="20"/>
          <w:color w:val="auto"/>
        </w:rPr>
      </w:pPr>
    </w:p>
    <w:p>
      <w:pPr>
        <w:ind w:left="760" w:hanging="378"/>
        <w:spacing w:after="0"/>
        <w:tabs>
          <w:tab w:leader="none" w:pos="7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71717"/>
        </w:rPr>
        <w:t>Requiring reimbursement or forfeiture of the pre-tax amount of cash Incentive-Based Compensation previously paid;</w:t>
      </w:r>
    </w:p>
    <w:p>
      <w:pPr>
        <w:spacing w:after="0" w:line="260"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71717"/>
        </w:rPr>
        <w:t>Offsetting the Recoupment Amount from any compensation otherwise owed by the Company to the Covered Person, including without limitation, any prior cash incentive payments, executive retirement benefits, wages, equity grants or other amounts payable by the Company to the Covered Person in the future;</w:t>
      </w:r>
    </w:p>
    <w:p>
      <w:pPr>
        <w:spacing w:after="0" w:line="227"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71717"/>
        </w:rPr>
        <w:t>Seeking recovery of any gain realized on the vesting, exercise, settlement, cash sale, transfer, or other disposition of any equity-based awards; and/or</w:t>
      </w: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71717"/>
        </w:rPr>
        <w:t>Taking any other remedial and recovery action permitted by law,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hanging="752"/>
        <w:spacing w:after="0"/>
        <w:tabs>
          <w:tab w:leader="none" w:pos="760" w:val="left"/>
        </w:tabs>
        <w:numPr>
          <w:ilvl w:val="0"/>
          <w:numId w:val="98"/>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E1E1E"/>
        </w:rPr>
        <w:t>Arbitration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1E1E1E"/>
        </w:rPr>
        <w:t>To the fullest extent permitted by law, any disputes under this Policy shall be submitted to mandatory binding arbitration (the “</w:t>
      </w:r>
      <w:r>
        <w:rPr>
          <w:rFonts w:ascii="Times New Roman" w:cs="Times New Roman" w:eastAsia="Times New Roman" w:hAnsi="Times New Roman"/>
          <w:sz w:val="22"/>
          <w:szCs w:val="22"/>
          <w:b w:val="1"/>
          <w:bCs w:val="1"/>
          <w:i w:val="1"/>
          <w:iCs w:val="1"/>
          <w:color w:val="1E1E1E"/>
        </w:rPr>
        <w:t>Arbitrable Claims</w:t>
      </w:r>
      <w:r>
        <w:rPr>
          <w:rFonts w:ascii="Times New Roman" w:cs="Times New Roman" w:eastAsia="Times New Roman" w:hAnsi="Times New Roman"/>
          <w:sz w:val="22"/>
          <w:szCs w:val="22"/>
          <w:color w:val="1E1E1E"/>
        </w:rPr>
        <w:t>”), governed by the Federal Arbitration Act (the “</w:t>
      </w:r>
      <w:r>
        <w:rPr>
          <w:rFonts w:ascii="Times New Roman" w:cs="Times New Roman" w:eastAsia="Times New Roman" w:hAnsi="Times New Roman"/>
          <w:sz w:val="22"/>
          <w:szCs w:val="22"/>
          <w:b w:val="1"/>
          <w:bCs w:val="1"/>
          <w:i w:val="1"/>
          <w:iCs w:val="1"/>
          <w:color w:val="1E1E1E"/>
        </w:rPr>
        <w:t>FAA</w:t>
      </w:r>
      <w:r>
        <w:rPr>
          <w:rFonts w:ascii="Times New Roman" w:cs="Times New Roman" w:eastAsia="Times New Roman" w:hAnsi="Times New Roman"/>
          <w:sz w:val="22"/>
          <w:szCs w:val="22"/>
          <w:color w:val="1E1E1E"/>
        </w:rPr>
        <w:t>”). Further, to the fullest extent permitted by law, no class or collective actions can be asserted in arbitration or otherwise. All claims, whether in arbitration or otherwise, must be brought solely in the Covered Person’s individual capacity, and not as a plaintiff or class member in any purported class or collective proceeding.</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1E1E1E"/>
        </w:rPr>
        <w:t>SUBJECT TO THE ABOVE PROVISO, ANY RIGHTS THAT A COVERED PERSON MAY HAVE TO TRIAL BY JURY IN REGARD TO ARBITRABLE CLAIMS ARE WAIVED. ANY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5" w:name="page206"/>
    <w:bookmarkEnd w:id="205"/>
    <w:p>
      <w:pPr>
        <w:jc w:val="both"/>
        <w:spacing w:after="0" w:line="258" w:lineRule="auto"/>
        <w:rPr>
          <w:sz w:val="20"/>
          <w:szCs w:val="20"/>
          <w:color w:val="auto"/>
        </w:rPr>
      </w:pPr>
      <w:r>
        <w:rPr>
          <w:rFonts w:ascii="Times New Roman" w:cs="Times New Roman" w:eastAsia="Times New Roman" w:hAnsi="Times New Roman"/>
          <w:sz w:val="22"/>
          <w:szCs w:val="22"/>
          <w:color w:val="1E1E1E"/>
        </w:rPr>
        <w:t>RIGHTS THAT A COVERED PERSON MAY HAVE TO PURSUE OR PARTICIPATE IN A CLASS OR COLLECTIVE ACTION PERTAINING TO ANY CLAIMS BETWEEN A COVERED PERSON AND THE COMPANY ARE WAIVED.</w:t>
      </w:r>
    </w:p>
    <w:p>
      <w:pPr>
        <w:spacing w:after="0" w:line="15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1E1E1E"/>
        </w:rPr>
        <w:t xml:space="preserve">The Covered Person is not restricted from filing administrative claims that may be brought before any government agency where, as a matter of law, the Covered Person’s ability to file such claims may not be restricted. However, to the fullest extent permitted by law, arbitration shall be the exclusive remedy for the subject matter of such administrative claims. The arbitration shall be conducted in Brisbane, California through JAMS before a single neutral arbitrator, in accordance with the JAMS </w:t>
      </w:r>
      <w:r>
        <w:rPr>
          <w:rFonts w:ascii="Times New Roman" w:cs="Times New Roman" w:eastAsia="Times New Roman" w:hAnsi="Times New Roman"/>
          <w:sz w:val="22"/>
          <w:szCs w:val="22"/>
          <w:color w:val="000000"/>
        </w:rPr>
        <w:t>Comprehensive</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color w:val="000000"/>
        </w:rPr>
        <w:t xml:space="preserve">Arbitration Rules and Procedures </w:t>
      </w:r>
      <w:r>
        <w:rPr>
          <w:rFonts w:ascii="Times New Roman" w:cs="Times New Roman" w:eastAsia="Times New Roman" w:hAnsi="Times New Roman"/>
          <w:sz w:val="22"/>
          <w:szCs w:val="22"/>
          <w:color w:val="1E1E1E"/>
        </w:rPr>
        <w:t>then in effect, provided however, that the FAA, including its procedural provisions for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E1E1E"/>
        </w:rPr>
        <w:t>compelling arbitration, shall govern and apply to this Arbitration provision. The arbitrator shall issue a written decision that contains the essential findings and conclusions on which the decision is based. If, for any reason, any term of this Arbitration provision is held to be invalid or unenforceable, all other valid terms and conditions herein shall be severable in nature and remain fully enforceable.</w:t>
      </w:r>
    </w:p>
    <w:p>
      <w:pPr>
        <w:spacing w:after="0" w:line="179" w:lineRule="exact"/>
        <w:rPr>
          <w:sz w:val="20"/>
          <w:szCs w:val="20"/>
          <w:color w:val="auto"/>
        </w:rPr>
      </w:pPr>
    </w:p>
    <w:p>
      <w:pPr>
        <w:ind w:left="760" w:hanging="752"/>
        <w:spacing w:after="0"/>
        <w:tabs>
          <w:tab w:leader="none" w:pos="760" w:val="left"/>
        </w:tabs>
        <w:numPr>
          <w:ilvl w:val="0"/>
          <w:numId w:val="99"/>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E1E1E"/>
        </w:rPr>
        <w:t>Recovery Process; Impracticability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Actions by the Administrator to recover the Recoupment Amount will be reasonably prompt.</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1E1E1E"/>
        </w:rPr>
        <w:t>The Administrator must cause the Company to recover the Recoupment Amount unless the Administrator shall have previously determined that recovery is impracticable and one of the following conditions is met:</w:t>
      </w:r>
    </w:p>
    <w:p>
      <w:pPr>
        <w:spacing w:after="0" w:line="158" w:lineRule="exact"/>
        <w:rPr>
          <w:sz w:val="20"/>
          <w:szCs w:val="20"/>
          <w:color w:val="auto"/>
        </w:rPr>
      </w:pPr>
    </w:p>
    <w:p>
      <w:pPr>
        <w:jc w:val="both"/>
        <w:ind w:left="1140" w:hanging="758"/>
        <w:spacing w:after="0" w:line="239" w:lineRule="auto"/>
        <w:tabs>
          <w:tab w:leader="none" w:pos="1140" w:val="left"/>
        </w:tabs>
        <w:numPr>
          <w:ilvl w:val="0"/>
          <w:numId w:val="10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direct expense paid to a third party to assist in enforcing this Policy would exceed the amount to be recovered; before concluding that it would be impracticable to recover any Recoupment Amount based on expense of enforcement, the Company must make a reasonable attempt to recover such Recoupment Amount, document such reasonable attempt(s) to recover, and provide that documentation to the Exchange;</w:t>
      </w:r>
    </w:p>
    <w:p>
      <w:pPr>
        <w:spacing w:after="0" w:line="200" w:lineRule="exact"/>
        <w:rPr>
          <w:rFonts w:ascii="Times New Roman" w:cs="Times New Roman" w:eastAsia="Times New Roman" w:hAnsi="Times New Roman"/>
          <w:sz w:val="22"/>
          <w:szCs w:val="22"/>
          <w:color w:val="1E1E1E"/>
        </w:rPr>
      </w:pPr>
    </w:p>
    <w:p>
      <w:pPr>
        <w:spacing w:after="0" w:line="200" w:lineRule="exact"/>
        <w:rPr>
          <w:rFonts w:ascii="Times New Roman" w:cs="Times New Roman" w:eastAsia="Times New Roman" w:hAnsi="Times New Roman"/>
          <w:sz w:val="22"/>
          <w:szCs w:val="22"/>
          <w:color w:val="1E1E1E"/>
        </w:rPr>
      </w:pPr>
    </w:p>
    <w:p>
      <w:pPr>
        <w:spacing w:after="0" w:line="266" w:lineRule="exact"/>
        <w:rPr>
          <w:rFonts w:ascii="Times New Roman" w:cs="Times New Roman" w:eastAsia="Times New Roman" w:hAnsi="Times New Roman"/>
          <w:sz w:val="22"/>
          <w:szCs w:val="22"/>
          <w:color w:val="1E1E1E"/>
        </w:rPr>
      </w:pPr>
    </w:p>
    <w:p>
      <w:pPr>
        <w:jc w:val="both"/>
        <w:ind w:left="1140" w:hanging="758"/>
        <w:spacing w:after="0" w:line="239" w:lineRule="auto"/>
        <w:tabs>
          <w:tab w:leader="none" w:pos="1140" w:val="left"/>
        </w:tabs>
        <w:numPr>
          <w:ilvl w:val="0"/>
          <w:numId w:val="10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Recovery would violate home country law where that law was adopted prior to November 28, 2022; before concluding that it would be impracticable to recover any Recoupment Amount based on violation of home country law, the Company must obtain an opinion of home country counsel, acceptable to the Exchange, that recovery would result in such a violation, and must provide such opinion to the Exchange; or</w:t>
      </w:r>
    </w:p>
    <w:p>
      <w:pPr>
        <w:spacing w:after="0" w:line="200" w:lineRule="exact"/>
        <w:rPr>
          <w:rFonts w:ascii="Times New Roman" w:cs="Times New Roman" w:eastAsia="Times New Roman" w:hAnsi="Times New Roman"/>
          <w:sz w:val="22"/>
          <w:szCs w:val="22"/>
          <w:color w:val="1E1E1E"/>
        </w:rPr>
      </w:pPr>
    </w:p>
    <w:p>
      <w:pPr>
        <w:spacing w:after="0" w:line="200" w:lineRule="exact"/>
        <w:rPr>
          <w:rFonts w:ascii="Times New Roman" w:cs="Times New Roman" w:eastAsia="Times New Roman" w:hAnsi="Times New Roman"/>
          <w:sz w:val="22"/>
          <w:szCs w:val="22"/>
          <w:color w:val="1E1E1E"/>
        </w:rPr>
      </w:pPr>
    </w:p>
    <w:p>
      <w:pPr>
        <w:spacing w:after="0" w:line="266" w:lineRule="exact"/>
        <w:rPr>
          <w:rFonts w:ascii="Times New Roman" w:cs="Times New Roman" w:eastAsia="Times New Roman" w:hAnsi="Times New Roman"/>
          <w:sz w:val="22"/>
          <w:szCs w:val="22"/>
          <w:color w:val="1E1E1E"/>
        </w:rPr>
      </w:pPr>
    </w:p>
    <w:p>
      <w:pPr>
        <w:jc w:val="both"/>
        <w:ind w:left="1140" w:hanging="758"/>
        <w:spacing w:after="0" w:line="244" w:lineRule="auto"/>
        <w:tabs>
          <w:tab w:leader="none" w:pos="1140" w:val="left"/>
        </w:tabs>
        <w:numPr>
          <w:ilvl w:val="0"/>
          <w:numId w:val="10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Recovery would likely cause an otherwise tax-qualified retirement plan, under which benefits are broadly available to employees of the Company, to fail to meet the requirements of 26 U.S.C. 401(a)(13) or 26 U.S.C. 411(a)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6" w:name="page207"/>
    <w:bookmarkEnd w:id="206"/>
    <w:p>
      <w:pPr>
        <w:ind w:left="760" w:hanging="752"/>
        <w:spacing w:after="0"/>
        <w:tabs>
          <w:tab w:leader="none" w:pos="760" w:val="left"/>
        </w:tabs>
        <w:numPr>
          <w:ilvl w:val="0"/>
          <w:numId w:val="101"/>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Non-Exclusivity</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171717"/>
        </w:rPr>
        <w:t>The Administrator intends that this Policy will be applied to the fullest extent of the law. Without limitation to any broader or alternate clawback authorized in any written document with a Covered Person, (i) the Administrator may require that any employment agreement, equity award agreement, or similar agreement entered into on or after the Effective Date shall, as a condition to the grant of any benefit thereunder, require a Covered Person to agree to abide by the terms of this Policy, and (ii) this Policy will nonetheless apply to Incentive-Based Compensation as required by the Final Rules, whether or not specifically referenced in those arrangements. Any right of recoupment under this Policy is in addition to, and not in lieu of, any other remedies or rights of recoupment that may be available to the Company pursuant to the terms of any other clawback policy of the Company as then in effect, or any similar policy in any employment agreement, equity award agreement, or similar agreement and any other legal remedies or regulations available or applicable to the Company (including SOX 304). If recovery is required under both SOX 304 and this Policy, any amounts recovered pursuant to SOX 304 may, in the Administrator’s discretion, be credited toward the amount recovered under this Policy, or vice versa.</w:t>
      </w:r>
    </w:p>
    <w:p>
      <w:pPr>
        <w:spacing w:after="0" w:line="183" w:lineRule="exact"/>
        <w:rPr>
          <w:sz w:val="20"/>
          <w:szCs w:val="20"/>
          <w:color w:val="auto"/>
        </w:rPr>
      </w:pPr>
    </w:p>
    <w:p>
      <w:pPr>
        <w:ind w:left="760" w:hanging="752"/>
        <w:spacing w:after="0"/>
        <w:tabs>
          <w:tab w:leader="none" w:pos="760" w:val="left"/>
        </w:tabs>
        <w:numPr>
          <w:ilvl w:val="0"/>
          <w:numId w:val="102"/>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No Indemnification</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1E1E1E"/>
        </w:rPr>
        <w:t xml:space="preserve">The Company shall not indemnify any Covered Persons against (i) the loss of any Recoupment Amount </w:t>
      </w:r>
      <w:r>
        <w:rPr>
          <w:rFonts w:ascii="Times New Roman" w:cs="Times New Roman" w:eastAsia="Times New Roman" w:hAnsi="Times New Roman"/>
          <w:sz w:val="22"/>
          <w:szCs w:val="22"/>
          <w:color w:val="171717"/>
        </w:rPr>
        <w:t>or any adverse tax</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color w:val="171717"/>
        </w:rPr>
        <w:t>consequences associated with any Recoupment Amount or any recoupment hereunder, or (ii) any claims relating to the Company enforcement of its rights under this Policy. For the avoidance of doubt, this prohibition on indemnification will also prohibit the Company from reimbursing or paying any premium or payment of any third-party insurance policy to fund potential recovery obligations obtained by the Covered Person directly. No Covered Person will seek or retain any such prohibited indemnification or reimbursement.</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171717"/>
        </w:rPr>
        <w:t>Further, the Company shall not enter into any agreement that exempts any Incentive-Based Compensation from the application of this Policy or that waives the Company’s right to recovery of any Recoupment Amount and this Policy shall supersede any such agreement (whether entered into before, on or after the Effective Date).</w:t>
      </w:r>
    </w:p>
    <w:p>
      <w:pPr>
        <w:spacing w:after="0" w:line="169" w:lineRule="exact"/>
        <w:rPr>
          <w:sz w:val="20"/>
          <w:szCs w:val="20"/>
          <w:color w:val="auto"/>
        </w:rPr>
      </w:pPr>
    </w:p>
    <w:p>
      <w:pPr>
        <w:ind w:left="760" w:hanging="752"/>
        <w:spacing w:after="0"/>
        <w:tabs>
          <w:tab w:leader="none" w:pos="760" w:val="left"/>
        </w:tabs>
        <w:numPr>
          <w:ilvl w:val="0"/>
          <w:numId w:val="103"/>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Covered Person Acknowledgement and Agreement</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171717"/>
        </w:rPr>
        <w:t xml:space="preserve">All Covered Persons subject to this Policy must acknowledge their understanding of, and agreement to comply with, the Policy by executing the certification attached hereto as </w:t>
      </w:r>
      <w:r>
        <w:rPr>
          <w:rFonts w:ascii="Times New Roman" w:cs="Times New Roman" w:eastAsia="Times New Roman" w:hAnsi="Times New Roman"/>
          <w:sz w:val="22"/>
          <w:szCs w:val="22"/>
          <w:u w:val="single" w:color="auto"/>
          <w:color w:val="171717"/>
        </w:rPr>
        <w:t>Exhibit A</w:t>
      </w:r>
      <w:r>
        <w:rPr>
          <w:rFonts w:ascii="Times New Roman" w:cs="Times New Roman" w:eastAsia="Times New Roman" w:hAnsi="Times New Roman"/>
          <w:sz w:val="22"/>
          <w:szCs w:val="22"/>
          <w:color w:val="171717"/>
        </w:rPr>
        <w:t xml:space="preserve">. </w:t>
      </w:r>
      <w:r>
        <w:rPr>
          <w:rFonts w:ascii="Times New Roman" w:cs="Times New Roman" w:eastAsia="Times New Roman" w:hAnsi="Times New Roman"/>
          <w:sz w:val="22"/>
          <w:szCs w:val="22"/>
          <w:b w:val="1"/>
          <w:bCs w:val="1"/>
          <w:u w:val="single" w:color="auto"/>
          <w:color w:val="171717"/>
        </w:rPr>
        <w:t>Notwithstanding the foregoing, this Policy will apply to Covered</w:t>
      </w:r>
      <w:r>
        <w:rPr>
          <w:rFonts w:ascii="Times New Roman" w:cs="Times New Roman" w:eastAsia="Times New Roman" w:hAnsi="Times New Roman"/>
          <w:sz w:val="22"/>
          <w:szCs w:val="22"/>
          <w:color w:val="171717"/>
        </w:rPr>
        <w:t xml:space="preserve"> </w:t>
      </w:r>
      <w:r>
        <w:rPr>
          <w:rFonts w:ascii="Times New Roman" w:cs="Times New Roman" w:eastAsia="Times New Roman" w:hAnsi="Times New Roman"/>
          <w:sz w:val="22"/>
          <w:szCs w:val="22"/>
          <w:b w:val="1"/>
          <w:bCs w:val="1"/>
          <w:u w:val="single" w:color="auto"/>
          <w:color w:val="171717"/>
        </w:rPr>
        <w:t>Persons whether or not any such person executes such certification.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7" w:name="page208"/>
    <w:bookmarkEnd w:id="207"/>
    <w:p>
      <w:pPr>
        <w:ind w:left="760" w:hanging="752"/>
        <w:spacing w:after="0"/>
        <w:tabs>
          <w:tab w:leader="none" w:pos="760" w:val="left"/>
        </w:tabs>
        <w:numPr>
          <w:ilvl w:val="0"/>
          <w:numId w:val="104"/>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Successors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171717"/>
        </w:rPr>
        <w:t>This Policy shall be binding and enforceable against all Covered Persons and their beneficiaries, heirs, executors, administrators or other legal representatives and shall inure to the benefit of any successor to the Company.</w:t>
      </w:r>
    </w:p>
    <w:p>
      <w:pPr>
        <w:spacing w:after="0" w:line="154" w:lineRule="exact"/>
        <w:rPr>
          <w:sz w:val="20"/>
          <w:szCs w:val="20"/>
          <w:color w:val="auto"/>
        </w:rPr>
      </w:pPr>
    </w:p>
    <w:p>
      <w:pPr>
        <w:ind w:left="760" w:hanging="752"/>
        <w:spacing w:after="0"/>
        <w:tabs>
          <w:tab w:leader="none" w:pos="760" w:val="left"/>
        </w:tabs>
        <w:numPr>
          <w:ilvl w:val="0"/>
          <w:numId w:val="105"/>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Interpretation of Policy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171717"/>
        </w:rPr>
        <w:t>To the extent there is any ambiguity between this Policy and the Final Rules, this Policy shall be interpreted so that it complies with the Final Rules. If any provision of this Policy, or the application of such provision to any Covered Person or circumstance, shall be held invalid, the remainder of this Policy, or the application of such provision to Covered Persons or circumstances other than those as to which it is held invalid, shall not be affected thereby.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171717"/>
        </w:rPr>
        <w:t>In the event any provision of this Policy is inconsistent with any requirement of any Final Rules, the Administrator, in its sole discretion, shall amend and administer this Policy and bring it into compliance with such rules.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1E1E1E"/>
        </w:rPr>
        <w:t>Any determination under this Policy by the Administrator shall be conclusive and binding on the applicable Covered Person. Determinations of the Administrator need not be uniform with respect to Covered Persons or from one payment or grant to another.</w:t>
      </w:r>
    </w:p>
    <w:p>
      <w:pPr>
        <w:spacing w:after="0" w:line="169" w:lineRule="exact"/>
        <w:rPr>
          <w:sz w:val="20"/>
          <w:szCs w:val="20"/>
          <w:color w:val="auto"/>
        </w:rPr>
      </w:pPr>
    </w:p>
    <w:p>
      <w:pPr>
        <w:ind w:left="760" w:hanging="752"/>
        <w:spacing w:after="0"/>
        <w:tabs>
          <w:tab w:leader="none" w:pos="760" w:val="left"/>
        </w:tabs>
        <w:numPr>
          <w:ilvl w:val="0"/>
          <w:numId w:val="106"/>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auto"/>
        </w:rPr>
        <w:t>Amendments; Termination</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1E1E1E"/>
        </w:rPr>
        <w:t>The Administrator may make any amendments to this Policy as required under applicable law, the Final Rules, and all other applicable rules and regulations, or as otherwise determined by the Administrator in its sole discretion.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The Administrator may terminate this Policy at any time.</w:t>
      </w:r>
    </w:p>
    <w:p>
      <w:pPr>
        <w:spacing w:after="0" w:line="202" w:lineRule="exact"/>
        <w:rPr>
          <w:sz w:val="20"/>
          <w:szCs w:val="20"/>
          <w:color w:val="auto"/>
        </w:rPr>
      </w:pPr>
    </w:p>
    <w:p>
      <w:pPr>
        <w:ind w:left="760" w:hanging="752"/>
        <w:spacing w:after="0"/>
        <w:tabs>
          <w:tab w:leader="none" w:pos="760" w:val="left"/>
        </w:tabs>
        <w:numPr>
          <w:ilvl w:val="0"/>
          <w:numId w:val="107"/>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Definitions</w:t>
      </w:r>
    </w:p>
    <w:p>
      <w:pPr>
        <w:spacing w:after="0" w:line="20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Administrator</w:t>
      </w:r>
      <w:r>
        <w:rPr>
          <w:rFonts w:ascii="Times New Roman" w:cs="Times New Roman" w:eastAsia="Times New Roman" w:hAnsi="Times New Roman"/>
          <w:sz w:val="22"/>
          <w:szCs w:val="22"/>
          <w:color w:val="1E1E1E"/>
        </w:rPr>
        <w:t>” means the Compensation Committee of the Board, or in the absence of a committee of independent directors responsible for executive compensation decisions, a majority of the independent directors serving on the Board.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Board</w:t>
      </w:r>
      <w:r>
        <w:rPr>
          <w:rFonts w:ascii="Times New Roman" w:cs="Times New Roman" w:eastAsia="Times New Roman" w:hAnsi="Times New Roman"/>
          <w:sz w:val="22"/>
          <w:szCs w:val="22"/>
          <w:color w:val="1E1E1E"/>
        </w:rPr>
        <w:t>” means the Board of Directors of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Clawback Measurement Date</w:t>
      </w:r>
      <w:r>
        <w:rPr>
          <w:rFonts w:ascii="Times New Roman" w:cs="Times New Roman" w:eastAsia="Times New Roman" w:hAnsi="Times New Roman"/>
          <w:sz w:val="22"/>
          <w:szCs w:val="22"/>
          <w:color w:val="171717"/>
        </w:rPr>
        <w:t>” is the earlier to occur of:</w:t>
      </w:r>
    </w:p>
    <w:p>
      <w:pPr>
        <w:spacing w:after="0" w:line="212" w:lineRule="exact"/>
        <w:rPr>
          <w:sz w:val="20"/>
          <w:szCs w:val="20"/>
          <w:color w:val="auto"/>
        </w:rPr>
      </w:pPr>
    </w:p>
    <w:p>
      <w:pPr>
        <w:jc w:val="both"/>
        <w:ind w:left="760" w:hanging="378"/>
        <w:spacing w:after="0" w:line="244" w:lineRule="auto"/>
        <w:tabs>
          <w:tab w:leader="none" w:pos="760" w:val="left"/>
        </w:tabs>
        <w:numPr>
          <w:ilvl w:val="0"/>
          <w:numId w:val="108"/>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The date the Board, a committee of the Board, or the officer or officers of the Company authorized to take such action if Board action is not required, concludes, or reasonably should have concluded, that the Company is required to prepare an accounting restatement as described in this Policy; or</w:t>
      </w:r>
    </w:p>
    <w:p>
      <w:pPr>
        <w:spacing w:after="0" w:line="200" w:lineRule="exact"/>
        <w:rPr>
          <w:rFonts w:ascii="Times New Roman" w:cs="Times New Roman" w:eastAsia="Times New Roman" w:hAnsi="Times New Roman"/>
          <w:sz w:val="22"/>
          <w:szCs w:val="22"/>
          <w:color w:val="171717"/>
        </w:rPr>
      </w:pPr>
    </w:p>
    <w:p>
      <w:pPr>
        <w:spacing w:after="0" w:line="243" w:lineRule="exact"/>
        <w:rPr>
          <w:rFonts w:ascii="Times New Roman" w:cs="Times New Roman" w:eastAsia="Times New Roman" w:hAnsi="Times New Roman"/>
          <w:sz w:val="22"/>
          <w:szCs w:val="22"/>
          <w:color w:val="171717"/>
        </w:rPr>
      </w:pPr>
    </w:p>
    <w:p>
      <w:pPr>
        <w:ind w:left="760" w:hanging="378"/>
        <w:spacing w:after="0" w:line="258" w:lineRule="auto"/>
        <w:tabs>
          <w:tab w:leader="none" w:pos="760" w:val="left"/>
        </w:tabs>
        <w:numPr>
          <w:ilvl w:val="0"/>
          <w:numId w:val="108"/>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The date a court, regulator, or other legally authorized body directs the Company to prepare an accounting restatement as described in this Policy.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8" w:name="page209"/>
    <w:bookmarkEnd w:id="208"/>
    <w:p>
      <w:pPr>
        <w:jc w:val="both"/>
        <w:spacing w:after="0" w:line="239" w:lineRule="auto"/>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Clawback Period</w:t>
      </w:r>
      <w:r>
        <w:rPr>
          <w:rFonts w:ascii="Times New Roman" w:cs="Times New Roman" w:eastAsia="Times New Roman" w:hAnsi="Times New Roman"/>
          <w:sz w:val="22"/>
          <w:szCs w:val="22"/>
          <w:color w:val="171717"/>
        </w:rPr>
        <w:t>” means the Company’s three (3) completed fiscal years immediately prior to the Clawback Measurement Date and any transition period between the last day of the Company’s previous fiscal year end and the first day of its new fiscal year (that results from a change in the Company’s fiscal year) within or immediately following such three (3)-year period; provided that any transition period between the last day of the Company’s previous fiscal year end and the first day of its new fiscal year that comprises a period of 9 to 12 months will be deemed a completed fiscal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Company</w:t>
      </w:r>
      <w:r>
        <w:rPr>
          <w:rFonts w:ascii="Times New Roman" w:cs="Times New Roman" w:eastAsia="Times New Roman" w:hAnsi="Times New Roman"/>
          <w:sz w:val="22"/>
          <w:szCs w:val="22"/>
          <w:color w:val="1E1E1E"/>
        </w:rPr>
        <w:t>” means Day One Biopharmaceuticals, Inc., a Delaware corporation, or any successor corporation.</w:t>
      </w:r>
    </w:p>
    <w:p>
      <w:pPr>
        <w:spacing w:after="0" w:line="206" w:lineRule="exact"/>
        <w:rPr>
          <w:sz w:val="20"/>
          <w:szCs w:val="20"/>
          <w:color w:val="auto"/>
        </w:rPr>
      </w:pPr>
    </w:p>
    <w:p>
      <w:pPr>
        <w:jc w:val="both"/>
        <w:spacing w:after="0" w:line="255" w:lineRule="exact"/>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Covered Person</w:t>
      </w:r>
      <w:r>
        <w:rPr>
          <w:rFonts w:ascii="Times New Roman" w:cs="Times New Roman" w:eastAsia="Times New Roman" w:hAnsi="Times New Roman"/>
          <w:sz w:val="22"/>
          <w:szCs w:val="22"/>
          <w:color w:val="1E1E1E"/>
        </w:rPr>
        <w:t xml:space="preserve">” means any Executive Officer (as defined in the Final Rules), including, but not limited to, </w:t>
      </w:r>
      <w:r>
        <w:rPr>
          <w:rFonts w:ascii="Times New Roman" w:cs="Times New Roman" w:eastAsia="Times New Roman" w:hAnsi="Times New Roman"/>
          <w:sz w:val="22"/>
          <w:szCs w:val="22"/>
          <w:color w:val="000000"/>
        </w:rPr>
        <w:t>those persons who</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color w:val="000000"/>
        </w:rPr>
        <w:t>are or have been determined to be “officers” of the Company within the meaning of Section 16 of Rule 16a</w:t>
      </w:r>
      <w:r>
        <w:rPr>
          <w:rFonts w:ascii="MS PGothic" w:cs="MS PGothic" w:eastAsia="MS PGothic" w:hAnsi="MS PGothic"/>
          <w:sz w:val="22"/>
          <w:szCs w:val="22"/>
          <w:color w:val="000000"/>
        </w:rPr>
        <w:t>‑</w:t>
      </w:r>
      <w:r>
        <w:rPr>
          <w:rFonts w:ascii="Times New Roman" w:cs="Times New Roman" w:eastAsia="Times New Roman" w:hAnsi="Times New Roman"/>
          <w:sz w:val="22"/>
          <w:szCs w:val="22"/>
          <w:color w:val="000000"/>
        </w:rPr>
        <w:t>1(f) of the rules promulgated under the Exchange Act, and “executive officers” of the Company within the meaning of Item 401(b) of Regulation S-K, Rule 3b</w:t>
      </w:r>
      <w:r>
        <w:rPr>
          <w:rFonts w:ascii="MS PGothic" w:cs="MS PGothic" w:eastAsia="MS PGothic" w:hAnsi="MS PGothic"/>
          <w:sz w:val="22"/>
          <w:szCs w:val="22"/>
          <w:color w:val="000000"/>
        </w:rPr>
        <w:t>‑</w:t>
      </w:r>
      <w:r>
        <w:rPr>
          <w:rFonts w:ascii="Times New Roman" w:cs="Times New Roman" w:eastAsia="Times New Roman" w:hAnsi="Times New Roman"/>
          <w:sz w:val="22"/>
          <w:szCs w:val="22"/>
          <w:color w:val="000000"/>
        </w:rPr>
        <w:t>7 promulgated under the Exchange Act, and Rule 405 promulgated under the Securities Act of 1933, as amended</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E1E1E"/>
        </w:rPr>
        <w:t>provided that the Administrator may identify additional employees who shall be treated as Covered Persons for the purposes of this Policy with prospective effect, in accordance with the Final Rules</w:t>
      </w:r>
      <w:r>
        <w:rPr>
          <w:rFonts w:ascii="Times New Roman" w:cs="Times New Roman" w:eastAsia="Times New Roman" w:hAnsi="Times New Roman"/>
          <w:sz w:val="22"/>
          <w:szCs w:val="22"/>
          <w:color w:val="000000"/>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Effective Date</w:t>
      </w:r>
      <w:r>
        <w:rPr>
          <w:rFonts w:ascii="Times New Roman" w:cs="Times New Roman" w:eastAsia="Times New Roman" w:hAnsi="Times New Roman"/>
          <w:sz w:val="22"/>
          <w:szCs w:val="22"/>
          <w:color w:val="1E1E1E"/>
        </w:rPr>
        <w:t>” means December 5, 2023, the date the Policy was adopted by the Board (or an authorized committee thereof).</w:t>
      </w:r>
    </w:p>
    <w:p>
      <w:pPr>
        <w:spacing w:after="0" w:line="20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Exchange</w:t>
      </w:r>
      <w:r>
        <w:rPr>
          <w:rFonts w:ascii="Times New Roman" w:cs="Times New Roman" w:eastAsia="Times New Roman" w:hAnsi="Times New Roman"/>
          <w:sz w:val="22"/>
          <w:szCs w:val="22"/>
          <w:color w:val="1E1E1E"/>
        </w:rPr>
        <w:t>” means the Nasdaq Global Select Market or any other national securities exchange or national securities association in the United States on which the Company has listed its securities for trading.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Exchange Act</w:t>
      </w:r>
      <w:r>
        <w:rPr>
          <w:rFonts w:ascii="Times New Roman" w:cs="Times New Roman" w:eastAsia="Times New Roman" w:hAnsi="Times New Roman"/>
          <w:sz w:val="22"/>
          <w:szCs w:val="22"/>
          <w:color w:val="1E1E1E"/>
        </w:rPr>
        <w:t>” means the Securities Exchange Act of 1934, as amended.</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Final Rules</w:t>
      </w:r>
      <w:r>
        <w:rPr>
          <w:rFonts w:ascii="Times New Roman" w:cs="Times New Roman" w:eastAsia="Times New Roman" w:hAnsi="Times New Roman"/>
          <w:sz w:val="22"/>
          <w:szCs w:val="22"/>
          <w:color w:val="1E1E1E"/>
        </w:rPr>
        <w:t xml:space="preserve">” means the final rules promulgated by the SEC under Section 954 of the Dodd-Frank Act, Rule 10D-1 and </w:t>
      </w:r>
      <w:r>
        <w:rPr>
          <w:rFonts w:ascii="Times New Roman" w:cs="Times New Roman" w:eastAsia="Times New Roman" w:hAnsi="Times New Roman"/>
          <w:sz w:val="22"/>
          <w:szCs w:val="22"/>
          <w:color w:val="171717"/>
        </w:rPr>
        <w:t>Exchange listing standards, each as may be amended from time to time</w:t>
      </w:r>
      <w:r>
        <w:rPr>
          <w:rFonts w:ascii="Times New Roman" w:cs="Times New Roman" w:eastAsia="Times New Roman" w:hAnsi="Times New Roman"/>
          <w:sz w:val="22"/>
          <w:szCs w:val="22"/>
          <w:color w:val="1E1E1E"/>
        </w:rPr>
        <w:t>.</w:t>
      </w:r>
    </w:p>
    <w:p>
      <w:pPr>
        <w:spacing w:after="0" w:line="14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Financial Reporting Measure</w:t>
      </w:r>
      <w:r>
        <w:rPr>
          <w:rFonts w:ascii="Times New Roman" w:cs="Times New Roman" w:eastAsia="Times New Roman" w:hAnsi="Times New Roman"/>
          <w:sz w:val="22"/>
          <w:szCs w:val="22"/>
          <w:color w:val="171717"/>
        </w:rPr>
        <w:t>” are measures that are determined and presented in accordance with the accounting principles used in preparing the Company’s financial statements, and any measures that are derived wholly or in part from such measures. Stock price and TSR are also financial reporting measures. A financial reporting measure need not be presented within the financial statements or included in a filing with the SEC.</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compensation that is granted, earned or vested based wholly or in part on the attainment of any Financial Reporting Measure. [Examples of “Incentive-Based Compensation” include, but are not limited to: non-equity incentive plan awards that are earned based wholly or in part on satisfying a Financial Reporting Measure performance goal; bonuses paid from a “bonus pool,” the size of which is determined based wholly or in part on satisfying a Financial Reporting Measure performance goal; other cash awards based on satisfaction of a Financial Reporting Measure performance goal; restricted stock, restricted stock units, performance share units, stock options, and SARs that are granted or become vested based wholly or in part on satisfying a Financial Reporting Measure goal; and proceeds received upon the sale of shares acquired through an incentive plan that were granted or vested based wholly or</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209" w:name="page210"/>
    <w:bookmarkEnd w:id="209"/>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in part on satisfying a Financial Reporting Measure goal. “Incentive-Based Compensation” excludes, for example, time-based awards such as stock options or restricted stock units that are granted or vest </w:t>
      </w:r>
      <w:r>
        <w:rPr>
          <w:rFonts w:ascii="Times New Roman" w:cs="Times New Roman" w:eastAsia="Times New Roman" w:hAnsi="Times New Roman"/>
          <w:sz w:val="22"/>
          <w:szCs w:val="22"/>
          <w:i w:val="1"/>
          <w:iCs w:val="1"/>
          <w:color w:val="auto"/>
        </w:rPr>
        <w:t>solely</w:t>
      </w:r>
      <w:r>
        <w:rPr>
          <w:rFonts w:ascii="Times New Roman" w:cs="Times New Roman" w:eastAsia="Times New Roman" w:hAnsi="Times New Roman"/>
          <w:sz w:val="22"/>
          <w:szCs w:val="22"/>
          <w:color w:val="auto"/>
        </w:rPr>
        <w:t xml:space="preserve"> upon completion of a service period; awards based on non-financial strategic or operating metrics such as the consummation of a merger or achievement of non-financial business goals; service-based retention bonuses; discretionary compensation; and salary.]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Listing Rule Effective Date</w:t>
      </w:r>
      <w:r>
        <w:rPr>
          <w:rFonts w:ascii="Times New Roman" w:cs="Times New Roman" w:eastAsia="Times New Roman" w:hAnsi="Times New Roman"/>
          <w:sz w:val="22"/>
          <w:szCs w:val="22"/>
          <w:color w:val="171717"/>
        </w:rPr>
        <w:t>” means October 2,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means this Compensation Recovery Policy.</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171717"/>
        </w:rPr>
        <w:t>Incentive-Based Compensation is deemed “</w:t>
      </w:r>
      <w:r>
        <w:rPr>
          <w:rFonts w:ascii="Times New Roman" w:cs="Times New Roman" w:eastAsia="Times New Roman" w:hAnsi="Times New Roman"/>
          <w:sz w:val="22"/>
          <w:szCs w:val="22"/>
          <w:b w:val="1"/>
          <w:bCs w:val="1"/>
          <w:i w:val="1"/>
          <w:iCs w:val="1"/>
          <w:color w:val="171717"/>
        </w:rPr>
        <w:t>Received</w:t>
      </w:r>
      <w:r>
        <w:rPr>
          <w:rFonts w:ascii="Times New Roman" w:cs="Times New Roman" w:eastAsia="Times New Roman" w:hAnsi="Times New Roman"/>
          <w:sz w:val="22"/>
          <w:szCs w:val="22"/>
          <w:color w:val="171717"/>
        </w:rPr>
        <w:t>” in the Company’s fiscal period during which the relevant Financial Reporting Measure specified in the Incentive-Based Compensation award is attained, irrespective of whether the payment or grant occurs on a later date or if there are additional vesting or payment requirements, such as time-based vesting or certification or approval by the Compensation Committee or Board, that have not yet been satisfied.</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Recoupment Amount</w:t>
      </w:r>
      <w:r>
        <w:rPr>
          <w:rFonts w:ascii="Times New Roman" w:cs="Times New Roman" w:eastAsia="Times New Roman" w:hAnsi="Times New Roman"/>
          <w:sz w:val="22"/>
          <w:szCs w:val="22"/>
          <w:color w:val="171717"/>
        </w:rPr>
        <w:t>” means the amount of Incentive-Based Compensation Received by the Covered Person based on the financial statements prior to the restatement that exceeds the amount such Covered Person would have received had the Incentive-Based Compensation been determined based on the financial restatement, computed without regard to any taxes paid (</w:t>
      </w:r>
      <w:r>
        <w:rPr>
          <w:rFonts w:ascii="Times New Roman" w:cs="Times New Roman" w:eastAsia="Times New Roman" w:hAnsi="Times New Roman"/>
          <w:sz w:val="22"/>
          <w:szCs w:val="22"/>
          <w:i w:val="1"/>
          <w:iCs w:val="1"/>
          <w:color w:val="171717"/>
        </w:rPr>
        <w:t>i.e</w:t>
      </w:r>
      <w:r>
        <w:rPr>
          <w:rFonts w:ascii="Times New Roman" w:cs="Times New Roman" w:eastAsia="Times New Roman" w:hAnsi="Times New Roman"/>
          <w:sz w:val="22"/>
          <w:szCs w:val="22"/>
          <w:color w:val="171717"/>
        </w:rPr>
        <w:t>., gross of taxes withheld).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SARs</w:t>
      </w:r>
      <w:r>
        <w:rPr>
          <w:rFonts w:ascii="Times New Roman" w:cs="Times New Roman" w:eastAsia="Times New Roman" w:hAnsi="Times New Roman"/>
          <w:sz w:val="22"/>
          <w:szCs w:val="22"/>
          <w:color w:val="171717"/>
        </w:rPr>
        <w:t>” means stock appreciation rights.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SEC</w:t>
      </w:r>
      <w:r>
        <w:rPr>
          <w:rFonts w:ascii="Times New Roman" w:cs="Times New Roman" w:eastAsia="Times New Roman" w:hAnsi="Times New Roman"/>
          <w:sz w:val="22"/>
          <w:szCs w:val="22"/>
          <w:color w:val="171717"/>
        </w:rPr>
        <w:t>” means the U.S. Securities and Exchange Commission.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SOX 304</w:t>
      </w:r>
      <w:r>
        <w:rPr>
          <w:rFonts w:ascii="Times New Roman" w:cs="Times New Roman" w:eastAsia="Times New Roman" w:hAnsi="Times New Roman"/>
          <w:sz w:val="22"/>
          <w:szCs w:val="22"/>
          <w:color w:val="171717"/>
        </w:rPr>
        <w:t>” means Section 304 of the Sarbanes-Oxley Act of 2002.</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Triggering Event</w:t>
      </w:r>
      <w:r>
        <w:rPr>
          <w:rFonts w:ascii="Times New Roman" w:cs="Times New Roman" w:eastAsia="Times New Roman" w:hAnsi="Times New Roman"/>
          <w:sz w:val="22"/>
          <w:szCs w:val="22"/>
          <w:color w:val="1E1E1E"/>
        </w:rPr>
        <w:t>” means any event in which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TSR</w:t>
      </w:r>
      <w:r>
        <w:rPr>
          <w:rFonts w:ascii="Times New Roman" w:cs="Times New Roman" w:eastAsia="Times New Roman" w:hAnsi="Times New Roman"/>
          <w:sz w:val="22"/>
          <w:szCs w:val="22"/>
          <w:color w:val="171717"/>
        </w:rPr>
        <w:t>” means total stockholder return.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0" w:name="page211"/>
    <w:bookmarkEnd w:id="210"/>
    <w:p>
      <w:pPr>
        <w:ind w:left="5060"/>
        <w:spacing w:after="0"/>
        <w:rPr>
          <w:sz w:val="20"/>
          <w:szCs w:val="20"/>
          <w:color w:val="auto"/>
        </w:rPr>
      </w:pPr>
      <w:r>
        <w:rPr>
          <w:rFonts w:ascii="Times New Roman" w:cs="Times New Roman" w:eastAsia="Times New Roman" w:hAnsi="Times New Roman"/>
          <w:sz w:val="22"/>
          <w:szCs w:val="22"/>
          <w:b w:val="1"/>
          <w:bCs w:val="1"/>
          <w:color w:val="171717"/>
        </w:rPr>
        <w:t>EXHIBIT A</w:t>
      </w:r>
    </w:p>
    <w:p>
      <w:pPr>
        <w:spacing w:after="0" w:line="16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171717"/>
        </w:rPr>
        <w:t>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certify that:</w:t>
      </w:r>
    </w:p>
    <w:p>
      <w:pPr>
        <w:spacing w:after="0" w:line="200" w:lineRule="exact"/>
        <w:rPr>
          <w:sz w:val="20"/>
          <w:szCs w:val="20"/>
          <w:color w:val="auto"/>
        </w:rPr>
      </w:pPr>
    </w:p>
    <w:p>
      <w:pPr>
        <w:ind w:left="380" w:right="20" w:hanging="372"/>
        <w:spacing w:after="0" w:line="264" w:lineRule="auto"/>
        <w:tabs>
          <w:tab w:leader="none" w:pos="3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and understand the Company’s Compensation Recovery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I understand that the Company’s General Counsel is available to answer any questions I have regarding the Policy.</w:t>
      </w:r>
    </w:p>
    <w:p>
      <w:pPr>
        <w:spacing w:after="0" w:line="151" w:lineRule="exact"/>
        <w:rPr>
          <w:rFonts w:ascii="Times New Roman" w:cs="Times New Roman" w:eastAsia="Times New Roman" w:hAnsi="Times New Roman"/>
          <w:sz w:val="22"/>
          <w:szCs w:val="22"/>
          <w:color w:val="auto"/>
        </w:rPr>
      </w:pPr>
    </w:p>
    <w:p>
      <w:pPr>
        <w:jc w:val="both"/>
        <w:ind w:left="380" w:hanging="372"/>
        <w:spacing w:after="0" w:line="244" w:lineRule="auto"/>
        <w:tabs>
          <w:tab w:leader="none" w:pos="3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the Policy applies to all of my existing and future compensation-related agreements with the Company with respect to Incentive-Based Compensation Received after the Listing Rule Effective Date, whether or not explicitly stated therein.</w:t>
      </w:r>
    </w:p>
    <w:p>
      <w:pPr>
        <w:spacing w:after="0" w:line="173" w:lineRule="exact"/>
        <w:rPr>
          <w:rFonts w:ascii="Times New Roman" w:cs="Times New Roman" w:eastAsia="Times New Roman" w:hAnsi="Times New Roman"/>
          <w:sz w:val="22"/>
          <w:szCs w:val="22"/>
          <w:color w:val="auto"/>
        </w:rPr>
      </w:pPr>
    </w:p>
    <w:p>
      <w:pPr>
        <w:jc w:val="both"/>
        <w:ind w:left="380" w:hanging="372"/>
        <w:spacing w:after="0" w:line="239" w:lineRule="auto"/>
        <w:tabs>
          <w:tab w:leader="none" w:pos="3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notwithstanding the Company’s certificate of incorporation, bylaws, and any agreement I have with the Company, including any indemnity agreement I have with the Company, I will not be entitled to, and will not seek indemnification from the Company for, any amounts recovered or recoverable by the Company in accordance with the Policy.</w:t>
      </w:r>
    </w:p>
    <w:p>
      <w:pPr>
        <w:spacing w:after="0" w:line="180" w:lineRule="exact"/>
        <w:rPr>
          <w:rFonts w:ascii="Times New Roman" w:cs="Times New Roman" w:eastAsia="Times New Roman" w:hAnsi="Times New Roman"/>
          <w:sz w:val="22"/>
          <w:szCs w:val="22"/>
          <w:color w:val="auto"/>
        </w:rPr>
      </w:pPr>
    </w:p>
    <w:p>
      <w:pPr>
        <w:jc w:val="both"/>
        <w:ind w:left="380" w:hanging="372"/>
        <w:spacing w:after="0" w:line="235" w:lineRule="auto"/>
        <w:tabs>
          <w:tab w:leader="none" w:pos="3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understand and agree that in the event of a conflict between the Policy and the foregoing agreements and understandings on the one hand, and any prior, existing or future agreement, arrangement or understanding, whether oral or written, with respect to the subject matter of the Policy and this Certification, on the other hand, the terms of the Policy and this Certification shall control, and the terms of this Certification shall supersede any provision of such an agreement, arrangement or understanding to the extent of such conflict with respect to the subject matter of the Policy and this Certification; provided that, in accordance with Section 8 of the Policy, nothing herein limits any other </w:t>
      </w:r>
      <w:r>
        <w:rPr>
          <w:rFonts w:ascii="Times New Roman" w:cs="Times New Roman" w:eastAsia="Times New Roman" w:hAnsi="Times New Roman"/>
          <w:sz w:val="22"/>
          <w:szCs w:val="22"/>
          <w:color w:val="171717"/>
        </w:rPr>
        <w:t>remedies or rights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71717"/>
        </w:rPr>
        <w:t>recoupment that may be available to the Company.</w:t>
      </w:r>
    </w:p>
    <w:p>
      <w:pPr>
        <w:spacing w:after="0" w:line="183" w:lineRule="exact"/>
        <w:rPr>
          <w:rFonts w:ascii="Times New Roman" w:cs="Times New Roman" w:eastAsia="Times New Roman" w:hAnsi="Times New Roman"/>
          <w:sz w:val="22"/>
          <w:szCs w:val="22"/>
          <w:color w:val="auto"/>
        </w:rPr>
      </w:pPr>
    </w:p>
    <w:p>
      <w:pPr>
        <w:ind w:left="380" w:right="20" w:hanging="372"/>
        <w:spacing w:after="0" w:line="258" w:lineRule="auto"/>
        <w:tabs>
          <w:tab w:leader="none" w:pos="3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to abide by the terms of the Policy, including, without limitation, by returning any Recoupment Amount to the Company to the extent required by, and in a manner permitted by, the Policy.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-13970</wp:posOffset>
            </wp:positionV>
            <wp:extent cx="104775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4">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-13970</wp:posOffset>
            </wp:positionV>
            <wp:extent cx="124587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5">
                      <a:extLst>
                        <a:ext uri="{28A0092B-C50C-407E-A947-70E740481C1C}"/>
                      </a:extLst>
                    </a:blip>
                    <a:srcRect/>
                    <a:stretch>
                      <a:fillRect/>
                    </a:stretch>
                  </pic:blipFill>
                  <pic:spPr bwMode="auto">
                    <a:xfrm>
                      <a:off x="0" y="0"/>
                      <a:ext cx="124587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-13970</wp:posOffset>
            </wp:positionV>
            <wp:extent cx="131445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6">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-13970</wp:posOffset>
            </wp:positionV>
            <wp:extent cx="131445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7">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22"/>
          <w:szCs w:val="22"/>
          <w:b w:val="1"/>
          <w:bCs w:val="1"/>
          <w:color w:val="171717"/>
        </w:rPr>
        <w:t>EXHIBIT B</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E1E1E"/>
        </w:rPr>
        <w:t>Calculation Guidelines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171717"/>
        </w:rPr>
        <w:t>The Recoupment Amount will be calculated in accordance with the Final Rules as determined by the Administrator, illustrative, non-exclusive examples of which are provided in the Calculation Guidelines below:</w:t>
      </w:r>
    </w:p>
    <w:p>
      <w:pPr>
        <w:spacing w:after="0" w:line="158" w:lineRule="exact"/>
        <w:rPr>
          <w:sz w:val="20"/>
          <w:szCs w:val="20"/>
          <w:color w:val="auto"/>
        </w:rPr>
      </w:pPr>
    </w:p>
    <w:p>
      <w:pPr>
        <w:jc w:val="both"/>
        <w:ind w:left="1140" w:hanging="383"/>
        <w:spacing w:after="0" w:line="244" w:lineRule="auto"/>
        <w:tabs>
          <w:tab w:leader="none" w:pos="1140" w:val="left"/>
        </w:tabs>
        <w:numPr>
          <w:ilvl w:val="0"/>
          <w:numId w:val="110"/>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For cash awards not paid from bonus pools, the erroneously awarded compensation is the difference between the amount of the cash award (whether payable as a lump sum or over time) that was received and the amount that should have been received applying the restated Financial Reporting Measure.</w:t>
      </w:r>
    </w:p>
    <w:p>
      <w:pPr>
        <w:spacing w:after="0" w:line="200" w:lineRule="exact"/>
        <w:rPr>
          <w:rFonts w:ascii="Times New Roman" w:cs="Times New Roman" w:eastAsia="Times New Roman" w:hAnsi="Times New Roman"/>
          <w:sz w:val="22"/>
          <w:szCs w:val="22"/>
          <w:color w:val="171717"/>
        </w:rPr>
      </w:pPr>
    </w:p>
    <w:p>
      <w:pPr>
        <w:spacing w:after="0" w:line="200" w:lineRule="exact"/>
        <w:rPr>
          <w:rFonts w:ascii="Times New Roman" w:cs="Times New Roman" w:eastAsia="Times New Roman" w:hAnsi="Times New Roman"/>
          <w:sz w:val="22"/>
          <w:szCs w:val="22"/>
          <w:color w:val="171717"/>
        </w:rPr>
      </w:pPr>
    </w:p>
    <w:p>
      <w:pPr>
        <w:spacing w:after="0" w:line="259" w:lineRule="exact"/>
        <w:rPr>
          <w:rFonts w:ascii="Times New Roman" w:cs="Times New Roman" w:eastAsia="Times New Roman" w:hAnsi="Times New Roman"/>
          <w:sz w:val="22"/>
          <w:szCs w:val="22"/>
          <w:color w:val="171717"/>
        </w:rPr>
      </w:pPr>
    </w:p>
    <w:p>
      <w:pPr>
        <w:jc w:val="both"/>
        <w:ind w:left="1140" w:hanging="383"/>
        <w:spacing w:after="0" w:line="244" w:lineRule="auto"/>
        <w:tabs>
          <w:tab w:leader="none" w:pos="1140" w:val="left"/>
        </w:tabs>
        <w:numPr>
          <w:ilvl w:val="0"/>
          <w:numId w:val="110"/>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For cash awards paid from bonus pools, the erroneously awarded compensation is the pro rata portion of any deficiency that results from the aggregate bonus pool that is reduced based on applying the restated Financial Reporting Measure.</w:t>
      </w:r>
    </w:p>
    <w:p>
      <w:pPr>
        <w:spacing w:after="0" w:line="200" w:lineRule="exact"/>
        <w:rPr>
          <w:rFonts w:ascii="Times New Roman" w:cs="Times New Roman" w:eastAsia="Times New Roman" w:hAnsi="Times New Roman"/>
          <w:sz w:val="22"/>
          <w:szCs w:val="22"/>
          <w:color w:val="171717"/>
        </w:rPr>
      </w:pPr>
    </w:p>
    <w:p>
      <w:pPr>
        <w:spacing w:after="0" w:line="200" w:lineRule="exact"/>
        <w:rPr>
          <w:rFonts w:ascii="Times New Roman" w:cs="Times New Roman" w:eastAsia="Times New Roman" w:hAnsi="Times New Roman"/>
          <w:sz w:val="22"/>
          <w:szCs w:val="22"/>
          <w:color w:val="171717"/>
        </w:rPr>
      </w:pPr>
    </w:p>
    <w:p>
      <w:pPr>
        <w:spacing w:after="0" w:line="259" w:lineRule="exact"/>
        <w:rPr>
          <w:rFonts w:ascii="Times New Roman" w:cs="Times New Roman" w:eastAsia="Times New Roman" w:hAnsi="Times New Roman"/>
          <w:sz w:val="22"/>
          <w:szCs w:val="22"/>
          <w:color w:val="171717"/>
        </w:rPr>
      </w:pPr>
    </w:p>
    <w:p>
      <w:pPr>
        <w:jc w:val="both"/>
        <w:ind w:left="1140" w:hanging="383"/>
        <w:spacing w:after="0" w:line="236" w:lineRule="auto"/>
        <w:tabs>
          <w:tab w:leader="none" w:pos="1140" w:val="left"/>
        </w:tabs>
        <w:numPr>
          <w:ilvl w:val="0"/>
          <w:numId w:val="110"/>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For equity awards, if the shares, options, restricted stock units, or SARs are still held at the time of recovery, the erroneously awarded compensation is the number of such securities received in excess of the number that should have been received applying the restated Financial Reporting Measure (or the value of that excess number). If the options or SARs have been exercised, but the underlying shares have not been sold, the erroneously awarded compensation is the number of shares underlying the excess options or SARs (or the value thereof). If the underlying shares have been sold, the Company may recoup proceeds received from the sale of shares.</w:t>
      </w:r>
    </w:p>
    <w:p>
      <w:pPr>
        <w:spacing w:after="0" w:line="200" w:lineRule="exact"/>
        <w:rPr>
          <w:rFonts w:ascii="Times New Roman" w:cs="Times New Roman" w:eastAsia="Times New Roman" w:hAnsi="Times New Roman"/>
          <w:sz w:val="22"/>
          <w:szCs w:val="22"/>
          <w:color w:val="171717"/>
        </w:rPr>
      </w:pPr>
    </w:p>
    <w:p>
      <w:pPr>
        <w:spacing w:after="0" w:line="200" w:lineRule="exact"/>
        <w:rPr>
          <w:rFonts w:ascii="Times New Roman" w:cs="Times New Roman" w:eastAsia="Times New Roman" w:hAnsi="Times New Roman"/>
          <w:sz w:val="22"/>
          <w:szCs w:val="22"/>
          <w:color w:val="171717"/>
        </w:rPr>
      </w:pPr>
    </w:p>
    <w:p>
      <w:pPr>
        <w:spacing w:after="0" w:line="267" w:lineRule="exact"/>
        <w:rPr>
          <w:rFonts w:ascii="Times New Roman" w:cs="Times New Roman" w:eastAsia="Times New Roman" w:hAnsi="Times New Roman"/>
          <w:sz w:val="22"/>
          <w:szCs w:val="22"/>
          <w:color w:val="171717"/>
        </w:rPr>
      </w:pPr>
    </w:p>
    <w:p>
      <w:pPr>
        <w:jc w:val="both"/>
        <w:ind w:left="1140" w:hanging="383"/>
        <w:spacing w:after="0" w:line="244" w:lineRule="auto"/>
        <w:tabs>
          <w:tab w:leader="none" w:pos="1140" w:val="left"/>
        </w:tabs>
        <w:numPr>
          <w:ilvl w:val="0"/>
          <w:numId w:val="110"/>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For Incentive-Based Compensation based on stock price or TSR, where the amount of erroneously awarded compensation is not subject to mathematical recalculation directly from the information in an accounting restatement:</w:t>
      </w:r>
    </w:p>
    <w:p>
      <w:pPr>
        <w:spacing w:after="0" w:line="200" w:lineRule="exact"/>
        <w:rPr>
          <w:rFonts w:ascii="Times New Roman" w:cs="Times New Roman" w:eastAsia="Times New Roman" w:hAnsi="Times New Roman"/>
          <w:sz w:val="22"/>
          <w:szCs w:val="22"/>
          <w:color w:val="171717"/>
        </w:rPr>
      </w:pPr>
    </w:p>
    <w:p>
      <w:pPr>
        <w:spacing w:after="0" w:line="200" w:lineRule="exact"/>
        <w:rPr>
          <w:rFonts w:ascii="Times New Roman" w:cs="Times New Roman" w:eastAsia="Times New Roman" w:hAnsi="Times New Roman"/>
          <w:sz w:val="22"/>
          <w:szCs w:val="22"/>
          <w:color w:val="171717"/>
        </w:rPr>
      </w:pPr>
    </w:p>
    <w:p>
      <w:pPr>
        <w:spacing w:after="0" w:line="259" w:lineRule="exact"/>
        <w:rPr>
          <w:rFonts w:ascii="Times New Roman" w:cs="Times New Roman" w:eastAsia="Times New Roman" w:hAnsi="Times New Roman"/>
          <w:sz w:val="22"/>
          <w:szCs w:val="22"/>
          <w:color w:val="171717"/>
        </w:rPr>
      </w:pPr>
    </w:p>
    <w:p>
      <w:pPr>
        <w:ind w:left="1500" w:hanging="369"/>
        <w:spacing w:after="0" w:line="258" w:lineRule="auto"/>
        <w:tabs>
          <w:tab w:leader="none" w:pos="150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171717"/>
        </w:rPr>
        <w:t>The amount must be based on a reasonable estimate of the effect of the accounting restatement on the stock price or TSR upon which the Incentive-Based Compensation was Received; and</w:t>
      </w:r>
    </w:p>
    <w:p>
      <w:pPr>
        <w:spacing w:after="0" w:line="200" w:lineRule="exact"/>
        <w:rPr>
          <w:rFonts w:ascii="Times New Roman" w:cs="Times New Roman" w:eastAsia="Times New Roman" w:hAnsi="Times New Roman"/>
          <w:sz w:val="20"/>
          <w:szCs w:val="20"/>
          <w:color w:val="auto"/>
        </w:rPr>
      </w:pPr>
    </w:p>
    <w:p>
      <w:pPr>
        <w:spacing w:after="0" w:line="228" w:lineRule="exact"/>
        <w:rPr>
          <w:rFonts w:ascii="Times New Roman" w:cs="Times New Roman" w:eastAsia="Times New Roman" w:hAnsi="Times New Roman"/>
          <w:sz w:val="20"/>
          <w:szCs w:val="20"/>
          <w:color w:val="auto"/>
        </w:rPr>
      </w:pPr>
    </w:p>
    <w:p>
      <w:pPr>
        <w:ind w:left="1500" w:hanging="369"/>
        <w:spacing w:after="0" w:line="258" w:lineRule="auto"/>
        <w:tabs>
          <w:tab w:leader="none" w:pos="150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171717"/>
        </w:rPr>
        <w:t>The Company must maintain documentation of the determination of that reasonable estimate and the Company must provide such documentation to the Exchange in all cases.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2" w:name="page213"/>
    <w:bookmarkEnd w:id="2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lvl w:ilvl="1">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1."/>
      <w:numFmt w:val="decimal"/>
      <w:start w:val="2"/>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lvl w:ilvl="1">
      <w:lvlJc w:val="left"/>
      <w:lvlText w:val="•"/>
      <w:numFmt w:val="bullet"/>
      <w:start w:val="1"/>
    </w:lvl>
  </w:abstractNum>
  <w:abstractNum w:abstractNumId="47">
    <w:nsid w:val="1A32234B"/>
    <w:multiLevelType w:val="hybridMultilevel"/>
    <w:lvl w:ilvl="0">
      <w:lvlJc w:val="left"/>
      <w:lvlText w:val="%1."/>
      <w:numFmt w:val="decimal"/>
      <w:start w:val="2"/>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1)"/>
      <w:numFmt w:val="lowerLetter"/>
      <w:start w:val="1"/>
    </w:lvl>
  </w:abstractNum>
  <w:abstractNum w:abstractNumId="57">
    <w:nsid w:val="100F59DC"/>
    <w:multiLevelType w:val="hybridMultilevel"/>
    <w:lvl w:ilvl="0">
      <w:lvlJc w:val="left"/>
      <w:lvlText w:val="(%1)"/>
      <w:numFmt w:val="decimal"/>
      <w:start w:val="1"/>
    </w:lvl>
  </w:abstractNum>
  <w:abstractNum w:abstractNumId="58">
    <w:nsid w:val="7FB7E0A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59">
    <w:nsid w:val="6EB5BD4"/>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60">
    <w:nsid w:val="6F6DD9AC"/>
    <w:multiLevelType w:val="hybridMultilevel"/>
    <w:lvl w:ilvl="0">
      <w:lvlJc w:val="left"/>
      <w:lvlText w:val="%1."/>
      <w:numFmt w:val="decimal"/>
      <w:start w:val="4"/>
    </w:lvl>
  </w:abstractNum>
  <w:abstractNum w:abstractNumId="61">
    <w:nsid w:val="94211F2"/>
    <w:multiLevelType w:val="hybridMultilevel"/>
    <w:lvl w:ilvl="0">
      <w:lvlJc w:val="left"/>
      <w:lvlText w:val="%1."/>
      <w:numFmt w:val="upperLetter"/>
      <w:start w:val="1"/>
    </w:lvl>
  </w:abstractNum>
  <w:abstractNum w:abstractNumId="62">
    <w:nsid w:val="885E1B"/>
    <w:multiLevelType w:val="hybridMultilevel"/>
    <w:lvl w:ilvl="0">
      <w:lvlJc w:val="left"/>
      <w:lvlText w:val="(%1)"/>
      <w:numFmt w:val="lowerRoman"/>
      <w:start w:val="1"/>
    </w:lvl>
  </w:abstractNum>
  <w:abstractNum w:abstractNumId="63">
    <w:nsid w:val="76272110"/>
    <w:multiLevelType w:val="hybridMultilevel"/>
    <w:lvl w:ilvl="0">
      <w:lvlJc w:val="left"/>
      <w:lvlText w:val="%1."/>
      <w:numFmt w:val="upperLetter"/>
      <w:start w:val="2"/>
    </w:lvl>
  </w:abstractNum>
  <w:abstractNum w:abstractNumId="64">
    <w:nsid w:val="4C04A8AF"/>
    <w:multiLevelType w:val="hybridMultilevel"/>
    <w:lvl w:ilvl="0">
      <w:lvlJc w:val="left"/>
      <w:lvlText w:val="%1"/>
      <w:numFmt w:val="decimal"/>
      <w:start w:val="1"/>
    </w:lvl>
    <w:lvl w:ilvl="1">
      <w:lvlJc w:val="left"/>
      <w:lvlText w:val="%2."/>
      <w:numFmt w:val="upperLetter"/>
      <w:start w:val="3"/>
    </w:lvl>
  </w:abstractNum>
  <w:abstractNum w:abstractNumId="65">
    <w:nsid w:val="1716703B"/>
    <w:multiLevelType w:val="hybridMultilevel"/>
    <w:lvl w:ilvl="0">
      <w:lvlJc w:val="left"/>
      <w:lvlText w:val="%1."/>
      <w:numFmt w:val="decimal"/>
      <w:start w:val="5"/>
    </w:lvl>
    <w:lvl w:ilvl="1">
      <w:lvlJc w:val="left"/>
      <w:lvlText w:val="%2"/>
      <w:numFmt w:val="upperLetter"/>
      <w:start w:val="1"/>
    </w:lvl>
  </w:abstractNum>
  <w:abstractNum w:abstractNumId="66">
    <w:nsid w:val="14E17E33"/>
    <w:multiLevelType w:val="hybridMultilevel"/>
    <w:lvl w:ilvl="0">
      <w:lvlJc w:val="left"/>
      <w:lvlText w:val="%1."/>
      <w:numFmt w:val="decimal"/>
      <w:start w:val="6"/>
    </w:lvl>
  </w:abstractNum>
  <w:abstractNum w:abstractNumId="67">
    <w:nsid w:val="3222E7CD"/>
    <w:multiLevelType w:val="hybridMultilevel"/>
    <w:lvl w:ilvl="0">
      <w:lvlJc w:val="left"/>
      <w:lvlText w:val="%1"/>
      <w:numFmt w:val="lowerLetter"/>
      <w:start w:val="1"/>
    </w:lvl>
    <w:lvl w:ilvl="1">
      <w:lvlJc w:val="left"/>
      <w:lvlText w:val="%2."/>
      <w:numFmt w:val="decimal"/>
      <w:start w:val="10"/>
    </w:lvl>
  </w:abstractNum>
  <w:abstractNum w:abstractNumId="68">
    <w:nsid w:val="74DE0EE3"/>
    <w:multiLevelType w:val="hybridMultilevel"/>
    <w:lvl w:ilvl="0">
      <w:lvlJc w:val="left"/>
      <w:lvlText w:val="(%1)"/>
      <w:numFmt w:val="lowerLetter"/>
      <w:start w:val="1"/>
    </w:lvl>
    <w:lvl w:ilvl="1">
      <w:lvlJc w:val="left"/>
      <w:lvlText w:val="%2"/>
      <w:numFmt w:val="decimal"/>
      <w:start w:val="1"/>
    </w:lvl>
  </w:abstractNum>
  <w:abstractNum w:abstractNumId="69">
    <w:nsid w:val="68EBC550"/>
    <w:multiLevelType w:val="hybridMultilevel"/>
    <w:lvl w:ilvl="0">
      <w:lvlJc w:val="left"/>
      <w:lvlText w:val="%1."/>
      <w:numFmt w:val="decimal"/>
      <w:start w:val="12"/>
    </w:lvl>
    <w:lvl w:ilvl="1">
      <w:lvlJc w:val="left"/>
      <w:lvlText w:val="%2."/>
      <w:numFmt w:val="upperLetter"/>
      <w:start w:val="1"/>
    </w:lvl>
  </w:abstractNum>
  <w:abstractNum w:abstractNumId="70">
    <w:nsid w:val="2DF6D648"/>
    <w:multiLevelType w:val="hybridMultilevel"/>
    <w:lvl w:ilvl="0">
      <w:lvlJc w:val="left"/>
      <w:lvlText w:val="%1."/>
      <w:numFmt w:val="decimal"/>
      <w:start w:val="16"/>
    </w:lvl>
    <w:lvl w:ilvl="1">
      <w:lvlJc w:val="left"/>
      <w:lvlText w:val="%2"/>
      <w:numFmt w:val="upperLetter"/>
      <w:start w:val="1"/>
    </w:lvl>
  </w:abstractNum>
  <w:abstractNum w:abstractNumId="71">
    <w:nsid w:val="46B7D447"/>
    <w:multiLevelType w:val="hybridMultilevel"/>
    <w:lvl w:ilvl="0">
      <w:lvlJc w:val="left"/>
      <w:lvlText w:val="(%1)"/>
      <w:numFmt w:val="lowerRoman"/>
      <w:start w:val="8"/>
    </w:lvl>
  </w:abstractNum>
  <w:abstractNum w:abstractNumId="72">
    <w:nsid w:val="4A2AC315"/>
    <w:multiLevelType w:val="hybridMultilevel"/>
    <w:lvl w:ilvl="0">
      <w:lvlJc w:val="left"/>
      <w:lvlText w:val="%1."/>
      <w:numFmt w:val="upperLetter"/>
      <w:start w:val="2"/>
    </w:lvl>
  </w:abstractNum>
  <w:abstractNum w:abstractNumId="73">
    <w:nsid w:val="39EE015C"/>
    <w:multiLevelType w:val="hybridMultilevel"/>
    <w:lvl w:ilvl="0">
      <w:lvlJc w:val="left"/>
      <w:lvlText w:val="%1."/>
      <w:numFmt w:val="decimal"/>
      <w:start w:val="19"/>
    </w:lvl>
  </w:abstractNum>
  <w:abstractNum w:abstractNumId="74">
    <w:nsid w:val="57FC4FBB"/>
    <w:multiLevelType w:val="hybridMultilevel"/>
    <w:lvl w:ilvl="0">
      <w:lvlJc w:val="left"/>
      <w:lvlText w:val="%1."/>
      <w:numFmt w:val="decimal"/>
      <w:start w:val="23"/>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
      <w:numFmt w:val="bullet"/>
      <w:start w:val="1"/>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
      <w:numFmt w:val="bullet"/>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
      <w:numFmt w:val="bullet"/>
      <w:start w:val="1"/>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1)"/>
      <w:numFmt w:val="decimal"/>
      <w:start w:val="1"/>
    </w:lvl>
  </w:abstractNum>
  <w:abstractNum w:abstractNumId="85">
    <w:nsid w:val="5FB8011C"/>
    <w:multiLevelType w:val="hybridMultilevel"/>
    <w:lvl w:ilvl="0">
      <w:lvlJc w:val="left"/>
      <w:lvlText w:val="%1)"/>
      <w:numFmt w:val="upperLetter"/>
      <w:start w:val="11"/>
    </w:lvl>
  </w:abstractNum>
  <w:abstractNum w:abstractNumId="86">
    <w:nsid w:val="6AA78F7F"/>
    <w:multiLevelType w:val="hybridMultilevel"/>
    <w:lvl w:ilvl="0">
      <w:lvlJc w:val="left"/>
      <w:lvlText w:val="%1."/>
      <w:numFmt w:val="decimal"/>
      <w:start w:val="1"/>
    </w:lvl>
    <w:lvl w:ilvl="1">
      <w:lvlJc w:val="left"/>
      <w:lvlText w:val="%2."/>
      <w:numFmt w:val="lowerLetter"/>
      <w:start w:val="1"/>
    </w:lvl>
  </w:abstractNum>
  <w:abstractNum w:abstractNumId="87">
    <w:nsid w:val="7672BD23"/>
    <w:multiLevelType w:val="hybridMultilevel"/>
    <w:lvl w:ilvl="0">
      <w:lvlJc w:val="left"/>
      <w:lvlText w:val="%1."/>
      <w:numFmt w:val="decimal"/>
      <w:start w:val="1"/>
    </w:lvl>
    <w:lvl w:ilvl="1">
      <w:lvlJc w:val="left"/>
      <w:lvlText w:val="%2."/>
      <w:numFmt w:val="lowerLetter"/>
      <w:start w:val="1"/>
    </w:lvl>
  </w:abstractNum>
  <w:abstractNum w:abstractNumId="88">
    <w:nsid w:val="6FC75AF8"/>
    <w:multiLevelType w:val="hybridMultilevel"/>
    <w:lvl w:ilvl="0">
      <w:lvlJc w:val="left"/>
      <w:lvlText w:val="%1."/>
      <w:numFmt w:val="decimal"/>
      <w:start w:val="1"/>
    </w:lvl>
  </w:abstractNum>
  <w:abstractNum w:abstractNumId="89">
    <w:nsid w:val="6A5F7029"/>
    <w:multiLevelType w:val="hybridMultilevel"/>
    <w:lvl w:ilvl="0">
      <w:lvlJc w:val="left"/>
      <w:lvlText w:val="%1."/>
      <w:numFmt w:val="decimal"/>
      <w:start w:val="1"/>
    </w:lvl>
  </w:abstractNum>
  <w:abstractNum w:abstractNumId="90">
    <w:nsid w:val="7D5E18F8"/>
    <w:multiLevelType w:val="hybridMultilevel"/>
    <w:lvl w:ilvl="0">
      <w:lvlJc w:val="left"/>
      <w:lvlText w:val="%1."/>
      <w:numFmt w:val="decimal"/>
      <w:start w:val="2"/>
    </w:lvl>
  </w:abstractNum>
  <w:abstractNum w:abstractNumId="91">
    <w:nsid w:val="5F3534A4"/>
    <w:multiLevelType w:val="hybridMultilevel"/>
    <w:lvl w:ilvl="0">
      <w:lvlJc w:val="left"/>
      <w:lvlText w:val="(%1)"/>
      <w:numFmt w:val="lowerLetter"/>
      <w:start w:val="2"/>
    </w:lvl>
  </w:abstractNum>
  <w:abstractNum w:abstractNumId="92">
    <w:nsid w:val="73A1821B"/>
    <w:multiLevelType w:val="hybridMultilevel"/>
    <w:lvl w:ilvl="0">
      <w:lvlJc w:val="left"/>
      <w:lvlText w:val="%1."/>
      <w:numFmt w:val="lowerRoman"/>
      <w:start w:val="1"/>
    </w:lvl>
  </w:abstractNum>
  <w:abstractNum w:abstractNumId="93">
    <w:nsid w:val="7DE67713"/>
    <w:multiLevelType w:val="hybridMultilevel"/>
    <w:lvl w:ilvl="0">
      <w:lvlJc w:val="left"/>
      <w:lvlText w:val="%1."/>
      <w:numFmt w:val="decimal"/>
      <w:start w:val="3"/>
    </w:lvl>
  </w:abstractNum>
  <w:abstractNum w:abstractNumId="94">
    <w:nsid w:val="555C55B5"/>
    <w:multiLevelType w:val="hybridMultilevel"/>
    <w:lvl w:ilvl="0">
      <w:lvlJc w:val="left"/>
      <w:lvlText w:val="%1."/>
      <w:numFmt w:val="decimal"/>
      <w:start w:val="4"/>
    </w:lvl>
  </w:abstractNum>
  <w:abstractNum w:abstractNumId="95">
    <w:nsid w:val="3FA62ACA"/>
    <w:multiLevelType w:val="hybridMultilevel"/>
    <w:lvl w:ilvl="0">
      <w:lvlJc w:val="left"/>
      <w:lvlText w:val="%1."/>
      <w:numFmt w:val="decimal"/>
      <w:start w:val="5"/>
    </w:lvl>
  </w:abstractNum>
  <w:abstractNum w:abstractNumId="96">
    <w:nsid w:val="14FCE74E"/>
    <w:multiLevelType w:val="hybridMultilevel"/>
    <w:lvl w:ilvl="0">
      <w:lvlJc w:val="left"/>
      <w:lvlText w:val="%1."/>
      <w:numFmt w:val="lowerRoman"/>
      <w:start w:val="1"/>
    </w:lvl>
  </w:abstractNum>
  <w:abstractNum w:abstractNumId="97">
    <w:nsid w:val="6A3DD3E8"/>
    <w:multiLevelType w:val="hybridMultilevel"/>
    <w:lvl w:ilvl="0">
      <w:lvlJc w:val="left"/>
      <w:lvlText w:val="%1."/>
      <w:numFmt w:val="decimal"/>
      <w:start w:val="6"/>
    </w:lvl>
  </w:abstractNum>
  <w:abstractNum w:abstractNumId="98">
    <w:nsid w:val="71C91298"/>
    <w:multiLevelType w:val="hybridMultilevel"/>
    <w:lvl w:ilvl="0">
      <w:lvlJc w:val="left"/>
      <w:lvlText w:val="%1."/>
      <w:numFmt w:val="decimal"/>
      <w:start w:val="7"/>
    </w:lvl>
  </w:abstractNum>
  <w:abstractNum w:abstractNumId="99">
    <w:nsid w:val="9DAF632"/>
    <w:multiLevelType w:val="hybridMultilevel"/>
    <w:lvl w:ilvl="0">
      <w:lvlJc w:val="left"/>
      <w:lvlText w:val="%1."/>
      <w:numFmt w:val="lowerRoman"/>
      <w:start w:val="1"/>
    </w:lvl>
  </w:abstractNum>
  <w:abstractNum w:abstractNumId="100">
    <w:nsid w:val="53299938"/>
    <w:multiLevelType w:val="hybridMultilevel"/>
    <w:lvl w:ilvl="0">
      <w:lvlJc w:val="left"/>
      <w:lvlText w:val="%1."/>
      <w:numFmt w:val="decimal"/>
      <w:start w:val="8"/>
    </w:lvl>
  </w:abstractNum>
  <w:abstractNum w:abstractNumId="101">
    <w:nsid w:val="1FBFE8E0"/>
    <w:multiLevelType w:val="hybridMultilevel"/>
    <w:lvl w:ilvl="0">
      <w:lvlJc w:val="left"/>
      <w:lvlText w:val="%1."/>
      <w:numFmt w:val="decimal"/>
      <w:start w:val="9"/>
    </w:lvl>
  </w:abstractNum>
  <w:abstractNum w:abstractNumId="102">
    <w:nsid w:val="5092CA79"/>
    <w:multiLevelType w:val="hybridMultilevel"/>
    <w:lvl w:ilvl="0">
      <w:lvlJc w:val="left"/>
      <w:lvlText w:val="%1."/>
      <w:numFmt w:val="decimal"/>
      <w:start w:val="10"/>
    </w:lvl>
  </w:abstractNum>
  <w:abstractNum w:abstractNumId="103">
    <w:nsid w:val="1D545C4D"/>
    <w:multiLevelType w:val="hybridMultilevel"/>
    <w:lvl w:ilvl="0">
      <w:lvlJc w:val="left"/>
      <w:lvlText w:val="%1."/>
      <w:numFmt w:val="decimal"/>
      <w:start w:val="11"/>
    </w:lvl>
  </w:abstractNum>
  <w:abstractNum w:abstractNumId="104">
    <w:nsid w:val="59ADEA3D"/>
    <w:multiLevelType w:val="hybridMultilevel"/>
    <w:lvl w:ilvl="0">
      <w:lvlJc w:val="left"/>
      <w:lvlText w:val="%1."/>
      <w:numFmt w:val="decimal"/>
      <w:start w:val="12"/>
    </w:lvl>
  </w:abstractNum>
  <w:abstractNum w:abstractNumId="105">
    <w:nsid w:val="288F1A34"/>
    <w:multiLevelType w:val="hybridMultilevel"/>
    <w:lvl w:ilvl="0">
      <w:lvlJc w:val="left"/>
      <w:lvlText w:val="%1."/>
      <w:numFmt w:val="decimal"/>
      <w:start w:val="13"/>
    </w:lvl>
  </w:abstractNum>
  <w:abstractNum w:abstractNumId="106">
    <w:nsid w:val="2A155DBC"/>
    <w:multiLevelType w:val="hybridMultilevel"/>
    <w:lvl w:ilvl="0">
      <w:lvlJc w:val="left"/>
      <w:lvlText w:val="%1."/>
      <w:numFmt w:val="decimal"/>
      <w:start w:val="14"/>
    </w:lvl>
  </w:abstractNum>
  <w:abstractNum w:abstractNumId="107">
    <w:nsid w:val="1D9F6E5F"/>
    <w:multiLevelType w:val="hybridMultilevel"/>
    <w:lvl w:ilvl="0">
      <w:lvlJc w:val="left"/>
      <w:lvlText w:val="%1."/>
      <w:numFmt w:val="lowerRoman"/>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lowerRoman"/>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jpeg"/><Relationship Id="rId218" Type="http://schemas.openxmlformats.org/officeDocument/2006/relationships/image" Target="media/image190.png"/><Relationship Id="rId219" Type="http://schemas.openxmlformats.org/officeDocument/2006/relationships/image" Target="media/image191.jpeg"/><Relationship Id="rId220" Type="http://schemas.openxmlformats.org/officeDocument/2006/relationships/image" Target="media/image192.png"/><Relationship Id="rId221" Type="http://schemas.openxmlformats.org/officeDocument/2006/relationships/image" Target="media/image193.jpe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313" Type="http://schemas.openxmlformats.org/officeDocument/2006/relationships/image" Target="media/image285.png"/><Relationship Id="rId314" Type="http://schemas.openxmlformats.org/officeDocument/2006/relationships/image" Target="media/image286.png"/><Relationship Id="rId315" Type="http://schemas.openxmlformats.org/officeDocument/2006/relationships/image" Target="media/image287.pn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327" Type="http://schemas.openxmlformats.org/officeDocument/2006/relationships/image" Target="media/image299.png"/><Relationship Id="rId328" Type="http://schemas.openxmlformats.org/officeDocument/2006/relationships/image" Target="media/image300.png"/><Relationship Id="rId329" Type="http://schemas.openxmlformats.org/officeDocument/2006/relationships/image" Target="media/image301.png"/><Relationship Id="rId330" Type="http://schemas.openxmlformats.org/officeDocument/2006/relationships/image" Target="media/image302.png"/><Relationship Id="rId331" Type="http://schemas.openxmlformats.org/officeDocument/2006/relationships/image" Target="media/image303.png"/><Relationship Id="rId332" Type="http://schemas.openxmlformats.org/officeDocument/2006/relationships/image" Target="media/image304.png"/><Relationship Id="rId333" Type="http://schemas.openxmlformats.org/officeDocument/2006/relationships/image" Target="media/image305.png"/><Relationship Id="rId334" Type="http://schemas.openxmlformats.org/officeDocument/2006/relationships/image" Target="media/image306.png"/><Relationship Id="rId335" Type="http://schemas.openxmlformats.org/officeDocument/2006/relationships/image" Target="media/image307.png"/><Relationship Id="rId336" Type="http://schemas.openxmlformats.org/officeDocument/2006/relationships/image" Target="media/image308.png"/><Relationship Id="rId337" Type="http://schemas.openxmlformats.org/officeDocument/2006/relationships/image" Target="media/image309.png"/><Relationship Id="rId338" Type="http://schemas.openxmlformats.org/officeDocument/2006/relationships/image" Target="media/image310.png"/><Relationship Id="rId339" Type="http://schemas.openxmlformats.org/officeDocument/2006/relationships/image" Target="media/image311.png"/><Relationship Id="rId340" Type="http://schemas.openxmlformats.org/officeDocument/2006/relationships/image" Target="media/image312.png"/><Relationship Id="rId341" Type="http://schemas.openxmlformats.org/officeDocument/2006/relationships/image" Target="media/image313.png"/><Relationship Id="rId342" Type="http://schemas.openxmlformats.org/officeDocument/2006/relationships/image" Target="media/image314.png"/><Relationship Id="rId343" Type="http://schemas.openxmlformats.org/officeDocument/2006/relationships/image" Target="media/image315.png"/><Relationship Id="rId344" Type="http://schemas.openxmlformats.org/officeDocument/2006/relationships/image" Target="media/image316.png"/><Relationship Id="rId345" Type="http://schemas.openxmlformats.org/officeDocument/2006/relationships/image" Target="media/image317.png"/><Relationship Id="rId346" Type="http://schemas.openxmlformats.org/officeDocument/2006/relationships/image" Target="media/image318.png"/><Relationship Id="rId347" Type="http://schemas.openxmlformats.org/officeDocument/2006/relationships/image" Target="media/image319.png"/><Relationship Id="rId348" Type="http://schemas.openxmlformats.org/officeDocument/2006/relationships/image" Target="media/image320.png"/><Relationship Id="rId349" Type="http://schemas.openxmlformats.org/officeDocument/2006/relationships/image" Target="media/image321.png"/><Relationship Id="rId350" Type="http://schemas.openxmlformats.org/officeDocument/2006/relationships/image" Target="media/image322.png"/><Relationship Id="rId351" Type="http://schemas.openxmlformats.org/officeDocument/2006/relationships/image" Target="media/image323.png"/><Relationship Id="rId352" Type="http://schemas.openxmlformats.org/officeDocument/2006/relationships/image" Target="media/image324.png"/><Relationship Id="rId353" Type="http://schemas.openxmlformats.org/officeDocument/2006/relationships/image" Target="media/image325.png"/><Relationship Id="rId354" Type="http://schemas.openxmlformats.org/officeDocument/2006/relationships/image" Target="media/image326.png"/><Relationship Id="rId355" Type="http://schemas.openxmlformats.org/officeDocument/2006/relationships/image" Target="media/image327.png"/><Relationship Id="rId356" Type="http://schemas.openxmlformats.org/officeDocument/2006/relationships/image" Target="media/image328.png"/><Relationship Id="rId357" Type="http://schemas.openxmlformats.org/officeDocument/2006/relationships/image" Target="media/image329.png"/><Relationship Id="rId358" Type="http://schemas.openxmlformats.org/officeDocument/2006/relationships/image" Target="media/image330.png"/><Relationship Id="rId359" Type="http://schemas.openxmlformats.org/officeDocument/2006/relationships/image" Target="media/image331.png"/><Relationship Id="rId360" Type="http://schemas.openxmlformats.org/officeDocument/2006/relationships/image" Target="media/image332.png"/><Relationship Id="rId361" Type="http://schemas.openxmlformats.org/officeDocument/2006/relationships/image" Target="media/image333.png"/><Relationship Id="rId362" Type="http://schemas.openxmlformats.org/officeDocument/2006/relationships/image" Target="media/image334.png"/><Relationship Id="rId363" Type="http://schemas.openxmlformats.org/officeDocument/2006/relationships/image" Target="media/image335.png"/><Relationship Id="rId364" Type="http://schemas.openxmlformats.org/officeDocument/2006/relationships/image" Target="media/image336.png"/><Relationship Id="rId365" Type="http://schemas.openxmlformats.org/officeDocument/2006/relationships/image" Target="media/image337.png"/><Relationship Id="rId366" Type="http://schemas.openxmlformats.org/officeDocument/2006/relationships/image" Target="media/image338.png"/><Relationship Id="rId367" Type="http://schemas.openxmlformats.org/officeDocument/2006/relationships/image" Target="media/image339.png"/><Relationship Id="rId368" Type="http://schemas.openxmlformats.org/officeDocument/2006/relationships/image" Target="media/image340.png"/><Relationship Id="rId369" Type="http://schemas.openxmlformats.org/officeDocument/2006/relationships/image" Target="media/image341.png"/><Relationship Id="rId370" Type="http://schemas.openxmlformats.org/officeDocument/2006/relationships/image" Target="media/image342.png"/><Relationship Id="rId371" Type="http://schemas.openxmlformats.org/officeDocument/2006/relationships/image" Target="media/image343.png"/><Relationship Id="rId372" Type="http://schemas.openxmlformats.org/officeDocument/2006/relationships/image" Target="media/image344.png"/><Relationship Id="rId373" Type="http://schemas.openxmlformats.org/officeDocument/2006/relationships/image" Target="media/image345.png"/><Relationship Id="rId374" Type="http://schemas.openxmlformats.org/officeDocument/2006/relationships/image" Target="media/image346.png"/><Relationship Id="rId375" Type="http://schemas.openxmlformats.org/officeDocument/2006/relationships/image" Target="media/image347.png"/><Relationship Id="rId376" Type="http://schemas.openxmlformats.org/officeDocument/2006/relationships/image" Target="media/image348.png"/><Relationship Id="rId377" Type="http://schemas.openxmlformats.org/officeDocument/2006/relationships/image" Target="media/image349.png"/><Relationship Id="rId378" Type="http://schemas.openxmlformats.org/officeDocument/2006/relationships/image" Target="media/image350.png"/><Relationship Id="rId379" Type="http://schemas.openxmlformats.org/officeDocument/2006/relationships/image" Target="media/image351.png"/><Relationship Id="rId380" Type="http://schemas.openxmlformats.org/officeDocument/2006/relationships/image" Target="media/image352.png"/><Relationship Id="rId381" Type="http://schemas.openxmlformats.org/officeDocument/2006/relationships/image" Target="media/image353.png"/><Relationship Id="rId382" Type="http://schemas.openxmlformats.org/officeDocument/2006/relationships/image" Target="media/image354.png"/><Relationship Id="rId383" Type="http://schemas.openxmlformats.org/officeDocument/2006/relationships/image" Target="media/image355.png"/><Relationship Id="rId384" Type="http://schemas.openxmlformats.org/officeDocument/2006/relationships/image" Target="media/image356.png"/><Relationship Id="rId385" Type="http://schemas.openxmlformats.org/officeDocument/2006/relationships/image" Target="media/image357.png"/><Relationship Id="rId386" Type="http://schemas.openxmlformats.org/officeDocument/2006/relationships/image" Target="media/image358.png"/><Relationship Id="rId387" Type="http://schemas.openxmlformats.org/officeDocument/2006/relationships/image" Target="media/image359.png"/><Relationship Id="rId388" Type="http://schemas.openxmlformats.org/officeDocument/2006/relationships/image" Target="media/image360.png"/><Relationship Id="rId389" Type="http://schemas.openxmlformats.org/officeDocument/2006/relationships/image" Target="media/image361.png"/><Relationship Id="rId390" Type="http://schemas.openxmlformats.org/officeDocument/2006/relationships/image" Target="media/image362.png"/><Relationship Id="rId391" Type="http://schemas.openxmlformats.org/officeDocument/2006/relationships/image" Target="media/image363.png"/><Relationship Id="rId392" Type="http://schemas.openxmlformats.org/officeDocument/2006/relationships/image" Target="media/image364.png"/><Relationship Id="rId393" Type="http://schemas.openxmlformats.org/officeDocument/2006/relationships/image" Target="media/image365.png"/><Relationship Id="rId394" Type="http://schemas.openxmlformats.org/officeDocument/2006/relationships/image" Target="media/image366.png"/><Relationship Id="rId395" Type="http://schemas.openxmlformats.org/officeDocument/2006/relationships/image" Target="media/image367.png"/><Relationship Id="rId396" Type="http://schemas.openxmlformats.org/officeDocument/2006/relationships/image" Target="media/image368.png"/><Relationship Id="rId397" Type="http://schemas.openxmlformats.org/officeDocument/2006/relationships/image" Target="media/image369.png"/><Relationship Id="rId398" Type="http://schemas.openxmlformats.org/officeDocument/2006/relationships/image" Target="media/image370.png"/><Relationship Id="rId399" Type="http://schemas.openxmlformats.org/officeDocument/2006/relationships/image" Target="media/image371.png"/><Relationship Id="rId400" Type="http://schemas.openxmlformats.org/officeDocument/2006/relationships/image" Target="media/image372.png"/><Relationship Id="rId401" Type="http://schemas.openxmlformats.org/officeDocument/2006/relationships/image" Target="media/image373.png"/><Relationship Id="rId402" Type="http://schemas.openxmlformats.org/officeDocument/2006/relationships/image" Target="media/image374.png"/><Relationship Id="rId403" Type="http://schemas.openxmlformats.org/officeDocument/2006/relationships/image" Target="media/image375.png"/><Relationship Id="rId404" Type="http://schemas.openxmlformats.org/officeDocument/2006/relationships/image" Target="media/image376.png"/><Relationship Id="rId405" Type="http://schemas.openxmlformats.org/officeDocument/2006/relationships/image" Target="media/image377.png"/><Relationship Id="rId406" Type="http://schemas.openxmlformats.org/officeDocument/2006/relationships/image" Target="media/image378.png"/><Relationship Id="rId407" Type="http://schemas.openxmlformats.org/officeDocument/2006/relationships/image" Target="media/image379.png"/><Relationship Id="rId408" Type="http://schemas.openxmlformats.org/officeDocument/2006/relationships/image" Target="media/image380.png"/><Relationship Id="rId409" Type="http://schemas.openxmlformats.org/officeDocument/2006/relationships/image" Target="media/image381.png"/><Relationship Id="rId410" Type="http://schemas.openxmlformats.org/officeDocument/2006/relationships/image" Target="media/image382.png"/><Relationship Id="rId411" Type="http://schemas.openxmlformats.org/officeDocument/2006/relationships/image" Target="media/image383.png"/><Relationship Id="rId412" Type="http://schemas.openxmlformats.org/officeDocument/2006/relationships/image" Target="media/image384.png"/><Relationship Id="rId413" Type="http://schemas.openxmlformats.org/officeDocument/2006/relationships/image" Target="media/image385.png"/><Relationship Id="rId414" Type="http://schemas.openxmlformats.org/officeDocument/2006/relationships/image" Target="media/image386.png"/><Relationship Id="rId415" Type="http://schemas.openxmlformats.org/officeDocument/2006/relationships/image" Target="media/image387.png"/><Relationship Id="rId416" Type="http://schemas.openxmlformats.org/officeDocument/2006/relationships/image" Target="media/image388.png"/><Relationship Id="rId417" Type="http://schemas.openxmlformats.org/officeDocument/2006/relationships/image" Target="media/image389.png"/><Relationship Id="rId418" Type="http://schemas.openxmlformats.org/officeDocument/2006/relationships/image" Target="media/image390.png"/><Relationship Id="rId419" Type="http://schemas.openxmlformats.org/officeDocument/2006/relationships/image" Target="media/image391.png"/><Relationship Id="rId420" Type="http://schemas.openxmlformats.org/officeDocument/2006/relationships/image" Target="media/image392.png"/><Relationship Id="rId421" Type="http://schemas.openxmlformats.org/officeDocument/2006/relationships/image" Target="media/image393.png"/><Relationship Id="rId422" Type="http://schemas.openxmlformats.org/officeDocument/2006/relationships/image" Target="media/image394.png"/><Relationship Id="rId423" Type="http://schemas.openxmlformats.org/officeDocument/2006/relationships/image" Target="media/image395.png"/><Relationship Id="rId424" Type="http://schemas.openxmlformats.org/officeDocument/2006/relationships/image" Target="media/image396.png"/><Relationship Id="rId425" Type="http://schemas.openxmlformats.org/officeDocument/2006/relationships/image" Target="media/image397.png"/><Relationship Id="rId426" Type="http://schemas.openxmlformats.org/officeDocument/2006/relationships/image" Target="media/image398.png"/><Relationship Id="rId427" Type="http://schemas.openxmlformats.org/officeDocument/2006/relationships/image" Target="media/image399.png"/><Relationship Id="rId428" Type="http://schemas.openxmlformats.org/officeDocument/2006/relationships/image" Target="media/image400.png"/><Relationship Id="rId429" Type="http://schemas.openxmlformats.org/officeDocument/2006/relationships/image" Target="media/image401.png"/><Relationship Id="rId430" Type="http://schemas.openxmlformats.org/officeDocument/2006/relationships/image" Target="media/image402.png"/><Relationship Id="rId431" Type="http://schemas.openxmlformats.org/officeDocument/2006/relationships/image" Target="media/image403.png"/><Relationship Id="rId432" Type="http://schemas.openxmlformats.org/officeDocument/2006/relationships/image" Target="media/image404.png"/><Relationship Id="rId433" Type="http://schemas.openxmlformats.org/officeDocument/2006/relationships/image" Target="media/image405.png"/><Relationship Id="rId434" Type="http://schemas.openxmlformats.org/officeDocument/2006/relationships/image" Target="media/image406.png"/><Relationship Id="rId435" Type="http://schemas.openxmlformats.org/officeDocument/2006/relationships/image" Target="media/image407.png"/><Relationship Id="rId436" Type="http://schemas.openxmlformats.org/officeDocument/2006/relationships/image" Target="media/image408.png"/><Relationship Id="rId437" Type="http://schemas.openxmlformats.org/officeDocument/2006/relationships/image" Target="media/image409.png"/><Relationship Id="rId438" Type="http://schemas.openxmlformats.org/officeDocument/2006/relationships/image" Target="media/image410.png"/><Relationship Id="rId439" Type="http://schemas.openxmlformats.org/officeDocument/2006/relationships/image" Target="media/image411.png"/><Relationship Id="rId440" Type="http://schemas.openxmlformats.org/officeDocument/2006/relationships/image" Target="media/image412.png"/><Relationship Id="rId441" Type="http://schemas.openxmlformats.org/officeDocument/2006/relationships/image" Target="media/image413.png"/><Relationship Id="rId442" Type="http://schemas.openxmlformats.org/officeDocument/2006/relationships/image" Target="media/image414.png"/><Relationship Id="rId443" Type="http://schemas.openxmlformats.org/officeDocument/2006/relationships/image" Target="media/image415.png"/><Relationship Id="rId444" Type="http://schemas.openxmlformats.org/officeDocument/2006/relationships/image" Target="media/image416.png"/><Relationship Id="rId445" Type="http://schemas.openxmlformats.org/officeDocument/2006/relationships/image" Target="media/image417.png"/><Relationship Id="rId446" Type="http://schemas.openxmlformats.org/officeDocument/2006/relationships/image" Target="media/image418.png"/><Relationship Id="rId447" Type="http://schemas.openxmlformats.org/officeDocument/2006/relationships/image" Target="media/image419.png"/><Relationship Id="rId448" Type="http://schemas.openxmlformats.org/officeDocument/2006/relationships/image" Target="media/image420.png"/><Relationship Id="rId449" Type="http://schemas.openxmlformats.org/officeDocument/2006/relationships/image" Target="media/image421.png"/><Relationship Id="rId450" Type="http://schemas.openxmlformats.org/officeDocument/2006/relationships/image" Target="media/image422.png"/><Relationship Id="rId451" Type="http://schemas.openxmlformats.org/officeDocument/2006/relationships/image" Target="media/image423.png"/><Relationship Id="rId452" Type="http://schemas.openxmlformats.org/officeDocument/2006/relationships/image" Target="media/image424.png"/><Relationship Id="rId453" Type="http://schemas.openxmlformats.org/officeDocument/2006/relationships/image" Target="media/image425.png"/><Relationship Id="rId454" Type="http://schemas.openxmlformats.org/officeDocument/2006/relationships/image" Target="media/image426.png"/><Relationship Id="rId455" Type="http://schemas.openxmlformats.org/officeDocument/2006/relationships/image" Target="media/image427.png"/><Relationship Id="rId456" Type="http://schemas.openxmlformats.org/officeDocument/2006/relationships/image" Target="media/image428.png"/><Relationship Id="rId457" Type="http://schemas.openxmlformats.org/officeDocument/2006/relationships/image" Target="media/image429.png"/><Relationship Id="rId458" Type="http://schemas.openxmlformats.org/officeDocument/2006/relationships/image" Target="media/image430.png"/><Relationship Id="rId459" Type="http://schemas.openxmlformats.org/officeDocument/2006/relationships/image" Target="media/image431.png"/><Relationship Id="rId460" Type="http://schemas.openxmlformats.org/officeDocument/2006/relationships/image" Target="media/image432.png"/><Relationship Id="rId461" Type="http://schemas.openxmlformats.org/officeDocument/2006/relationships/image" Target="media/image433.png"/><Relationship Id="rId462" Type="http://schemas.openxmlformats.org/officeDocument/2006/relationships/image" Target="media/image434.png"/><Relationship Id="rId463" Type="http://schemas.openxmlformats.org/officeDocument/2006/relationships/image" Target="media/image435.png"/><Relationship Id="rId464" Type="http://schemas.openxmlformats.org/officeDocument/2006/relationships/image" Target="media/image436.png"/><Relationship Id="rId465" Type="http://schemas.openxmlformats.org/officeDocument/2006/relationships/image" Target="media/image437.png"/><Relationship Id="rId466" Type="http://schemas.openxmlformats.org/officeDocument/2006/relationships/image" Target="media/image438.png"/><Relationship Id="rId467" Type="http://schemas.openxmlformats.org/officeDocument/2006/relationships/image" Target="media/image439.png"/><Relationship Id="rId468" Type="http://schemas.openxmlformats.org/officeDocument/2006/relationships/image" Target="media/image440.png"/><Relationship Id="rId469" Type="http://schemas.openxmlformats.org/officeDocument/2006/relationships/image" Target="media/image441.png"/><Relationship Id="rId470" Type="http://schemas.openxmlformats.org/officeDocument/2006/relationships/image" Target="media/image442.png"/><Relationship Id="rId471" Type="http://schemas.openxmlformats.org/officeDocument/2006/relationships/image" Target="media/image443.png"/><Relationship Id="rId472" Type="http://schemas.openxmlformats.org/officeDocument/2006/relationships/image" Target="media/image444.png"/><Relationship Id="rId473" Type="http://schemas.openxmlformats.org/officeDocument/2006/relationships/image" Target="media/image445.png"/><Relationship Id="rId474" Type="http://schemas.openxmlformats.org/officeDocument/2006/relationships/image" Target="media/image446.png"/><Relationship Id="rId475" Type="http://schemas.openxmlformats.org/officeDocument/2006/relationships/image" Target="media/image447.png"/><Relationship Id="rId476" Type="http://schemas.openxmlformats.org/officeDocument/2006/relationships/image" Target="media/image448.png"/><Relationship Id="rId477" Type="http://schemas.openxmlformats.org/officeDocument/2006/relationships/image" Target="media/image449.png"/><Relationship Id="rId478" Type="http://schemas.openxmlformats.org/officeDocument/2006/relationships/image" Target="media/image450.png"/><Relationship Id="rId479" Type="http://schemas.openxmlformats.org/officeDocument/2006/relationships/image" Target="media/image451.png"/><Relationship Id="rId480" Type="http://schemas.openxmlformats.org/officeDocument/2006/relationships/image" Target="media/image452.png"/><Relationship Id="rId481" Type="http://schemas.openxmlformats.org/officeDocument/2006/relationships/image" Target="media/image453.png"/><Relationship Id="rId482" Type="http://schemas.openxmlformats.org/officeDocument/2006/relationships/image" Target="media/image454.png"/><Relationship Id="rId483" Type="http://schemas.openxmlformats.org/officeDocument/2006/relationships/image" Target="media/image455.png"/><Relationship Id="rId484" Type="http://schemas.openxmlformats.org/officeDocument/2006/relationships/image" Target="media/image456.png"/><Relationship Id="rId485" Type="http://schemas.openxmlformats.org/officeDocument/2006/relationships/image" Target="media/image457.png"/><Relationship Id="rId486" Type="http://schemas.openxmlformats.org/officeDocument/2006/relationships/image" Target="media/image458.png"/><Relationship Id="rId487" Type="http://schemas.openxmlformats.org/officeDocument/2006/relationships/image" Target="media/image459.png"/><Relationship Id="rId488" Type="http://schemas.openxmlformats.org/officeDocument/2006/relationships/image" Target="media/image460.png"/><Relationship Id="rId489" Type="http://schemas.openxmlformats.org/officeDocument/2006/relationships/image" Target="media/image461.png"/><Relationship Id="rId490" Type="http://schemas.openxmlformats.org/officeDocument/2006/relationships/image" Target="media/image462.png"/><Relationship Id="rId491" Type="http://schemas.openxmlformats.org/officeDocument/2006/relationships/image" Target="media/image463.png"/><Relationship Id="rId492" Type="http://schemas.openxmlformats.org/officeDocument/2006/relationships/image" Target="media/image464.png"/><Relationship Id="rId493" Type="http://schemas.openxmlformats.org/officeDocument/2006/relationships/image" Target="media/image465.png"/><Relationship Id="rId494" Type="http://schemas.openxmlformats.org/officeDocument/2006/relationships/image" Target="media/image466.png"/><Relationship Id="rId495" Type="http://schemas.openxmlformats.org/officeDocument/2006/relationships/image" Target="media/image467.png"/><Relationship Id="rId496" Type="http://schemas.openxmlformats.org/officeDocument/2006/relationships/image" Target="media/image468.png"/><Relationship Id="rId497" Type="http://schemas.openxmlformats.org/officeDocument/2006/relationships/image" Target="media/image469.png"/><Relationship Id="rId498" Type="http://schemas.openxmlformats.org/officeDocument/2006/relationships/image" Target="media/image470.png"/><Relationship Id="rId499" Type="http://schemas.openxmlformats.org/officeDocument/2006/relationships/image" Target="media/image471.png"/><Relationship Id="rId175" Type="http://schemas.openxmlformats.org/officeDocument/2006/relationships/hyperlink" Target="https://www.sec.gov/Archives/edgar/data/1845337/000095017023039118/dawn-ex3_1.htm" TargetMode="External"/><Relationship Id="rId176" Type="http://schemas.openxmlformats.org/officeDocument/2006/relationships/hyperlink" Target="https://www.sec.gov/Archives/edgar/data/1845337/000119312523046522/d467705dex31.htm" TargetMode="External"/><Relationship Id="rId177" Type="http://schemas.openxmlformats.org/officeDocument/2006/relationships/hyperlink" Target="https://www.sec.gov/Archives/edgar/data/1845337/000095017022002959/dawn-ex3_3.htm" TargetMode="External"/><Relationship Id="rId178" Type="http://schemas.openxmlformats.org/officeDocument/2006/relationships/hyperlink" Target="https://www.sec.gov/Archives/edgar/data/1845337/000119312521169895/d155073dex41.htm" TargetMode="External"/><Relationship Id="rId179" Type="http://schemas.openxmlformats.org/officeDocument/2006/relationships/hyperlink" Target="https://www.sec.gov/Archives/edgar/data/1845337/000119312521150017/d155073dex42.htm" TargetMode="External"/><Relationship Id="rId180" Type="http://schemas.openxmlformats.org/officeDocument/2006/relationships/hyperlink" Target="https://www.sec.gov/Archives/edgar/data/1845337/000119312524188235/d527155dex41.htm" TargetMode="External"/><Relationship Id="rId181" Type="http://schemas.openxmlformats.org/officeDocument/2006/relationships/hyperlink" Target="https://www.sec.gov/Archives/edgar/data/1845337/000119312524188235/d527155dex102.htm" TargetMode="External"/><Relationship Id="rId182" Type="http://schemas.openxmlformats.org/officeDocument/2006/relationships/hyperlink" Target="https://www.sec.gov/Archives/edgar/data/1845337/000095017022002959/dawn-ex4_3.htm" TargetMode="External"/><Relationship Id="rId183" Type="http://schemas.openxmlformats.org/officeDocument/2006/relationships/hyperlink" Target="https://www.sec.gov/Archives/edgar/data/1845337/000119312521150017/d155073dex101.htm" TargetMode="External"/><Relationship Id="rId184" Type="http://schemas.openxmlformats.org/officeDocument/2006/relationships/hyperlink" Target="https://www.sec.gov/Archives/edgar/data/1845337/000095017022002959/dawn-ex10_2.htm" TargetMode="External"/><Relationship Id="rId185" Type="http://schemas.openxmlformats.org/officeDocument/2006/relationships/hyperlink" Target="https://www.sec.gov/Archives/edgar/data/1845337/000119312524002434/d698978dex991.htm" TargetMode="External"/><Relationship Id="rId188" Type="http://schemas.openxmlformats.org/officeDocument/2006/relationships/hyperlink" Target="https://www.sec.gov/Archives/edgar/data/1845337/000119312524002434/d698978dex992.htm" TargetMode="External"/><Relationship Id="rId189" Type="http://schemas.openxmlformats.org/officeDocument/2006/relationships/hyperlink" Target="https://www.sec.gov/Archives/edgar/data/1845337/000119312522273901/d387617dex991.htm" TargetMode="External"/><Relationship Id="rId190" Type="http://schemas.openxmlformats.org/officeDocument/2006/relationships/hyperlink" Target="https://www.sec.gov/Archives/edgar/data/1845337/000119312521150017/d155073dex105.htm" TargetMode="External"/><Relationship Id="rId191" Type="http://schemas.openxmlformats.org/officeDocument/2006/relationships/hyperlink" Target="https://www.sec.gov/Archives/edgar/data/1845337/000119312521150017/d155073dex106.htm" TargetMode="External"/><Relationship Id="rId192" Type="http://schemas.openxmlformats.org/officeDocument/2006/relationships/hyperlink" Target="https://www.sec.gov/Archives/edgar/data/1845337/000119312521150017/d155073dex107.htm" TargetMode="External"/><Relationship Id="rId193" Type="http://schemas.openxmlformats.org/officeDocument/2006/relationships/hyperlink" Target="https://www.sec.gov/Archives/edgar/data/1845337/000119312521150017/d155073dex108.htm" TargetMode="External"/><Relationship Id="rId194" Type="http://schemas.openxmlformats.org/officeDocument/2006/relationships/hyperlink" Target="https://www.sec.gov/Archives/edgar/data/1845337/000119312524062203/d764767dex101.htm" TargetMode="External"/><Relationship Id="rId195" Type="http://schemas.openxmlformats.org/officeDocument/2006/relationships/hyperlink" Target="https://www.sec.gov/Archives/edgar/data/1845337/000095017024089945/dawn-ex10_1.htm" TargetMode="External"/><Relationship Id="rId196" Type="http://schemas.openxmlformats.org/officeDocument/2006/relationships/hyperlink" Target="https://www.sec.gov/Archives/edgar/data/1845337/000095017024089945/dawn-ex10_2.htm" TargetMode="External"/><Relationship Id="rId197" Type="http://schemas.openxmlformats.org/officeDocument/2006/relationships/hyperlink" Target="https://www.sec.gov/Archives/edgar/data/1845337/000095017024118958/dawn-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2025-02-25T15:46:42Z</dcterms:created>
  <dcterms:modified xsi:type="dcterms:W3CDTF">2025-02-25T15:46:42Z</dcterms:modified>
</cp:coreProperties>
</file>