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awn-20250930.htm"/>
      <w:bookmarkStart w:id="1" w:name="ksdawn20250930"/>
      <w:bookmarkEnd w:id="0"/>
      <w:bookmarkEnd w:id="1"/>
      <w:r>
        <w:rPr/>
        <w:t> </w:t>
      </w:r>
    </w:p>
    <w:p>
      <w:pPr>
        <w:pStyle w:val="TextBody"/>
        <w:pBdr>
          <w:top w:val="double" w:sz="6" w:space="1" w:color="000000"/>
        </w:pBdr>
        <w:bidi w:val="0"/>
        <w:jc w:val="center"/>
        <w:rPr>
          <w:rFonts w:ascii="Times New Roman" w:hAnsi="Times New Roman"/>
          <w:b/>
          <w:color w:val="000000"/>
          <w:sz w:val="2"/>
        </w:rPr>
      </w:pPr>
      <w:r>
        <w:rPr>
          <w:rFonts w:ascii="Times New Roman" w:hAnsi="Times New Roman"/>
          <w:b/>
          <w:color w:val="000000"/>
          <w:sz w:val="2"/>
        </w:rPr>
        <w:t>f</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 September 30, 2025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001-40431</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6"/>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217" w:type="dxa"/>
        <w:jc w:val="left"/>
        <w:tblInd w:w="0" w:type="dxa"/>
        <w:tblLayout w:type="fixed"/>
        <w:tblCellMar>
          <w:top w:w="28" w:type="dxa"/>
          <w:left w:w="28" w:type="dxa"/>
          <w:bottom w:w="28" w:type="dxa"/>
          <w:right w:w="28" w:type="dxa"/>
        </w:tblCellMar>
      </w:tblPr>
      <w:tblGrid>
        <w:gridCol w:w="2971"/>
        <w:gridCol w:w="1246"/>
      </w:tblGrid>
      <w:tr>
        <w:trPr/>
        <w:tc>
          <w:tcPr>
            <w:tcW w:w="29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83-2415215</w:t>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1800 Sierra Point Parkway, Suite 200</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Brisbane,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94005</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(650) 484-0899</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w:t>
      </w:r>
    </w:p>
    <w:p>
      <w:pPr>
        <w:pStyle w:val="TextBody"/>
        <w:bidi w:val="0"/>
        <w:jc w:val="center"/>
        <w:rPr>
          <w:rFonts w:ascii="Times New Roman" w:hAnsi="Times New Roman"/>
          <w:sz w:val="20"/>
        </w:rPr>
      </w:pPr>
      <w:r>
        <w:rPr>
          <w:rFonts w:ascii="Times New Roman" w:hAnsi="Times New Roman"/>
          <w:b/>
          <w:color w:val="000000"/>
          <w:sz w:val="14"/>
        </w:rPr>
        <w:t>(Former name, former address and former fiscal year, if changed since last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308" w:type="dxa"/>
        <w:jc w:val="left"/>
        <w:tblInd w:w="0" w:type="dxa"/>
        <w:tblLayout w:type="fixed"/>
        <w:tblCellMar>
          <w:top w:w="28" w:type="dxa"/>
          <w:left w:w="28" w:type="dxa"/>
          <w:bottom w:w="28" w:type="dxa"/>
          <w:right w:w="28" w:type="dxa"/>
        </w:tblCellMar>
      </w:tblPr>
      <w:tblGrid>
        <w:gridCol w:w="3526"/>
        <w:gridCol w:w="1081"/>
        <w:gridCol w:w="2701"/>
      </w:tblGrid>
      <w:tr>
        <w:trPr/>
        <w:tc>
          <w:tcPr>
            <w:tcW w:w="35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DAWN</w:t>
            </w:r>
          </w:p>
        </w:tc>
        <w:tc>
          <w:tcPr>
            <w:tcW w:w="270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October 31, 2025, the registrant had 102,675,502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OJEMDA (tovorafenib) and our product candidates, potential therapeutic benefits and economic value of OJEMDA and our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government shutdowns, cybersecurity incidents, significant political or regulatory developments or changes in tax or trade policy, including tariffs, shifting priorities within the U.S. Food and Drug Administration and reduced funding to federal healthcare programs,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a number of risks, uncertainties and assumptions, including those described in Part II,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indicates otherwise, as used in this Quarterly Report on Form 10-Q, the terms “Day One,” “the Company,” “we,” “us,” and “our” refer to Day One Biopharmaceuticals, Inc., a Delaware corporation unless otherwise noted. “Day One” and all product and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948" w:type="dxa"/>
        <w:jc w:val="left"/>
        <w:tblInd w:w="0" w:type="dxa"/>
        <w:tblLayout w:type="fixed"/>
        <w:tblCellMar>
          <w:top w:w="28" w:type="dxa"/>
          <w:left w:w="28" w:type="dxa"/>
          <w:bottom w:w="28" w:type="dxa"/>
          <w:right w:w="28" w:type="dxa"/>
        </w:tblCellMar>
      </w:tblPr>
      <w:tblGrid>
        <w:gridCol w:w="1126"/>
        <w:gridCol w:w="8251"/>
        <w:gridCol w:w="571"/>
      </w:tblGrid>
      <w:tr>
        <w:trPr/>
        <w:tc>
          <w:tcPr>
            <w:tcW w:w="112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
              <w:r>
                <w:rPr>
                  <w:rStyle w:val="InternetLink"/>
                  <w:rFonts w:ascii="Times New Roman" w:hAnsi="Times New Roman"/>
                  <w:color w:val="0000FF"/>
                  <w:sz w:val="20"/>
                  <w:u w:val="single"/>
                </w:rPr>
                <w:t>FINANCIAL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2">
              <w:r>
                <w:rPr>
                  <w:rStyle w:val="InternetLink"/>
                  <w:rFonts w:ascii="Times New Roman" w:hAnsi="Times New Roman"/>
                  <w:color w:val="0000FF"/>
                  <w:sz w:val="20"/>
                  <w:u w:val="single"/>
                </w:rPr>
                <w:t>Interim Condensed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3">
              <w:r>
                <w:rPr>
                  <w:rStyle w:val="InternetLink"/>
                  <w:rFonts w:ascii="Times New Roman" w:hAnsi="Times New Roman"/>
                  <w:color w:val="0000FF"/>
                  <w:sz w:val="20"/>
                  <w:u w:val="single"/>
                </w:rPr>
                <w:t>Condensed Balance Sheets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4">
              <w:r>
                <w:rPr>
                  <w:rStyle w:val="InternetLink"/>
                  <w:rFonts w:ascii="Times New Roman" w:hAnsi="Times New Roman"/>
                  <w:color w:val="0000FF"/>
                  <w:sz w:val="20"/>
                  <w:u w:val="single"/>
                </w:rPr>
                <w:t>Condensed Statements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ocl">
              <w:r>
                <w:rPr>
                  <w:rStyle w:val="InternetLink"/>
                  <w:rFonts w:ascii="Times New Roman" w:hAnsi="Times New Roman"/>
                  <w:color w:val="0000FF"/>
                  <w:sz w:val="20"/>
                  <w:u w:val="single"/>
                </w:rPr>
                <w:t>Condensed Statements of Comprehensive Loss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6">
              <w:r>
                <w:rPr>
                  <w:rStyle w:val="InternetLink"/>
                  <w:rFonts w:ascii="Times New Roman" w:hAnsi="Times New Roman"/>
                  <w:color w:val="0000FF"/>
                  <w:sz w:val="20"/>
                  <w:u w:val="single"/>
                </w:rPr>
                <w:t>Condensed Statements of Stockholders’ Equity</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7">
              <w:r>
                <w:rPr>
                  <w:rStyle w:val="InternetLink"/>
                  <w:rFonts w:ascii="Times New Roman" w:hAnsi="Times New Roman"/>
                  <w:color w:val="0000FF"/>
                  <w:sz w:val="20"/>
                  <w:u w:val="single"/>
                </w:rPr>
                <w:t>Condensed Statements of Cash Flows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8">
              <w:r>
                <w:rPr>
                  <w:rStyle w:val="InternetLink"/>
                  <w:rFonts w:ascii="Times New Roman" w:hAnsi="Times New Roman"/>
                  <w:color w:val="0000FF"/>
                  <w:sz w:val="20"/>
                  <w:u w:val="single"/>
                </w:rPr>
                <w:t>Notes to Condensed Financial Statements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9">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0">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1">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5">
              <w:r>
                <w:rPr>
                  <w:rStyle w:val="InternetLink"/>
                  <w:rFonts w:ascii="Times New Roman" w:hAnsi="Times New Roman"/>
                  <w:color w:val="0000FF"/>
                  <w:sz w:val="20"/>
                  <w:u w:val="single"/>
                </w:rPr>
                <w:t>Unregistered Sales of Equity Securities, Use of Proceeds, and Issuer Purchases of Equity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98</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6">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98</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7">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98</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8">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98</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9">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99</w:t>
            </w:r>
          </w:p>
        </w:tc>
      </w:tr>
      <w:tr>
        <w:trPr/>
        <w:tc>
          <w:tcPr>
            <w:tcW w:w="9377" w:type="dxa"/>
            <w:gridSpan w:val="2"/>
            <w:tcBorders/>
            <w:tcMar>
              <w:top w:w="0" w:type="dxa"/>
              <w:left w:w="0" w:type="dxa"/>
              <w:bottom w:w="0" w:type="dxa"/>
              <w:right w:w="0" w:type="dxa"/>
            </w:tcMar>
            <w:vAlign w:val="center"/>
          </w:tcPr>
          <w:p>
            <w:pPr>
              <w:pStyle w:val="TableContents"/>
              <w:bidi w:val="0"/>
              <w:spacing w:before="0" w:after="283"/>
              <w:jc w:val="left"/>
              <w:rPr/>
            </w:pPr>
            <w:hyperlink w:anchor="tx180355_20">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x180355_1"/>
      <w:bookmarkEnd w:id="2"/>
      <w:r>
        <w:rPr>
          <w:rFonts w:ascii="Times New Roman" w:hAnsi="Times New Roman"/>
          <w:b/>
          <w:caps/>
          <w:color w:val="000000"/>
          <w:sz w:val="20"/>
        </w:rPr>
        <w:t>PART I-FINANCIAL INFORMATION</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3" w:name="tx180355_2"/>
      <w:bookmarkStart w:id="4" w:name="tx180355_3"/>
      <w:bookmarkEnd w:id="3"/>
      <w:bookmarkEnd w:id="4"/>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91"/>
        <w:gridCol w:w="146"/>
        <w:gridCol w:w="207"/>
        <w:gridCol w:w="874"/>
        <w:gridCol w:w="166"/>
        <w:gridCol w:w="146"/>
        <w:gridCol w:w="203"/>
        <w:gridCol w:w="858"/>
        <w:gridCol w:w="514"/>
      </w:tblGrid>
      <w:tr>
        <w:trPr/>
        <w:tc>
          <w:tcPr>
            <w:tcW w:w="7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124,968</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406,752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3,321</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13,413</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562,330</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15,630</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582,788</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68,625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73,451</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80,037</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500,000,000</w:t>
            </w:r>
            <w:r>
              <w:rPr>
                <w:rFonts w:ascii="Times New Roman" w:hAnsi="Times New Roman"/>
                <w:color w:val="000000"/>
                <w:sz w:val="20"/>
              </w:rPr>
              <w:t> </w:t>
            </w:r>
            <w:r>
              <w:rPr>
                <w:rFonts w:ascii="Times New Roman" w:hAnsi="Times New Roman"/>
                <w:color w:val="000000"/>
                <w:sz w:val="18"/>
              </w:rPr>
              <w:t>shares authorized as of September 30, 2025 and December 31, 2024; 102,675,502</w:t>
            </w:r>
            <w:r>
              <w:rPr>
                <w:rFonts w:ascii="Times New Roman" w:hAnsi="Times New Roman"/>
                <w:color w:val="000000"/>
                <w:sz w:val="20"/>
              </w:rPr>
              <w:t> </w:t>
            </w:r>
            <w:r>
              <w:rPr>
                <w:rFonts w:ascii="Times New Roman" w:hAnsi="Times New Roman"/>
                <w:color w:val="000000"/>
                <w:sz w:val="18"/>
              </w:rPr>
              <w:t>and 101,116,162</w:t>
            </w:r>
            <w:r>
              <w:rPr>
                <w:rFonts w:ascii="Times New Roman" w:hAnsi="Times New Roman"/>
                <w:color w:val="000000"/>
                <w:sz w:val="20"/>
              </w:rPr>
              <w:t> </w:t>
            </w:r>
            <w:r>
              <w:rPr>
                <w:rFonts w:ascii="Times New Roman" w:hAnsi="Times New Roman"/>
                <w:color w:val="000000"/>
                <w:sz w:val="18"/>
              </w:rPr>
              <w:t>shares issued and outstanding 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1,056,738</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(554,081</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502,751</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582,788</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color w:val="000000"/>
          <w:sz w:val="2"/>
        </w:rPr>
        <w:t>4</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tx180355_4"/>
      <w:bookmarkEnd w:id="5"/>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196"/>
        <w:gridCol w:w="1006"/>
        <w:gridCol w:w="166"/>
        <w:gridCol w:w="146"/>
        <w:gridCol w:w="196"/>
        <w:gridCol w:w="916"/>
        <w:gridCol w:w="146"/>
        <w:gridCol w:w="146"/>
        <w:gridCol w:w="196"/>
        <w:gridCol w:w="1006"/>
        <w:gridCol w:w="166"/>
        <w:gridCol w:w="146"/>
        <w:gridCol w:w="196"/>
        <w:gridCol w:w="916"/>
        <w:gridCol w:w="59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product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253,891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sale of priority review voucher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in net (loss) income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103,381,315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96,623,123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103,056,046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90,164,895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in net (loss) income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103,381,315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96,937,759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103,056,046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90,164,895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ocl"/>
      <w:bookmarkEnd w:id="6"/>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692" w:type="dxa"/>
        <w:jc w:val="left"/>
        <w:tblInd w:w="0" w:type="dxa"/>
        <w:tblLayout w:type="fixed"/>
        <w:tblCellMar>
          <w:top w:w="28" w:type="dxa"/>
          <w:left w:w="28" w:type="dxa"/>
          <w:bottom w:w="28" w:type="dxa"/>
          <w:right w:w="28" w:type="dxa"/>
        </w:tblCellMar>
      </w:tblPr>
      <w:tblGrid>
        <w:gridCol w:w="3971"/>
        <w:gridCol w:w="146"/>
        <w:gridCol w:w="196"/>
        <w:gridCol w:w="661"/>
        <w:gridCol w:w="166"/>
        <w:gridCol w:w="146"/>
        <w:gridCol w:w="196"/>
        <w:gridCol w:w="601"/>
        <w:gridCol w:w="146"/>
        <w:gridCol w:w="146"/>
        <w:gridCol w:w="196"/>
        <w:gridCol w:w="661"/>
        <w:gridCol w:w="166"/>
        <w:gridCol w:w="146"/>
        <w:gridCol w:w="196"/>
        <w:gridCol w:w="661"/>
        <w:gridCol w:w="291"/>
      </w:tblGrid>
      <w:tr>
        <w:trP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gain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tx180355_6"/>
      <w:bookmarkEnd w:id="7"/>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83"/>
        <w:gridCol w:w="146"/>
        <w:gridCol w:w="146"/>
        <w:gridCol w:w="1006"/>
        <w:gridCol w:w="166"/>
        <w:gridCol w:w="146"/>
        <w:gridCol w:w="271"/>
        <w:gridCol w:w="480"/>
        <w:gridCol w:w="146"/>
        <w:gridCol w:w="146"/>
        <w:gridCol w:w="200"/>
        <w:gridCol w:w="847"/>
        <w:gridCol w:w="146"/>
        <w:gridCol w:w="146"/>
        <w:gridCol w:w="525"/>
        <w:gridCol w:w="885"/>
        <w:gridCol w:w="166"/>
        <w:gridCol w:w="146"/>
        <w:gridCol w:w="233"/>
        <w:gridCol w:w="893"/>
        <w:gridCol w:w="166"/>
        <w:gridCol w:w="146"/>
        <w:gridCol w:w="255"/>
        <w:gridCol w:w="901"/>
        <w:gridCol w:w="214"/>
      </w:tblGrid>
      <w:tr>
        <w:trPr/>
        <w:tc>
          <w:tcPr>
            <w:tcW w:w="1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101,116,162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502,751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102,431,933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460,834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102,675,502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1,090,914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450,868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8"/>
        <w:gridCol w:w="146"/>
        <w:gridCol w:w="146"/>
        <w:gridCol w:w="1006"/>
        <w:gridCol w:w="166"/>
        <w:gridCol w:w="146"/>
        <w:gridCol w:w="271"/>
        <w:gridCol w:w="480"/>
        <w:gridCol w:w="146"/>
        <w:gridCol w:w="146"/>
        <w:gridCol w:w="199"/>
        <w:gridCol w:w="839"/>
        <w:gridCol w:w="146"/>
        <w:gridCol w:w="146"/>
        <w:gridCol w:w="602"/>
        <w:gridCol w:w="769"/>
        <w:gridCol w:w="166"/>
        <w:gridCol w:w="146"/>
        <w:gridCol w:w="233"/>
        <w:gridCol w:w="893"/>
        <w:gridCol w:w="166"/>
        <w:gridCol w:w="146"/>
        <w:gridCol w:w="251"/>
        <w:gridCol w:w="888"/>
        <w:gridCol w:w="214"/>
      </w:tblGrid>
      <w:tr>
        <w:trPr/>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87,227,132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346,540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296,806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87,692,916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306,731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 with private placement, net of placement agent fees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prefunded warrants to purchase common stock in connection with private placement,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100,810,357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555,463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tx180355_7"/>
      <w:bookmarkEnd w:id="8"/>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042"/>
        <w:gridCol w:w="146"/>
        <w:gridCol w:w="196"/>
        <w:gridCol w:w="751"/>
        <w:gridCol w:w="166"/>
        <w:gridCol w:w="146"/>
        <w:gridCol w:w="196"/>
        <w:gridCol w:w="751"/>
        <w:gridCol w:w="8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Acquired in-process research and development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37,228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discounts on short-term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operating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sale of priority review voucher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purchase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(383,395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maturity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307,482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priority review voucher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acquired in-process research and development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38,646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in connection with private placement, net of placement agent fees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prefunded warrants to purchase common stock in connection with private placement,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Employee Stock Purchase Plan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201,440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191,981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230,784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422,765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not yet paid for acquired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offering costs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tx180355_8"/>
      <w:bookmarkEnd w:id="9"/>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Notes to the Condensed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Organization </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is a biopharmaceutical company dedicated to developing and commercializing targeted therapies for people of all ages with life-threatening diseases. The Company was founded in November 2018 and is headquartered in Brisbane, 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unaudited condensed financial statements have been prepared in accordance with accounting principles generally accepted in the United States, or U.S. GAAP, for interim financial information and Article 10 of Regulation S-X of the Securities and Exchange Commission, or SEC, and should be read in conjunction with the Company's financial statements and notes thereto contained in the Company's Annual Report on Form 10-K for the year ended December 31, 2024, filed with the SEC on February 25, 2025. The condensed financial statements presented in this Quarterly Report on Form 10-Q are unaudited; however, in the opinion of management, such financial statements reflect all adjustments, consisting solely of normal recurring adjustments, necessary for a fair statement of the results for the interim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GAAP as found in Accounting Standards Codification, or ASC, and Accounting Standards Updates, or ASU, of the Financial Accounting Standards Board, or FASB.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in the Notes to the Condensed Financial Statements have been reclassified to conform to the current period's presentation. These reclassifications did not affect the prior period's total assets, liabilities, stockholders' equity, net loss or cash flows. Specifically, the reclassifications separately present accrued rebates, accrued royalties and accrued federal and state taxes within Note 5.</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financial statements in conformity with U.S. GAAP requires management to make estimates and assumptions that affect the reported amounts of assets, liabilities and disclosure of contingent assets and liabilities at the date of the condensed financial statements, and the reported amounts of expenses during the reporting period. Estimates and assumptions made in the accompanying condensed financial statements include, but are not limited to, accruals for research and development expenses, variable consideration and other relevant inputs impacting the gross and net revenue recognition, the valuation of share-based awards, and the valuation of deferred tax assets. The Company bases its estimates on historical experience and on various other assumptions that are believed to be reasonable. Actual results may differ from those estimates or assumptions.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significant concentrations of credit risk consist primarily of cash, cash equivalents, short-term investments, and accounts receivable.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non-United States government or government backed issuer, which limits its exposure. The Company has not experienced any losses on its cash, cash equivalents and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September 30, 2025, two individual customers accounted for 98.6% of total net product revenue, with these individual customers representing 74.0% and 24.6% of the Company's total net product revenue. For the nine months ended September 30, 2025, two individual customers accounted for 98.3% of total net product revenue, with these individual customers representing 66.4% and 31.9% of the Company's total net product revenue. As of September 30, 2025, two customers accounted for 91.7% of the accounts receivable balance, with these individual customers representing 68.5% and 23.2% of the accounts receivable balance. No other individual customers account for more than 10.0% of net product revenue or accounts receivable. The Company monitors the financial condition of its customers so that it can appropriately respond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their creditworthiness. To date, the Company has not experienced any losses with respect to the collection of its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dependent on third-party manufacturers to supply products for commercial and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 Improvements to Income Tax Disclosures,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which requires disclosure, in the notes to financial statements, of specified information about certain costs and expenses at each interim and annual reporting period. The ASU is effective for fiscal years beginning after December 15, 2026 and allows for adoption on a prospective basis, with a retrospective option. Early adoption is permitted. The Company is currently evaluating the effect of this update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Recurring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Company’s financial instruments as of September 30, 2025 and December 31, 2024, which are measured at fair value on a recurring basis by level within the fair value hierarchy (in thousands):</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money market funds are classified as Level 1 because they are measured using observable inputs from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assets or liabilities classified as Level 3 as of September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 1, Level 2 or Level 3 categories during the periods presented.</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estimated fair value of the Company's cash equivalents, available-for-sale securities classified as short-term investments, and associated unrealized gains and losses (in thousands):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449"/>
        <w:gridCol w:w="901"/>
        <w:gridCol w:w="146"/>
        <w:gridCol w:w="146"/>
        <w:gridCol w:w="495"/>
        <w:gridCol w:w="885"/>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408,303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495"/>
        <w:gridCol w:w="885"/>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maturities of our cash equivalents and available-for-sale securities (in thousands):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reviews the changes to the rating of its securities and monitors the surrounding economic conditions to assess the risk of expected credit losses. As of September 30, 2025 and December 31, 2024, there were no securities that were in an unrealized loss position for more than 12 months. As of September 30, 2025, the unrealized losses on the Company’s short-term investments were primarily caused by interest rate changes.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tbl>
      <w:tblPr>
        <w:tblW w:w="4320" w:type="dxa"/>
        <w:jc w:val="left"/>
        <w:tblInd w:w="0" w:type="dxa"/>
        <w:tblLayout w:type="fixed"/>
        <w:tblCellMar>
          <w:top w:w="28" w:type="dxa"/>
          <w:left w:w="28" w:type="dxa"/>
          <w:bottom w:w="28" w:type="dxa"/>
          <w:right w:w="28" w:type="dxa"/>
        </w:tblCellMar>
      </w:tblPr>
      <w:tblGrid>
        <w:gridCol w:w="1456"/>
        <w:gridCol w:w="146"/>
        <w:gridCol w:w="307"/>
        <w:gridCol w:w="833"/>
        <w:gridCol w:w="146"/>
        <w:gridCol w:w="146"/>
        <w:gridCol w:w="294"/>
        <w:gridCol w:w="80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began capitalizing inventory for OJEMDA upon approval by the U.S. Food and Drug Administration, or FDA, in April 2024. Prior to regulatory approval, all direct and indirect manufacturing costs were charged to research and development expense in the period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comprised of work-in-process and finished goods, and includes costs related to third-party contract manufacturing, packaging, freight-in and overhead. Inventory is stated at the lower of cost or net realizable value with cost based on the first-in-first-out method. Raw and intermediate materials that may be used for either research and development or commercial purposes where the intended use is not yet known are classified as inventory until the material is consumed or otherwise allocated for research and development. If the material is used or otherwise allocated for research and development, it is expensed as research and development in the period that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and license revenue. The determination of whether inventory costs will be realizable requires estimates by management. If actual market conditions are less favorable than projected by management, additional write-downs of inventory may be required, which would be recorded as a cost of product and license revenue in the statements of operations. There were no expenses recorded for excess inventory or other impairments during the three and nine months ended September 30,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Items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tbl>
      <w:tblPr>
        <w:tblW w:w="6795" w:type="dxa"/>
        <w:jc w:val="left"/>
        <w:tblInd w:w="0" w:type="dxa"/>
        <w:tblLayout w:type="fixed"/>
        <w:tblCellMar>
          <w:top w:w="28" w:type="dxa"/>
          <w:left w:w="28" w:type="dxa"/>
          <w:bottom w:w="28" w:type="dxa"/>
          <w:right w:w="28" w:type="dxa"/>
        </w:tblCellMar>
      </w:tblPr>
      <w:tblGrid>
        <w:gridCol w:w="3931"/>
        <w:gridCol w:w="146"/>
        <w:gridCol w:w="271"/>
        <w:gridCol w:w="869"/>
        <w:gridCol w:w="146"/>
        <w:gridCol w:w="146"/>
        <w:gridCol w:w="260"/>
        <w:gridCol w:w="835"/>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140" w:type="dxa"/>
        <w:jc w:val="left"/>
        <w:tblInd w:w="0" w:type="dxa"/>
        <w:tblLayout w:type="fixed"/>
        <w:tblCellMar>
          <w:top w:w="28" w:type="dxa"/>
          <w:left w:w="28" w:type="dxa"/>
          <w:bottom w:w="28" w:type="dxa"/>
          <w:right w:w="28" w:type="dxa"/>
        </w:tblCellMar>
      </w:tblPr>
      <w:tblGrid>
        <w:gridCol w:w="4276"/>
        <w:gridCol w:w="146"/>
        <w:gridCol w:w="271"/>
        <w:gridCol w:w="869"/>
        <w:gridCol w:w="146"/>
        <w:gridCol w:w="146"/>
        <w:gridCol w:w="260"/>
        <w:gridCol w:w="835"/>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federal and state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net consisted of the following:</w:t>
      </w:r>
    </w:p>
    <w:tbl>
      <w:tblPr>
        <w:tblW w:w="6785" w:type="dxa"/>
        <w:jc w:val="left"/>
        <w:tblInd w:w="0" w:type="dxa"/>
        <w:tblLayout w:type="fixed"/>
        <w:tblCellMar>
          <w:top w:w="28" w:type="dxa"/>
          <w:left w:w="28" w:type="dxa"/>
          <w:bottom w:w="28" w:type="dxa"/>
          <w:right w:w="28" w:type="dxa"/>
        </w:tblCellMar>
      </w:tblPr>
      <w:tblGrid>
        <w:gridCol w:w="3501"/>
        <w:gridCol w:w="146"/>
        <w:gridCol w:w="271"/>
        <w:gridCol w:w="869"/>
        <w:gridCol w:w="166"/>
        <w:gridCol w:w="146"/>
        <w:gridCol w:w="260"/>
        <w:gridCol w:w="835"/>
        <w:gridCol w:w="59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agreement milestone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PRV-related obligation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incurred amortization expense of $0.8 million and $2.3 million for the three and nine months ended September 30, 2025, respectively. The Company incurred amortization expense of $0.6 million and $0.9 million for the three and nine months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estimated aggregate amortization expense for amortizable, finite-lived intangible assets as of September 30, 2025 is as follows:</w:t>
      </w:r>
    </w:p>
    <w:tbl>
      <w:tblPr>
        <w:tblW w:w="5118" w:type="dxa"/>
        <w:jc w:val="left"/>
        <w:tblInd w:w="0" w:type="dxa"/>
        <w:tblLayout w:type="fixed"/>
        <w:tblCellMar>
          <w:top w:w="28" w:type="dxa"/>
          <w:left w:w="28" w:type="dxa"/>
          <w:bottom w:w="28" w:type="dxa"/>
          <w:right w:w="28" w:type="dxa"/>
        </w:tblCellMar>
      </w:tblPr>
      <w:tblGrid>
        <w:gridCol w:w="3746"/>
        <w:gridCol w:w="257"/>
        <w:gridCol w:w="824"/>
        <w:gridCol w:w="291"/>
      </w:tblGrid>
      <w:tr>
        <w:trPr/>
        <w:tc>
          <w:tcPr>
            <w:tcW w:w="37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Amortization</w:t>
              <w:br/>
              <w:t>Expense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expected amortization expense</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the Company made an upfront payment of $1.0 million in cash and issued 9,857,143 shares of Series A redeemable convertible 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 9,857,143 shares of Series A redeemable convertible preferred stock of the Company’s subsidiary for 6,470,382 shares of the Company's common stock upon the effectiveness of the conversion of the Company from an LLC to a corporation, on May 26, 2021.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$2.0 million upfront in cash to Viracta in December 2019, which was recorded as research and development expenses as the technology does not have an alternative future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4, 2024, the Company entered into an amendment to the Viracta License Agreement. As part of the amendment, the Company made a one-time payment in March 2024 to Viracta of $5.0 million, which was recorded as research and development expenses during the year ended December 31, 2024, in exchange for reduced future payment obligations ranging from the mid-teens to the high single-digit percentage related to the future sale or use of the rare pediatric disease priority review voucher, or PRV,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PRV from the FDA. The Company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and license revenue in the Company’s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2024, the Company sold its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and was capitalized as a finite-lived intangible asset, which will be amortized on a straight-line basis over its estimated useful life. The gross proceeds of $108.0 million were recorded as a gain from sale of priority review voucher in the accompanying statements of operations during the year ended December 31, 2024. As of September 30, 2025, the unamortized finite-lived intangible asset was $6.6 million. Related amortization expense will be recorded as cost of product and license revenue in the Company’s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The Company has agreed to the assignment and novation of the Viracta License Agreement to XOMA as successor party, now referred to as the XOMA License Agreement. In connection with such assignment, the parties also agreed to assign all rights, title and interest in related intellectual property. No material terms of the XOMA License Agreement have been amended or modified in relation to the same.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European Medicines Agency, or EMA, for tovorafenib for the treatment of patients with relapsed or refractory pLGG. As a result, the Company paid $4.0 million to XOMA for the achievement of this milestone in March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could be required to make additional milestone payments of up to $36.0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the Company made an upfront payment of $8.0 million in March 2021, which was recorded as research and development expenses, as the technology does not have an alternative future use and supplies are used for research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Company discontinued its monotherapy substudy due to a limited duration of response in this rare patient population despite observing responses with a generally well tolerated therapy. In July 2024, the Company informed Merck KGaA, Darmstadt, Germany that the Company decided to close the program because the benefit/risk profile, as well as the market opportunity, did not justify the significant investment required to continue the trial despite observing some clinical responses. In September 2025, the Company finalized the termination agreement with Merck KGaA, Darmstadt, Germany and concluded material wind-down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In consideration for the rights granted under the Sprint License Agreement, the Company paid $3.0 million upfront in cash to Sprint in September 2023, which was recorded as research and development expenses as the technology does not have an alternative future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9, 2025, the Company notified Sprint of its decision to discontinue its investment in the VRK1 program and terminated the Sprint License Agreement, with termination taking effect on August 15, 2025. This decision was made following careful consideration of the current development status of the program and the Company's overall strategic objectives.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the Company entered into a license agreement, or the MabCare License Agreement, with MabCare Therapeutics, or MabCare, a pharmaceutical corporation located in Shanghai, China. Under the MabCare License Agreement, MabCare granted to the Company an exclusive worldwide license, excluding Greater China, with the right to grant sublicenses through multiple tiers, under specified patent rights and know-how for the Company to develop, manufacture and commercialize DAY301 (formerly MTX-13), a novel Antibody Drug Conjugate, or ADC, targeting protein-tyrosine kinase 7, or PTK7. The Company will also receive clinical inventory supplies to use in its research and development activities. Under the MabCare License Agreement, the Company has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the Company's territory, unless terminated earlier. Following the expiration of the royalty term for a licensed product in a country, the license granted to the Company shall become non-exclusive, fully paid-up, royalty-free, perpetual, and irrevocable for such licensed product in such country. Upon the expiration of the term, the license granted to the Company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for the rights granted under the MabCare License Agreement, the Company made a $55.0 million upfront payment in July 2024. The upfront payment was recorded as research and development expenses, as the technology and supplies licensed do not have an alternative future use. As of September 30, 2025, the Company could be required to make additional payments of $1,132.0 million based upon the achievement of specified development, regulatory, and commercial success-based milestones plus low-to-mid single-digit royalties on net sales outside of Greater China. Milestones and royalties are contingent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future events and will be recorded when the milestones are achieved and when payments are due. In January 2025, the Company cleared the first cohort (a single-patient accelerated titration cohort) in the Phase 1a portion of the DAY301 Phase 1a/b clinical trial. The Company made a $20.0 million milestone payment to MabCare in January 2025 for the achievement of this milestone.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Ipsen Pharma 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23,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is also eligible to receive up to approximately $380.0 million in additional commercial launch and sales-based milestone payments based on exchange rates as of the reporting date. The Company is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Ipsen License Agreement provides that the Company will supply to Ipsen, and Ipsen will purchase from the Company, all required quantities of tovorafenib for all territories outside the United States in accordance with a supply agreement to be entered into by and between the Company and Ipsen, or the Ipsen Supply Agreement. The Company determined that the cost-plus rate to be charged for the supply of tovorafenib does not represent a material right. Ipsen has the right to request a manufacturing technology transfer of the then-current manufacturing process of tovorafenib under the Ipsen License Agreement, and such consent shall not be unreasonably withheld, such that upon completion of the manufacturing technology transfer, Ipsen or a third-party would be solely responsible for the manufacture of tovorafenib for all territories outside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two-year anniversary of July 23, 2024, the effective date of the Ipsen License Agreement, Ipsen may terminate the Ipsen License Agreement for convenience with six months’ prior written notice or for certain other specified reasons. The Company may terminate the Ipsen License Agreement if Ipsen or any of its affiliates challenge the validity of any patents controlled by the Company that are licensed under the Ipsen License Agreement. Both Ipsen and the Company may terminate the Ipsen License Agreement (i) for material breach by the other party and a failure to cure such breach within the time period specified in the Ipsen License Agreement or (ii) the other party’s bankruptcy event.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evaluated the Ipsen License Agreement under Accounting Standards Codification, or ASC, 606 and concluded that Ipsen represents a customer in the transaction. The Company identified two distinct performance obligations for licenses to intellectual property in the form of the exclusive license to </w:t>
      </w:r>
      <w:r>
        <w:rPr>
          <w:rFonts w:ascii="Times New Roman" w:hAnsi="Times New Roman"/>
          <w:color w:val="212529"/>
          <w:sz w:val="20"/>
        </w:rPr>
        <w:t xml:space="preserve">commercialize tovorafenib outside the United States for both (i) relapsed or </w:t>
      </w:r>
      <w:r>
        <w:rPr>
          <w:rFonts w:ascii="Times New Roman" w:hAnsi="Times New Roman"/>
          <w:color w:val="000000"/>
          <w:sz w:val="20"/>
        </w:rPr>
        <w:t>refractory and (ii) front-line pLGG;</w:t>
      </w:r>
      <w:r>
        <w:rPr>
          <w:rFonts w:ascii="Times New Roman" w:hAnsi="Times New Roman"/>
          <w:color w:val="212529"/>
          <w:sz w:val="20"/>
        </w:rPr>
        <w:t xml:space="preserve"> </w:t>
      </w:r>
      <w:r>
        <w:rPr>
          <w:rFonts w:ascii="Times New Roman" w:hAnsi="Times New Roman"/>
          <w:color w:val="000000"/>
          <w:sz w:val="20"/>
        </w:rPr>
        <w:t>and three distinct research and development performance obligations related to tovorafenib for completion of (i) the pivotal Phase 2 relapsed or refractory pLGG trial, or FIREFLY-1, (ii) the pivotal Phase 3 front-line pLGG trial, or FIREFLY-2, and (iii) the European Union, or EU, companion diagnostic for pLGG. Both the FIREFLY-1 and FIREFLY-2 trials related to pLGG pertain to later-stage intellectual property and only involve validating the efficacy of tovorafenib with respect to each distinct designation and are not expected to significantly modify or customize the licensed intellectual property. The FIREFLY-1 and FIREFLY-2 trials, and EU companion diagnostic research and development services related to pLGG could be performed by a third-party. The Company determined that the promise of the manufacturing technology transfer is a customer option that does not represent a material right given the value of the services is not material and fulfillment of this promise is ancillary to the main transaction. Accordingly, the manufacturing technology transfer is not a performance obligation at the outset of the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 Commercial launch milestones related to first commercial sale(s) in certain territories, sales-based milestones and royalties on net sales upon commercialization by Ipsen were excluded from the transaction price and will be recognized when the related sales occur as they were determined to predominantly relate to the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intellectual property and, therefore, have been excluded from the transaction price in accordance with the sales-based royalty exception.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allocated the transaction price to the performance obligations based on their relative standalone selling price. The Company developed the estimated stand-alone selling price for each license using discounted cash flow models. In developing this estimate, the Company applied judgment in the determination of the assumptions relating to forecasted future revenues, the discount rate, and the probability of success. The stand-alone selling price for each of the research and development services was estimated based on the Company’s forecasted costs to be incurred to fulfill the obligations plus a reasonable margin. The portion of the transaction price allocable to the</w:t>
      </w:r>
      <w:r>
        <w:rPr>
          <w:rFonts w:ascii="Times New Roman" w:hAnsi="Times New Roman"/>
          <w:color w:val="212529"/>
          <w:sz w:val="20"/>
        </w:rPr>
        <w:t xml:space="preserve"> relapsed or </w:t>
      </w:r>
      <w:r>
        <w:rPr>
          <w:rFonts w:ascii="Times New Roman" w:hAnsi="Times New Roman"/>
          <w:color w:val="000000"/>
          <w:sz w:val="20"/>
        </w:rPr>
        <w:t>refractory and front-line pLGG</w:t>
      </w:r>
      <w:r>
        <w:rPr>
          <w:rFonts w:ascii="Times New Roman" w:hAnsi="Times New Roman"/>
          <w:color w:val="212529"/>
          <w:sz w:val="20"/>
        </w:rPr>
        <w:t xml:space="preserve"> </w:t>
      </w:r>
      <w:r>
        <w:rPr>
          <w:rFonts w:ascii="Times New Roman" w:hAnsi="Times New Roman"/>
          <w:color w:val="000000"/>
          <w:sz w:val="20"/>
        </w:rPr>
        <w:t xml:space="preserve">licenses to intellectual property was recognized as license revenue at the point in time in which Ipsen had the right to use the license/know-how, which occurred during the year ended December 31, 2024. The portion of the transaction price allocable to the </w:t>
      </w:r>
      <w:r>
        <w:rPr>
          <w:rFonts w:ascii="Times New Roman" w:hAnsi="Times New Roman"/>
          <w:color w:val="212529"/>
          <w:sz w:val="20"/>
        </w:rPr>
        <w:t xml:space="preserve">relapsed or </w:t>
      </w:r>
      <w:r>
        <w:rPr>
          <w:rFonts w:ascii="Times New Roman" w:hAnsi="Times New Roman"/>
          <w:color w:val="000000"/>
          <w:sz w:val="20"/>
        </w:rPr>
        <w:t xml:space="preserve">refractory, front-line and companion diagnostic research and development services performance obligations, as well as other services subsequently contracted by Ipsen with the Company on an ad-hoc basis that were not specifically identified as part of the Ipsen License Agreement and therefore considered separate performance obligations, will be recognized over time as the services are delivered based on costs incurred relative to the total estimated cost to deliver the services. During the three and nine months ended September 30, 2025, $1.3 million and $1.9 million of license revenue was recognized, respectively, with $2.3 million and $3.0 million of the undelivered </w:t>
      </w:r>
      <w:r>
        <w:rPr>
          <w:rFonts w:ascii="Times New Roman" w:hAnsi="Times New Roman"/>
          <w:color w:val="212529"/>
          <w:sz w:val="20"/>
        </w:rPr>
        <w:t xml:space="preserve">relapsed or </w:t>
      </w:r>
      <w:r>
        <w:rPr>
          <w:rFonts w:ascii="Times New Roman" w:hAnsi="Times New Roman"/>
          <w:color w:val="000000"/>
          <w:sz w:val="20"/>
        </w:rPr>
        <w:t>refractory, front-line and companion diagnostic research and development services included in current and non-current deferred revenue, respectively. During the three and nine months ended September 30, 2024, $73.7 million of license revenue was recognized.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2022, the Company entered into a lease agreement for approximately 12,000 square feet of general use office space in Brisbane, California. The agreement was determined to be a lease since the right to control the use of the identified asset was conveyed to the Company for a period of time in exchange for consideration. The lease commenced in May 2022 and expired in November 2024. The Company was obligated to pay monthly rent expense and its pro rata share of the landlord's operating expenses which include utilities, common area maintenance expenses, and property taxes. Such expenses were a non-lease component and a variable consideration and included in the Company's operating expenses as incurred. The Company concluded that this lease was an operating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Company entered into a lease agreement for approximately 19,000 square feet of general use office space in Brisbane, California. The agreement was determined to be a lease since the right to control the use of the identified asset was conveyed to the Company for a period of time in exchange for consideration. The term of the lease is approximately 7.4 years and commenced in August 2024.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an operating lease. The total payments for base rent over the term of the lease is approximately $4.4 million. Upon execution of the agreement, the Company paid a security deposit of approximately $86,000 classified as deposits and other long-term assets on the condensed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September 30, 2025, the weighted-average remaining lease term and weighted-average discount rate were 6.0 years and 12.9%,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leases do not require any contingent rental payments, impose financial restrictions, or contain any residual value guarantees.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of right-of-use assets is recognized on a straight-line basis over the applicable lease term. Lease expense was $0.1 million and $0.2 million for the three months ended September 30, 2025 and 2024, respectively, and was $0.5 million and $0.4 million for the nine months ended September 30, 2025 and 2024, respectively. Cash paid for amounts included in the measurement of operating lease liabilities was $0.2 million and $0.4 million for the nine months ended September 30, 2025 and 2024, respectively. Variable payments expensed during the three and nine months ended September 30, 2025 and 2024 were immaterial.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future lease obligations were as follows (in thousands): </w:t>
      </w:r>
    </w:p>
    <w:tbl>
      <w:tblPr>
        <w:tblW w:w="5164" w:type="dxa"/>
        <w:jc w:val="left"/>
        <w:tblInd w:w="0" w:type="dxa"/>
        <w:tblLayout w:type="fixed"/>
        <w:tblCellMar>
          <w:top w:w="28" w:type="dxa"/>
          <w:left w:w="28" w:type="dxa"/>
          <w:bottom w:w="28" w:type="dxa"/>
          <w:right w:w="28" w:type="dxa"/>
        </w:tblCellMar>
      </w:tblPr>
      <w:tblGrid>
        <w:gridCol w:w="4111"/>
        <w:gridCol w:w="211"/>
        <w:gridCol w:w="63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operating lease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September 30, 2025 and December 31, 2024, there were no amounts accrued related to termination and cancellation charges as these are not probable.</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license agreements, as disclosed in Note 7, with various parties under which it is obligated to make contingent and non-contingent payments.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product needs for OJEMDA, the Company entered into a manufacturing and supply agreement with Quotient Sciences - Philadelphia, LLC in July 2023 that requires the Company to meet minimum purchase obligations on an annual basis. The remaining amount of future minimum purchase obligations under the manufacturing and supply agreement over the next five years is approximately $10.6 million, in aggregate, as of September 30, 2025. For the nine months ended September 30, 2025 and 2024, the Company made purchases of $3.5 million and $2.0 million, respectively, under the purchase obligation.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 </w:t>
      </w:r>
    </w:p>
    <w:p>
      <w:pPr>
        <w:pStyle w:val="TextBody"/>
        <w:bidi w:val="0"/>
        <w:spacing w:before="12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September 30, 2025 and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its certificate of incorporation, the Company is authorized to issue 500.0 million shares of common stock at a par value of $0.0001 per share. As of September 30, 2025, 102,675,502 shares of common stock were issued and outstanding.</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issuances as follows:</w:t>
      </w:r>
    </w:p>
    <w:tbl>
      <w:tblPr>
        <w:tblW w:w="5450" w:type="dxa"/>
        <w:jc w:val="left"/>
        <w:tblInd w:w="0" w:type="dxa"/>
        <w:tblLayout w:type="fixed"/>
        <w:tblCellMar>
          <w:top w:w="28" w:type="dxa"/>
          <w:left w:w="28" w:type="dxa"/>
          <w:bottom w:w="28" w:type="dxa"/>
          <w:right w:w="28" w:type="dxa"/>
        </w:tblCellMar>
      </w:tblPr>
      <w:tblGrid>
        <w:gridCol w:w="3931"/>
        <w:gridCol w:w="146"/>
        <w:gridCol w:w="146"/>
        <w:gridCol w:w="103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3,305,854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2,758,561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25,921,566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the Company entered into a securities purchase agreement with certain institutional and accredited investors, or the PIPE Investors, pursuant to which the Company agreed to sell and issue to the PIPE Investors in a private placement, or the Private Placement, an aggregate of (i) 10,551,718 shares of the Company’s common stock, par value $0.0001 per share, at a purchase price of $14.50 per share and (ii) 1,517,241 pre-funded warrants, or the Pre-Funded Warrants, to purchase up to an aggregate of 1,517,241 shares of the Company's common stock, or the Warrant Shares, at a purchase price of $14.4999 per Pre-Funded Warrant. Each Pre-Funded Warrant has an exercise price of $0.0001 per Warrant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are exercisable at any time after their original issuance at the option of each holder, in such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Pre-Funded Warrant. A holder will not be entitled to exercise any portion of any Pre-Funded Warrant if the holder’s ownership of the Company’s common stock would exceed 9.99% following such exercise.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certain fundamental transactions, the holders of the Pre-Funded Warrants will be entitled to receive upon exercise of the Pre-Funded Warrants the kind of amounts of securities, cash or other property that the holders would have received had they exercised the Pre-Funded Warrants immediately prior to such fundamental transaction without regard to any limitations on exercise contained in the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sales price approximated their fair value, and allocated net proceeds from the Private Placement proportionately to the Company's common stock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Private Placement closed on August 1, 2024, and the Company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 agreement with Ipsen Biopharmaceuticals,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 The Company valued the shares at issuance at $32.6 million, concluding that the Company's common stock price as traded on The Nasdaq Stock Market LLC on the closing date of the transaction approximated fair value, which was recorded as a component of additional paid-in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an equity distribution agreement, or the Equity Distribution Agreement, with Piper Sandler &amp; Co. and JonesTrading Institutional Services LLC, as sales agents, relating to the issuance and sale of shares of the Company’s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September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recorded in the accompanying condensed statements of operations is as follows (in thousands):</w:t>
      </w:r>
    </w:p>
    <w:tbl>
      <w:tblPr>
        <w:tblW w:w="8317" w:type="dxa"/>
        <w:jc w:val="left"/>
        <w:tblInd w:w="0" w:type="dxa"/>
        <w:tblLayout w:type="fixed"/>
        <w:tblCellMar>
          <w:top w:w="28" w:type="dxa"/>
          <w:left w:w="28" w:type="dxa"/>
          <w:bottom w:w="28" w:type="dxa"/>
          <w:right w:w="28" w:type="dxa"/>
        </w:tblCellMar>
      </w:tblPr>
      <w:tblGrid>
        <w:gridCol w:w="3661"/>
        <w:gridCol w:w="146"/>
        <w:gridCol w:w="211"/>
        <w:gridCol w:w="571"/>
        <w:gridCol w:w="146"/>
        <w:gridCol w:w="146"/>
        <w:gridCol w:w="211"/>
        <w:gridCol w:w="676"/>
        <w:gridCol w:w="146"/>
        <w:gridCol w:w="146"/>
        <w:gridCol w:w="211"/>
        <w:gridCol w:w="676"/>
        <w:gridCol w:w="146"/>
        <w:gridCol w:w="146"/>
        <w:gridCol w:w="211"/>
        <w:gridCol w:w="67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Equity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board of directors approved the 2022 Equity Inducement Plan, or the 2022 Plan. The 2022 Plan provides for the grant of non-statutory stock options and restricted stock units. The number of shares of common stock reserved for issuance under the 2022 Plan is 1,000,000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stock option activity during the nine months ended September 30, 2025. </w:t>
      </w:r>
    </w:p>
    <w:tbl>
      <w:tblPr>
        <w:tblW w:w="10205" w:type="dxa"/>
        <w:jc w:val="left"/>
        <w:tblInd w:w="0" w:type="dxa"/>
        <w:tblLayout w:type="fixed"/>
        <w:tblCellMar>
          <w:top w:w="28" w:type="dxa"/>
          <w:left w:w="28" w:type="dxa"/>
          <w:bottom w:w="28" w:type="dxa"/>
          <w:right w:w="28" w:type="dxa"/>
        </w:tblCellMar>
      </w:tblPr>
      <w:tblGrid>
        <w:gridCol w:w="3727"/>
        <w:gridCol w:w="146"/>
        <w:gridCol w:w="146"/>
        <w:gridCol w:w="1036"/>
        <w:gridCol w:w="166"/>
        <w:gridCol w:w="146"/>
        <w:gridCol w:w="396"/>
        <w:gridCol w:w="1075"/>
        <w:gridCol w:w="146"/>
        <w:gridCol w:w="146"/>
        <w:gridCol w:w="458"/>
        <w:gridCol w:w="1013"/>
        <w:gridCol w:w="146"/>
        <w:gridCol w:w="146"/>
        <w:gridCol w:w="372"/>
        <w:gridCol w:w="747"/>
        <w:gridCol w:w="193"/>
      </w:tblGrid>
      <w:tr>
        <w:trPr/>
        <w:tc>
          <w:tcPr>
            <w:tcW w:w="3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Remaining </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br/>
              <w:t>(in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estimated fair value of the underlying common stock and the exercise price of outstanding, in-the-money options. There were no options exercised during the nine months ended September 30, 2025. The total intrinsic value of options exercised during the nine months ended September 30, 2024 was less than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options that vested during the nine months ended September 30, 2025 and 2024 was $21.7 million and $25.7 million, respectively. The weighted-average grant date fair value of options granted during the nine months ended September 30, 2025 and 2024 was $6.81 per share and $9.24 per share,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share-based compensation for stock options as of September 30, 2025 was $40.3 million, which is expected to be recognized over a weighted-average period of 2.3 years.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used the Black-Scholes option pricing model to estimate the fair value of stock option awards granted with the following assumptions:</w:t>
      </w:r>
    </w:p>
    <w:tbl>
      <w:tblPr>
        <w:tblW w:w="8824" w:type="dxa"/>
        <w:jc w:val="left"/>
        <w:tblInd w:w="0" w:type="dxa"/>
        <w:tblLayout w:type="fixed"/>
        <w:tblCellMar>
          <w:top w:w="28" w:type="dxa"/>
          <w:left w:w="28" w:type="dxa"/>
          <w:bottom w:w="28" w:type="dxa"/>
          <w:right w:w="28" w:type="dxa"/>
        </w:tblCellMar>
      </w:tblPr>
      <w:tblGrid>
        <w:gridCol w:w="2131"/>
        <w:gridCol w:w="146"/>
        <w:gridCol w:w="1516"/>
        <w:gridCol w:w="146"/>
        <w:gridCol w:w="1516"/>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69.44% - 74.96%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68.46% - 68.72%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68.30% - 75.07%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68.27% - 70.57%</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3.77% - 4.05%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 - 4.40%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3.77% - 4.48%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 - 4.47%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2025, the Company updated its methodology for estimating the expected volatility assumption used in the valuation of stock option awards to incorporate both the historical volatility of its common stock and the volatility of a group of publicly traded industry peers as the Company now has sufficient trading history for its common stock. This change provides a more representative measure of expected volatility by reflecting both Company-specific and market-based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restricted stock units activity under the 2021 Plan during the nine months ended September 30, 2025:</w:t>
      </w:r>
    </w:p>
    <w:tbl>
      <w:tblPr>
        <w:tblW w:w="7967" w:type="dxa"/>
        <w:jc w:val="left"/>
        <w:tblInd w:w="0" w:type="dxa"/>
        <w:tblLayout w:type="fixed"/>
        <w:tblCellMar>
          <w:top w:w="28" w:type="dxa"/>
          <w:left w:w="28" w:type="dxa"/>
          <w:bottom w:w="28" w:type="dxa"/>
          <w:right w:w="28" w:type="dxa"/>
        </w:tblCellMar>
      </w:tblPr>
      <w:tblGrid>
        <w:gridCol w:w="4471"/>
        <w:gridCol w:w="146"/>
        <w:gridCol w:w="146"/>
        <w:gridCol w:w="931"/>
        <w:gridCol w:w="166"/>
        <w:gridCol w:w="146"/>
        <w:gridCol w:w="476"/>
        <w:gridCol w:w="1294"/>
        <w:gridCol w:w="1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share-based compensation for restricted stock units as of September 30, 2025 was $31.4 million, which is expected to be recognized over a weighted-average period of 2.6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the unvested common stock awards activity during the nine months ended September 30, 2025. </w:t>
      </w:r>
    </w:p>
    <w:tbl>
      <w:tblPr>
        <w:tblW w:w="7505" w:type="dxa"/>
        <w:jc w:val="left"/>
        <w:tblInd w:w="0" w:type="dxa"/>
        <w:tblLayout w:type="fixed"/>
        <w:tblCellMar>
          <w:top w:w="28" w:type="dxa"/>
          <w:left w:w="28" w:type="dxa"/>
          <w:bottom w:w="28" w:type="dxa"/>
          <w:right w:w="28" w:type="dxa"/>
        </w:tblCellMar>
      </w:tblPr>
      <w:tblGrid>
        <w:gridCol w:w="4201"/>
        <w:gridCol w:w="146"/>
        <w:gridCol w:w="146"/>
        <w:gridCol w:w="739"/>
        <w:gridCol w:w="166"/>
        <w:gridCol w:w="146"/>
        <w:gridCol w:w="476"/>
        <w:gridCol w:w="1294"/>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there is no unamortized share-based compensation for restricted stock awards.</w:t>
      </w:r>
    </w:p>
    <w:p>
      <w:pPr>
        <w:pStyle w:val="TextBody"/>
        <w:bidi w:val="0"/>
        <w:spacing w:before="120" w:after="283"/>
        <w:jc w:val="left"/>
        <w:rPr>
          <w:rFonts w:ascii="Times New Roman" w:hAnsi="Times New Roman"/>
          <w:sz w:val="20"/>
        </w:rPr>
      </w:pPr>
      <w:r>
        <w:rPr>
          <w:rFonts w:ascii="Times New Roman" w:hAnsi="Times New Roman"/>
          <w:b/>
          <w:i/>
          <w:color w:val="000000"/>
          <w:sz w:val="20"/>
        </w:rPr>
        <w:t>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549,887 shares have been issued under the ESPP as of September 30, 2025. The Company recognized compensation expense related to the ESPP of $0.1 million and $0.2 million for the three months ended September 30, 2025 and 2024, respectively, and $0.4 million and $0.6 million for the nine months ended September 30, 2025 and 2024, respectively.</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record an income tax provision for the three and nine months ended September 30, 2025 as it generated tax losses during each of the periods. For the three months ended September 30, 2024, the Company recognized an income tax benefit of $0.9 million on pre-tax book income for the period, resulting in an effective tax rate of (2.4)%. For the nine months ended September 30, 2024, the Company recognized income tax expense of $0.7 million on a pre-tax book loss for the period, resulting in an effective tax rate of (2.3)%. The primary reconciling items between the federal statutory rate of 21.0% for the three and nine months ended September 30, 2024 and the Company’s overall effective tax rate of (2.4)% and (2.3)%, respectively, was the effect of equity compensation, generation of tax credits, deferred state income taxes and the valuation allowance recorded against the full amount of its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that the Company expects continuing losses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United States government passed the One Big Beautiful Bill Act into law. This legislation includes significant tax law changes with various effective dates, which may have an impact on the Company's business. The enactment of the One Big Beautiful Bill Act did not have a material impact on the Company's effective tax rate for the three and nine months ended September 30, 2025. The Company will continue to monitor the impact of this Act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 is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654"/>
        <w:gridCol w:w="146"/>
        <w:gridCol w:w="211"/>
        <w:gridCol w:w="1141"/>
        <w:gridCol w:w="166"/>
        <w:gridCol w:w="146"/>
        <w:gridCol w:w="211"/>
        <w:gridCol w:w="1036"/>
        <w:gridCol w:w="146"/>
        <w:gridCol w:w="146"/>
        <w:gridCol w:w="211"/>
        <w:gridCol w:w="1141"/>
        <w:gridCol w:w="166"/>
        <w:gridCol w:w="146"/>
        <w:gridCol w:w="211"/>
        <w:gridCol w:w="1036"/>
        <w:gridCol w:w="291"/>
      </w:tblGrid>
      <w:tr>
        <w:trPr/>
        <w:tc>
          <w:tcPr>
            <w:tcW w:w="3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96,623,123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103,056,046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90,164,895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96,937,759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103,056,046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90,164,895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income per share, as their effect is anti-dilutive:</w:t>
      </w:r>
    </w:p>
    <w:tbl>
      <w:tblPr>
        <w:tblW w:w="8492" w:type="dxa"/>
        <w:jc w:val="left"/>
        <w:tblInd w:w="0" w:type="dxa"/>
        <w:tblLayout w:type="fixed"/>
        <w:tblCellMar>
          <w:top w:w="28" w:type="dxa"/>
          <w:left w:w="28" w:type="dxa"/>
          <w:bottom w:w="28" w:type="dxa"/>
          <w:right w:w="28" w:type="dxa"/>
        </w:tblCellMar>
      </w:tblPr>
      <w:tblGrid>
        <w:gridCol w:w="2551"/>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11,926,321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16,916,694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16,916,694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14,068,239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an employee savings plan pursuant to Section 401(k) of the Internal Revenue Code. All employees are eligible to participate provided that they meet the requirements of the plan. For each of the three months ended September 30, 2025 and 2024, the Company made matching contributions of $0.4 million. For the nine months ended September 30, 2025 and 2024, the Company made matching contributions of $1.6 million and $1.4 million, respectively.</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views its operations and manages its business in one operating and one reportable segment, which includes all activities dedicated to developing and commercializing targeted therapies for people of all ages with life-threatening diseases. The determination of a single operating segment is consistent with the consolidated financial information regularly provided to the Company’s chief operating decision maker, or CODM. The Company’s CODM is its Chief Executive Officer, who reviews and evaluates net loss for purposes of assessing performance, making operating decisions, allocating resources, and planning and forecasting for future periods. Our CODM does not evaluate the operating segment using asset or liability information. The operating segment derives all net product revenues from the sales of OJEMDA in the United States through contractual arrangements with its specialty pharmacy and specialty distributor customers. All the Company’s assets are located in the United States.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the significant expense categories included within net loss presented on the Company's condensed statements of operations, see below for disaggregated amounts that comprise research and development expenses (in thousands):</w:t>
      </w:r>
    </w:p>
    <w:tbl>
      <w:tblPr>
        <w:tblW w:w="10205" w:type="dxa"/>
        <w:jc w:val="left"/>
        <w:tblInd w:w="0" w:type="dxa"/>
        <w:tblLayout w:type="fixed"/>
        <w:tblCellMar>
          <w:top w:w="28" w:type="dxa"/>
          <w:left w:w="28" w:type="dxa"/>
          <w:bottom w:w="28" w:type="dxa"/>
          <w:right w:w="28" w:type="dxa"/>
        </w:tblCellMar>
      </w:tblPr>
      <w:tblGrid>
        <w:gridCol w:w="5234"/>
        <w:gridCol w:w="146"/>
        <w:gridCol w:w="211"/>
        <w:gridCol w:w="676"/>
        <w:gridCol w:w="146"/>
        <w:gridCol w:w="146"/>
        <w:gridCol w:w="211"/>
        <w:gridCol w:w="676"/>
        <w:gridCol w:w="146"/>
        <w:gridCol w:w="146"/>
        <w:gridCol w:w="211"/>
        <w:gridCol w:w="781"/>
        <w:gridCol w:w="146"/>
        <w:gridCol w:w="146"/>
        <w:gridCol w:w="211"/>
        <w:gridCol w:w="781"/>
        <w:gridCol w:w="191"/>
      </w:tblGrid>
      <w:tr>
        <w:trPr/>
        <w:tc>
          <w:tcPr>
            <w:tcW w:w="5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agreement related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Costs incurred under agreements with third-party CROs, CMOs, and other third parties that conduct clinical activities on the Company's behalf.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7, 2025, the board of directors and compensation committee of the board of directors, or the Compensation Committee, approved an option repricing, or the Repricing, of the outstanding stock options held by certain then-current directors and employees, including the Company’s named executive officers, or Eligible Participants, to be effective on the second full business day following the filing of the Company’s Quarterly Report on Form 10-Q for the quarter ended September 30, 2025, or the Effective Date. As permitted under the terms of the Company’s equity plans, the exercise price of each outstanding stock option with an exercise price per share of $8.00 or greater held by the directors and employees providing services as of the Effective Date will be reduced to an amount equal to the closing price of the Company’s common stock on the Effective Date, or the New Exercise Price. The board of directors approved the Repricing, upon the recommendation of the Compensation Committee, in order to retain and motivate key contributors of the Company without incurring dilution resulting from significant additional equity grants to the Company’s employees or significant additional cash expenditures resulting from cash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exercise the repriced options at the New Exercise Price, Eligible Participants are required to remain in service with the Company through the Retention Period (as defined herein). The “Retention Period” begins on the Effective Date and ends on the earlier of (i) the one-year anniversary of the Effective Date; or (ii) a Corporate Transaction (as defined in the 2021 Plan). However, if the Retention Period is not satisfied, the Eligible Participant will be required to pay to the Company an additional amount equal to the difference between the New Exercise Price and the prior exercise price of the corresponding option upon exercise of the option; provided that the additional premium payment will not be required if the Eligible Participant’s service to the Company is terminated by reason of death or Disability (as defined in the 2021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currently evaluating the effect of the Repricing and, at this time, cannot reasonably estimate the impact on its financial statements.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bookmarkStart w:id="10" w:name="tx180355_9"/>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our interim condensed financial statements and related notes, and other financial information appearing in our Annual Report on Form 10-K for the year ended December 31, 2024,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is a biopharmaceutical company dedicated to developing and commercializing targeted therapies for people of all ages with life-threatening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Day One, we aim to identify and develop breakthrough medicines with the goal of improving the outcomes and life trajectories of patients of any age facing serious diseases — starting from Day One. Our “search &amp; development” strategy enables us to find, acquire, and develop potential best- or first-in-class programs with the goal of introducing new medicines that will make a real difference in the treatment of children and adults.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first commercial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in July 2021 to tovorafenib for treatment of low-grade gliomas, or LGGs, harboring an activating RAF alteration.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a regulatory endpoint of overall response rate and the totality of the Company’s pivotal open-label Phase 2 trial, or FIREFLY-1, data, including duration of response. With the approval, we received, and subsequently sold,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accelerated approval of OJEMDA is based on data from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w:t>
      </w:r>
      <w:r>
        <w:rPr>
          <w:rFonts w:ascii="Times New Roman" w:hAnsi="Times New Roman"/>
          <w:i/>
          <w:color w:val="000000"/>
          <w:sz w:val="20"/>
        </w:rPr>
        <w:t>Nature Medicine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Arm 1, data from the 76 RAPNO LGG evaluable patients include (May 2024 data cutoff to support the ongoing evaluation of OJEMDA):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best ORR of 52.6% (95% CI: 40.8 - 64.2), which included 29% PRs and 11% MRs.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ORR for OJEMDA was 53% among the 64 patients with BRAF fusions or rearrangements and 50% for the 12 patients with a BRAF V600 mutation.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ORR was 51% among the 45 patients who had received a prior MAPK-targeted therapy, and 55% among the 31 patients who had not received a prior MAPK-targeted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May 10, 2024 data cutoff, the median duration of response by RAPNO LGG was 18.0 months (95% CI: 12.0, 22.8). In Arm 1, of the 77 patients enrolled, 66 (85.7%) patients have discontinued primary tovorafenib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most commonly due to being on drug holiday (33 [42.9%] patients); 10 (13.0%) patients discontinued the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median time to response, following initiation of treatment, with OJEMDA was 5.4 months (range 1.6 months, 17.5 months).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RANO LGG criteria, the ORR was 53.9% [95% CI: (42.1, 65.5)].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of OJEMDA was evaluated in 137 patients with relapsed or refractory pLGG, with the majority of adverse events being Grade 1 or Grade 2. The most common side effects were rash, hair color changes, tiredness, viral infection, vomiting, headache, fever, decrease in growth velocity, dry skin, constipation, nausea, acne and upper respiratory tract infection.</w:t>
      </w:r>
    </w:p>
    <w:p>
      <w:pPr>
        <w:pStyle w:val="TextBody"/>
        <w:bidi w:val="0"/>
        <w:spacing w:before="120" w:after="283"/>
        <w:jc w:val="left"/>
        <w:rPr>
          <w:rFonts w:ascii="Times New Roman" w:hAnsi="Times New Roman"/>
          <w:sz w:val="20"/>
        </w:rPr>
      </w:pPr>
      <w:r>
        <w:rPr>
          <w:rFonts w:ascii="Times New Roman" w:hAnsi="Times New Roman"/>
          <w:color w:val="000000"/>
          <w:sz w:val="20"/>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South America, Middle East and Asia, with approximately 135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w:t>
      </w:r>
      <w:r>
        <w:rPr>
          <w:rFonts w:ascii="Times New Roman" w:hAnsi="Times New Roman"/>
          <w:color w:val="000000"/>
          <w:sz w:val="13"/>
        </w:rPr>
        <w:t>2</w:t>
      </w:r>
      <w:r>
        <w:rPr>
          <w:rFonts w:ascii="Times New Roman" w:hAnsi="Times New Roman"/>
          <w:color w:val="000000"/>
          <w:sz w:val="20"/>
        </w:rPr>
        <w:t>/dose once weekly, and the addition of a once-monthly carboplatin regime as a fourth standard of care option for arm 2. We expect to complete enrollment of FIREFLY-2 in the first half of 2026. In June 2025, tovorafenib was added to the National Comprehensive Cancer Network, or NCCN, adult glioma treatment guidelines as a category 2a recommended treatment option for patients with recurrent or progressive BRAF-altered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 Ipsen paid us an upfront license fee in the amount of $70.8 million in August 2024 and (ii) Ipsen Biopharmaceuticals, Inc., or the Investor, a fully-owned Affiliate of Ipsen, purchased 2,341,495 shares of our common stock in a private placement for $40.0 million, at a price per share representing a 17.0% premium to the volume weighted average price, or VWAP, of our common stock as traded on The Nasdaq Stock Market LLC for the ten consecutive trading days prior to and including the date of our public release of U.S. GAAP revenue for the quarter ended June 30, 2024 on July 30, 2024, or the Revenue Release, and the ten consecutive trading days following the Revenue Release, in accordance with the terms set forth in an investment agreement by and between us and the Investor dated July 23,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eligible to receive up to approximately $380.0 million in additional commercial launch and sales-based milestone payments based on exchange rates as of the reporting date. We are also entitled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EMA for tovorafenib for the treatment of patients with relapsed or refractory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In May 2025, we notified Sprint of our decision to discontinue our investment in the VRK1 program and terminated the Sprint License Agreement, with termination taking effect on August 15, 2025. This decision was made following careful consideration of the current development status of the program and our overall strategic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 April 2024, the FDA cleared the investigational new drug application for DAY301. In January 2025, we cleared the first cohort (a single-patient accelerated titration cohort) in the Phase 1a portion of the DAY301 Phase 1a/b clinical trial, and the study continues to enroll in the dose escalation phase of the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business development capabilities combined with our extensive experience in oncology drug development and deep ties within the research and patient advocacy communities, particularly within the pediatric setting, positions us to be a leader in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acquiring and developing therapies for patients of all ages. We hold exclusive rights to develop tovorafenib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product and product candidate pipeline.</w:t>
      </w:r>
    </w:p>
    <w:p>
      <w:pPr>
        <w:pStyle w:val="TextBody"/>
        <w:bidi w:val="0"/>
        <w:spacing w:before="120" w:after="283"/>
        <w:jc w:val="center"/>
        <w:rPr/>
      </w:pPr>
      <w:r>
        <w:rPr/>
        <w:drawing>
          <wp:inline distT="0" distB="0" distL="0" distR="0">
            <wp:extent cx="6372225" cy="3629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72225" cy="3629025"/>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 Agreement. Pursuant to the Takeda Asset Agreement, we purchased certain technology rights and know-how related to TAK-580 (which is now OJEMDA) that provides a new approach for treating patients with primary brain tumors or brain metastases of solid tumors.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Based on the terms of the Millennium Stock Exchange Agreement, Takeda exchanged the 9,857,143 shares of Series A redeemable convertible preferred stock of our subsidiary for 6,470,382 shares of our common stock upon the effectiveness of the conversion of the Company from an LLC to a corporation, on May 26, 2021.</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 We paid $2.0 million upfront in cash to Viracta in December 2019.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4, 2024, we entered into an amendment to the Viracta License Agreement. As part of the amendment, we made a one-time payment in March 2024 to Viracta of $5.0 million in exchange for reduced future payment obligations related to the future sale or use of the rare pediatric disease PRV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We have agreed to the assignment and novation of the Viracta License Agreement to XOMA as successor party, now referred to as the XOMA License Agreement. No material terms of the XOMA License Agreement have been amended or modified in relation to the same.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EMA for tovorafenib for the treatment of patients with relapsed or refractory pLGG. As a result, we paid $4.0 million to XOMA for the achievement of this milestone in March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could be required to make additional milestone payments of up to $36.0 million upon achievement of specified development and regulatory milestones for each licensed product in two indications.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Under the MRKDG License Agreement, we have obligations to use commercially reasonable efforts to develop and commercialize at least two licensed products in at least two specified major market countries by the year 2029.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we made an upfront payment of $8.0 million in March 2021.</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discontinued our monotherapy substudy due to a limited duration of response in this rare patient population despite observing responses with a generally well tolerated therapy. In July 2024, we informed Merck KGaA, Darmstadt, Germany that we decided to close the program because the benefit/risk profile and the market opportunity did not justify the significant investment required to continue the trial despite observing some clinical responses. In September 2025, we finalized the termination agreement with Merck KGaA, Darmstadt, Germany and concluded material wind-down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VRK1. In consideration for the rights granted under the Sprint License Agreement, we paid $3.0 million upfront in cash to Sprint in September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9, 2025, we notified Sprint of our decision to discontinue our investment in the VRK1 program and terminated the Sprint License Agreement, with termination taking effect on August 15, 2025. This decision was made following careful consideration of the current development status of the program and our overall strategic objectives.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granted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MabCare License Agreement, we made an upfront payment of $55.0 million in July 2024. As of September 30, 2025, we could be required to make additional payments of $1,132.0 million based upon the achievement of specified development, regulatory, and commercial success-based milestones plus low-to-mid single-digit royalties on net sales outside of Greater China.</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License agreement with Ipsen Pharma SAS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us and the Investor dated July 23, 2024.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September 30, 2025, we are also eligible to receive up to approximately $380.0 million in additional commercial launch and sales-based milestone payments based on exchange rates as of the reporting date. We are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pStyle w:val="TextBody"/>
        <w:bidi w:val="0"/>
        <w:spacing w:before="20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obtaining licenses to and filing patent applications in the United States and in jurisdictions outside of the United States related to our proprietary technology, inventions, improvements and product candidates that are important to the development and implementation of our business. We also may rely on trade secrets and know-how relating to our proprietary technology and product candidates, continuing innovation, and in-licensing opportunities to develop, strengthen and maintain our proprietary positions. We additionally plan to rely on data exclusivity, market exclusivity and patent term extensions if and when available, and if appropriate,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owned or co-owned patent portfolio, as of January 1, 2025, includes a co-owned United States patent directed to the compositions of matter and pharmaceutical compositions of tovorafenib, which provides patent protection in the United States through 2031, and multiple foreign patents and applications including granted patents in Germany, France, United Kingdom, Belgium, Switzerland, Denmark, Spain, Ireland, Italy, Netherlands, Australia, Brazil, Canada, China, India, Japan, Korea, Mexico, Russia, Singapore, South Africa, Taiwan, and Hong Kong, which are expected to expire in 2028. Furthermore, we have filed two applications for patent term extension of 5 years pertaining to the regulatory review period for OJEMDA (tovorafenib) for the United States patent directed to the compositions of matter and pharmaceutical compositions. One application involves NDA 217700 for a tovorafenib tablet and the other involves NDA 218033 for a tovorafenib oral suspension. The applications were submitted to the United States Patent and Trademark Office, or USPTO, in June 2024 and are under review by the USPTO. Approval of the applications for patent term extension would extend the United States patent to August 2036. We have additional patents and pending applications drawn to formulations, methods of use, and methods of manufacture for tovorafenib. Our patent portfolio also includes issued and pending patents covering formulations, methods of manufacture, and methods of use of tovorafenib. Certain issued patents are expected to provide protection through 2035, and pending applications, if granted, could extend coverage into the 2040s.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Where applicable, patent extensions will be requested for jurisdictions outside of the United States upon regulatory approval in these jurisdictions.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United States, OJEMDA has received both 5 years of New Chemical Entity exclusivity and 7 years of Orphan Drug Exclusivity to April 2029 and April 2031, respectively. During the seven-year exclusivity period, the FDA may not approve any other sponsor’s application to market the same drug for the same indication, except in limited circumstances, such as a showing of clinical superiority to the product with orphan drug exclusivity by means of greater effectiveness, greater safety, or providing a major contribution to patient care, or in instances of drug supply issues or consent by the exclusivity holder.</w:t>
      </w:r>
    </w:p>
    <w:p>
      <w:pPr>
        <w:pStyle w:val="TextBody"/>
        <w:bidi w:val="0"/>
        <w:spacing w:before="20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FDA approved OJEMDA for the treatment of patients 6 months of age and older with relapsed or refractory pLGG harboring a BRAF fusion or rearrangement, or BRAF V600 mutation. We record product revenue net of estimated discounts, chargebacks, rebates, specialty distributor fees, copay assistance, and product returns.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The portion of the transaction price allocated to the licenses was recognized as revenue upon delivery of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licenses in the year ended of December 31, 2024. The transaction price allocated to the research and development services is being recognized over time as services are delivered.</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product and 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 and license revenue includes the cost of inventory sold, amortization expense of intangible assets and third-party royalties payable on our net product revenue. Cost of inventory sold may also include costs related to excess or obsolete inventory adjustment charges, abnormal costs, unabsorbed manufacturing and overhead costs, and manufacturing variances. We expect to use inventory previously expensed to research and development by the third quarter of 2025, and accordingly, we expect our cost of product and license revenue of OJEMDA to increase as a percentage of product revenue in future periods as we produce and sell inventory that reflects the full cost of manufacturing the product. Cost of license revenue includes the cost of delivering the performance obligations under the Ipsen License Agreement.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external and internal expenses incurred for our research activities, including our discovery and in-licensing undertakings, and the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under agreements with third-party contract research organizations, or CROs, contract manufacturing organizations, or CMOs, and other third parties that conduct clinical activities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acquiring technology and intellectual property licenses that have no alternative future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business operational costs, such as rent, facilities and maintenance, travel and information technology, incurred related to research and development activities, but are not allocable to a specific product or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costs, including salaries, bonuses, benefits and share-based compensation expense, for our research and development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as incurred. We track external costs by program, which currently consist of expenses for our tovorafenib, pimasertib, DAY301, and the VRK1 inhibitor program. We do not track indirect costs on a program specific basis because these costs are deployed across multiple programs and, as such, are not separately classified.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for the foreseeable future as we continue to implement our business strategy; 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II, Item 1A “Risk Factors” in this Quarterly Report on Form 10-Q.</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employee-related costs, professional services and other operational costs. Employee-related costs include salaries, bonuses, benefits and share-based compensation expense for our selling, general and administrative personnel. Professional service expenses include legal fees; professional fees for accounting, marketing, human resources, business development, and other consulting services. Other operational costs include expenses for rent and facilities maintenance, travel, insurance and information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selling, general and administrative expenses will remain relatively consistent in the near-term.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Gain from sale of priority review voucher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from the sale of priority review voucher represents the sale of our rare pediatric disease PRV, which was awarded to us in connection with the FDA’s approval of OJEMDA.</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three months ended September 30,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September 30, 2025 and 2024 (unaudited):</w:t>
      </w:r>
    </w:p>
    <w:tbl>
      <w:tblPr>
        <w:tblW w:w="8771" w:type="dxa"/>
        <w:jc w:val="left"/>
        <w:tblInd w:w="0" w:type="dxa"/>
        <w:tblLayout w:type="fixed"/>
        <w:tblCellMar>
          <w:top w:w="28" w:type="dxa"/>
          <w:left w:w="28" w:type="dxa"/>
          <w:bottom w:w="28" w:type="dxa"/>
          <w:right w:w="28" w:type="dxa"/>
        </w:tblCellMar>
      </w:tblPr>
      <w:tblGrid>
        <w:gridCol w:w="3281"/>
        <w:gridCol w:w="146"/>
        <w:gridCol w:w="211"/>
        <w:gridCol w:w="736"/>
        <w:gridCol w:w="166"/>
        <w:gridCol w:w="146"/>
        <w:gridCol w:w="211"/>
        <w:gridCol w:w="676"/>
        <w:gridCol w:w="146"/>
        <w:gridCol w:w="146"/>
        <w:gridCol w:w="211"/>
        <w:gridCol w:w="736"/>
        <w:gridCol w:w="166"/>
        <w:gridCol w:w="146"/>
        <w:gridCol w:w="163"/>
        <w:gridCol w:w="708"/>
        <w:gridCol w:w="776"/>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Amount and/or percentage not meaningful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increased $18.4 million, from $20.1 million for the three months ended September 30, 2024 to $38.5 million for the three months ended September 30, 2025 due to increased sales of OJEMDA in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revenue decreased $72.4 million, from $73.7 million for the three months ended September 30, 2024 to $1.3 million for the three months ended September 30, 2025 due to the recognition of the upfront consideration received from the Ipsen License Agreement for the pLGG license rights in the three months ended September 30, 2024.</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product and 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product and license revenue increased $2.9 million, from $1.6 million for the three months ended September 30, 2024 to $4.5 million for the three months ended September 30, 2025 due to increased sales of OJEMDA in the United States and cost of license related services provided under the Ipsen License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$2.2 million, from $33.6 million for the three months ended September 30, 2024 to $31.4 million for the three months ended September 30, 2025. Personnel-related expenses decreased by $1.9 million driven by lower share-based compensation and third-party expenses decreased by $0.3 million due primarily to reductions in pimasertib clinical development costs.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three months ended September 30, 2025 and 2024:</w:t>
      </w:r>
    </w:p>
    <w:tbl>
      <w:tblPr>
        <w:tblW w:w="7924" w:type="dxa"/>
        <w:jc w:val="left"/>
        <w:tblInd w:w="0" w:type="dxa"/>
        <w:tblLayout w:type="fixed"/>
        <w:tblCellMar>
          <w:top w:w="28" w:type="dxa"/>
          <w:left w:w="28" w:type="dxa"/>
          <w:bottom w:w="28" w:type="dxa"/>
          <w:right w:w="28" w:type="dxa"/>
        </w:tblCellMar>
      </w:tblPr>
      <w:tblGrid>
        <w:gridCol w:w="5521"/>
        <w:gridCol w:w="146"/>
        <w:gridCol w:w="211"/>
        <w:gridCol w:w="676"/>
        <w:gridCol w:w="146"/>
        <w:gridCol w:w="146"/>
        <w:gridCol w:w="211"/>
        <w:gridCol w:w="676"/>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CRO, CMO and other clinical trial costs for the tovorafenib, pimasertib, DAY301, and the VRK1 inhibitor programs were $15.4 million, $0.3 million, $2.8 million, and $0.6 million, respectively, for three months ended September 30, 2025 compared to $16.6 million, $0.7 million, $0.6 million, and $1.5 million, respectively, for the three months ended September 30, 2024. </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decreased $0.9 million, from $29.0 million for the three months ended September 30, 2024 to $28.1 million for the three months ended September 30, 2025. The decrease in selling, general and administrative expenses was primarily due to a decrease of $1.8 million in personnel-related expenses driven by lower share-based compensation offset by an increase of $0.8 million in other selling, general and administrative costs and an increase of $0.1 million in professional services driven by increases in commercial launch activities.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we did not record an income tax provision since we generated tax losses during this period. Income tax expense for the three months ended September 30, 2024, was $0.9 million resulting in an effective tax rate of (2.4%) driven by the effect of equity compensation, generation of tax credits, deferred state income taxes and the valuation allowance recorded against the full amount of our net deferred tax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nine months ended September 30, 2025 and 2024 (unaudited):</w:t>
      </w:r>
    </w:p>
    <w:tbl>
      <w:tblPr>
        <w:tblW w:w="9476" w:type="dxa"/>
        <w:jc w:val="left"/>
        <w:tblInd w:w="0" w:type="dxa"/>
        <w:tblLayout w:type="fixed"/>
        <w:tblCellMar>
          <w:top w:w="28" w:type="dxa"/>
          <w:left w:w="28" w:type="dxa"/>
          <w:bottom w:w="28" w:type="dxa"/>
          <w:right w:w="28" w:type="dxa"/>
        </w:tblCellMar>
      </w:tblPr>
      <w:tblGrid>
        <w:gridCol w:w="3651"/>
        <w:gridCol w:w="146"/>
        <w:gridCol w:w="211"/>
        <w:gridCol w:w="841"/>
        <w:gridCol w:w="166"/>
        <w:gridCol w:w="146"/>
        <w:gridCol w:w="211"/>
        <w:gridCol w:w="841"/>
        <w:gridCol w:w="166"/>
        <w:gridCol w:w="146"/>
        <w:gridCol w:w="211"/>
        <w:gridCol w:w="841"/>
        <w:gridCol w:w="166"/>
        <w:gridCol w:w="146"/>
        <w:gridCol w:w="177"/>
        <w:gridCol w:w="694"/>
        <w:gridCol w:w="716"/>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sale of priority review voucher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Amount and/or percentage not meaningful</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increased $74.3 million, from $28.3 million for the nine months ended September 30, 2024 to $102.6 million for the nine months ended September 30, 2025 due to increased sales of OJEMDA in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revenue decreased $71.8 million, from $73.7 million for the nine months ended September 30, 2024 to $1.9 million for the nine months ended September 30, 2025 due to the recognition of the upfront consideration received from the Ipsen License Agreement for the pLGG license rights in the nine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product and 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product and license revenue increased $8.8 million, from $2.3 million for the nine months ended September 30, 2024 to $11.1 million for the nine months ended September 30, 2025 due to increased sales of OJEMDA in the United States and cost of license related services provided under the Ipsen License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$58.7 million, from $165.9 million for the nine months ended September 30, 2024 to $107.2 million for the nine months ended September 30, 2025. License related payments decreased by $56.0 million due to a $4.0 million milestone payment related to the XOMA License Agreement in the nine months ended September 30, 2025 compared to a $55.0 million upfront payment related to the MabCare License Agreement and a $5.0 million amendment payment related to the Viracta License Agreement in the nine months ended September 30, 2024. Personnel-related expenses decreased by $2.8 million driven by lower share-based compensation and other research and development costs decreased by $0.4 million. This is offset by an increase in $0.5 million in third-party expenses due primarily to an increase in clinical trial and manufacturing activities associated with DAY301.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nine months ended September 30, 2025 and 2024:</w:t>
      </w:r>
    </w:p>
    <w:tbl>
      <w:tblPr>
        <w:tblW w:w="8134" w:type="dxa"/>
        <w:jc w:val="left"/>
        <w:tblInd w:w="0" w:type="dxa"/>
        <w:tblLayout w:type="fixed"/>
        <w:tblCellMar>
          <w:top w:w="28" w:type="dxa"/>
          <w:left w:w="28" w:type="dxa"/>
          <w:bottom w:w="28" w:type="dxa"/>
          <w:right w:w="28" w:type="dxa"/>
        </w:tblCellMar>
      </w:tblPr>
      <w:tblGrid>
        <w:gridCol w:w="5521"/>
        <w:gridCol w:w="146"/>
        <w:gridCol w:w="211"/>
        <w:gridCol w:w="781"/>
        <w:gridCol w:w="146"/>
        <w:gridCol w:w="146"/>
        <w:gridCol w:w="211"/>
        <w:gridCol w:w="781"/>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XOMA License Agreement milestone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MabCare license agreement upfront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Viracta license agreement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CRO, CMO and other clinical trial costs for the tovorafenib, pimasertib, DAY301, and the VRK1 inhibitor programs were $49.9 million, $0.9 million, $7.7 million, and $3.5 million, respectively, for nine months ended September 30, 2025 compared to $52.7 million, $3.2 million, $0.6 million, and $5.0 million, respectively, for the nine months ended September 30, 2024. </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$0.7 million, from $85.7 million for the nine months ended September 30, 2024 to $86.4 million for the nine months ended September 30, 2025. The increase in selling, general and administrative expenses was primarily due to an increase of $0.1 million in professional services driven by increases in commercial launch activities and an increase of $1.2 million in other selling, general and administrative costs offset by a decrease in $0.6 million in personnel-related expenses driven by changes in headcount.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we did not record an income tax provision since we generated tax losses during this period. Income tax expense for the nine months ended September 30, 2024, was $0.7 million resulting in an effective tax rate of (2.3%) driven by the effect of equity compensation, generation of tax credits, deferred state income taxes and the valuation allowance recorded against the full amount of our net deferred tax assets.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a securities purchase agreement with certain institutional and accredited investors, or the PIPE Investors, pursuant to which we agreed to sell and issue to the PIPE Investors in a private placement, or the Private Placement, an aggregate of (i) 10,551,718 shares of our common stock at a purchase price of $14.50 per share and (ii) 1,517,241 pre-funded warrants, or the Pre-Funded Warrants, to purchase up to an aggregate of 1,517,241 shares of our common stock, or the Warrant Shares, at a purchase price of $14.4999 per Pre-Funded Warrant. Each Pre-Funded Warrant has an exercise price of $0.0001 per Warrant Share. The Pre-Funded Warrants are exercisable at any time after their original issuance and will not expire. The Private Placement closed on August 1, 2024 and we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we and the Investor dated July 23, 2024. We valued the shares at issuance at $32.6 million, concluding that our Company's common stock price as traded on The Nasdaq Stock Market LLC on the closing date of the transaction approximated fair value, which was then recorded as a component of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an accumulated deficit of $640.1 million and $451.6 million in cash, cash equivalents and short-term investments. We believe our cash, cash equivalents and short-term investments will be sufficient to satisfy our capital requirements through at least twelve months after the date that this Quarterly Report is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of research and development expenditures and selling,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operating lease obligation for office space. As of September 30, 2025, we had fixed lease payment obligations of approximately $0.5 million payable, within 12 months.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Research Organizations and Contract Manufacturing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September 30, 2025, there were no amounts accrued related to termination and cancellation charges as these are not probable.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7 to the financial statements.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the periods presented: </w:t>
      </w:r>
    </w:p>
    <w:tbl>
      <w:tblPr>
        <w:tblW w:w="6929"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8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2025 was $89.6 million consisting of our net loss of $86.0 million and changes in net operating assets and liabilities of $27.2 million, which were offset by non-cash charges of $23.7 million. Changes in operating assets and liabilities were primarily related to a decrease in accrued expenses and other current liabilities of $22.4 million, an increase in inventory of $3.6 million, an increase in accounts receivable of $2.8 million, an increase in prepaid expenses and other current assets of $1.2 million, and an increase in deposits and other long-term assets of $0.2 million. This was offset by an increase in accounts payable of $2.5 million, an increase in deferred revenue of $0.5 million, and an increase in our operating lease liability of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2024 was $48.1 million, consisting of our net loss of $29.8 million, non-cash charges of $18.1 million and net changes in operating assets and liabilities of $0.3 million. Non-cash charges are primarily related to a gain from the sale of our rare pediatric disease PRV of $108.0 million and accretion of discounts on short-term investments of $3.6 million, which was partially offset by acquired in-process research and development assets of $55.0 million and share-based compensation expense of $37.2 million. Net changes in operating assets and liabilities are primarily related to an increase in accrued expenses and other current liabilities of $8.7 million, deferred revenue of $5.3 million, and accounts payable of $0.4 million, which was partially offset by an increase in accounts receivable of $9.5 million, inventory of $2.7 million, prepaid expenses and other current assets of $2.3 million, and a decrease in operating lease liability of $0.3 million.</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nine months ended September 30, 2025 was $7.2 million attributable to the purchase of short-term investments of $637.9 million, acquisition of intangible assets of $3.5 million, and the acquisition of property and equipment of $0.3 million. This was partially offset by the proceeds from maturity of short-term investments of $648.8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nine months ended September 30, 2024 was $38.6 million related to the proceeds from the maturity of short-term investments of $307.5 million, proceeds from the sales of short-term investments of $79.4 million, and from the sale of our rare pediatric disease PRV of $108.0 million, partially offset by the purchase of short-term investments of $383.4 million, acquisition of in-process research and development assets of $55.0 million, acquisition of intangible assets of $17.1 million, and purchase of property and equipment of $0.8 million.</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for the nine months ended September 30, 2025 was $0.7 million related to net proceeds from the purchases made under our 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for the nine months ended September 30, 2024 was $201.4 million related to net proceeds from the issuance of common stock in connection with the private placement of $178.2 million and issuance of prefunded warrants to purchase common stock of $20.9 million, and upon stock option exercises and purchases made under our 2021 Employee Stock Purchase Plan of $2.3 million.</w:t>
      </w:r>
    </w:p>
    <w:p>
      <w:pPr>
        <w:pStyle w:val="TextBody"/>
        <w:bidi w:val="0"/>
        <w:spacing w:before="360" w:after="283"/>
        <w:jc w:val="left"/>
        <w:rPr>
          <w:rFonts w:ascii="Times New Roman" w:hAnsi="Times New Roman"/>
          <w:sz w:val="20"/>
        </w:rPr>
      </w:pPr>
      <w:r>
        <w:rPr>
          <w:rFonts w:ascii="Times New Roman" w:hAnsi="Times New Roman"/>
          <w:b/>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We expect to continue to incur significant expenses and increasing operating losses for the foreseeable future in connection with our ongoing activities. As of September 30, 2025, we had $451.6 million in cash and cash equivalents and short-term investments. We believe our cash, cash equivalents and short-term investments will be sufficient to satisfy our capital requirements at least twelve months after the date that this Quarterly Report is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cash, cash equivalents and short-term investments are not sufficient to meet capital needs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delay, limit, reduce or terminate our research, product development programs or any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funds may be adversely impacted by potential worsening global economic conditions, and disruptions to and volatility in the credit and financial markets in the United States and worldwide resulting from inflation, changing interest rates, significant political, trade or regulatory developments,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financial statements, which have been prepared in accordance with U.S. GAAP. The preparation of condensed financial statements in conformity with U.S. GAAP requires management to make estimates and assumptions that affect the reported amounts of assets, liabilities and disclosure of contingent assets and liabilities at the date of the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the Notes to our Condensed Financial Statements appearing within Item 2 of this Quarterly Report, we believe that the following accounting policies are the most critical to the judgments and estimates used in the preparation of our condensed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Accrued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accrued liabilities for estimated costs of our clinical trials conducted by third-party service providers. We record the estimated costs of the clinical trials as research and development expense based upon the estimated amount of services provided but not yet invoiced. We accrue for these costs based on factors such as estimates of the work completed and in accordance with terms established with our third-party service providers under the service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payments in connection with the clinical trials under contracts with CROs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w:t>
      </w:r>
    </w:p>
    <w:p>
      <w:pPr>
        <w:pStyle w:val="TextBody"/>
        <w:bidi w:val="0"/>
        <w:spacing w:before="360" w:after="283"/>
        <w:jc w:val="left"/>
        <w:rPr>
          <w:rFonts w:ascii="Times New Roman" w:hAnsi="Times New Roman"/>
          <w:sz w:val="20"/>
        </w:rPr>
      </w:pPr>
      <w:r>
        <w:rPr>
          <w:rFonts w:ascii="Times New Roman" w:hAnsi="Times New Roman"/>
          <w:b/>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2 of the Notes to our Financial Statements included in this Quarterly Report on Form 10-Q for a summary of recently issued and adopted accounting pronouncements. </w:t>
      </w:r>
    </w:p>
    <w:p>
      <w:pPr>
        <w:pStyle w:val="TextBody"/>
        <w:bidi w:val="0"/>
        <w:spacing w:before="360" w:after="283"/>
        <w:jc w:val="left"/>
        <w:rPr>
          <w:rFonts w:ascii="Times New Roman" w:hAnsi="Times New Roman"/>
          <w:sz w:val="20"/>
        </w:rPr>
      </w:pPr>
      <w:bookmarkStart w:id="11" w:name="tx180355_10"/>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market risks from those described in Part II Item 7A. Quantitative and qualitative disclosures about market risk of our 2024 Form 10-K.</w:t>
      </w:r>
    </w:p>
    <w:p>
      <w:pPr>
        <w:pStyle w:val="TextBody"/>
        <w:bidi w:val="0"/>
        <w:spacing w:before="360" w:after="283"/>
        <w:jc w:val="left"/>
        <w:rPr>
          <w:rFonts w:ascii="Times New Roman" w:hAnsi="Times New Roman"/>
          <w:sz w:val="20"/>
        </w:rPr>
      </w:pPr>
      <w:bookmarkStart w:id="12" w:name="tx180355_11"/>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management, with the participation of our Principal Executive Officer and Principal Financial Officer, performed an evaluation of the effectiveness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September 30, 2025, our disclosure controls and procedures were effective at a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that occurred during the three months ended September 30, 2025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center"/>
        <w:rPr>
          <w:rFonts w:ascii="Times New Roman" w:hAnsi="Times New Roman"/>
          <w:sz w:val="20"/>
        </w:rPr>
      </w:pPr>
      <w:bookmarkStart w:id="13" w:name="part_ii_other_information"/>
      <w:bookmarkEnd w:id="13"/>
      <w:r>
        <w:rPr>
          <w:rFonts w:ascii="Times New Roman" w:hAnsi="Times New Roman"/>
          <w:b/>
          <w:caps/>
          <w:color w:val="000000"/>
          <w:sz w:val="20"/>
        </w:rPr>
        <w:t>PART II-OTHER</w:t>
      </w:r>
      <w:r>
        <w:rPr>
          <w:rFonts w:ascii="Times New Roman" w:hAnsi="Times New Roman"/>
          <w:caps/>
          <w:color w:val="000000"/>
          <w:sz w:val="20"/>
        </w:rPr>
        <w:t xml:space="preserve"> </w:t>
      </w:r>
      <w:r>
        <w:rPr>
          <w:rFonts w:ascii="Times New Roman" w:hAnsi="Times New Roman"/>
          <w:b/>
          <w:caps/>
          <w:color w:val="000000"/>
          <w:sz w:val="20"/>
        </w:rPr>
        <w:t>INFORMATION</w:t>
      </w:r>
      <w:r>
        <w:rPr>
          <w:rFonts w:ascii="Times New Roman" w:hAnsi="Times New Roman"/>
          <w:caps/>
          <w:color w:val="000000"/>
          <w:sz w:val="20"/>
        </w:rPr>
        <w:t xml:space="preserve"> </w:t>
      </w:r>
    </w:p>
    <w:p>
      <w:pPr>
        <w:pStyle w:val="TextBody"/>
        <w:bidi w:val="0"/>
        <w:spacing w:before="360" w:after="283"/>
        <w:jc w:val="left"/>
        <w:rPr>
          <w:rFonts w:ascii="Times New Roman" w:hAnsi="Times New Roman"/>
          <w:sz w:val="20"/>
        </w:rPr>
      </w:pPr>
      <w:bookmarkStart w:id="14" w:name="item_1_legal_pro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several risks and uncertainties, including those immediately following this summary. Some of these risks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commercial stage biopharmaceutical company with a limited operating history in the initial stages of the commercialization of our product, OJEMDA, which may make it difficult for investors to evaluate our current business and likelihood of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our inception. We expect to incur continued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our ability to achieve several objectives relating to the discovery or identification, development and commercialization of OJEMDA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our product candidates, our reputation may be harmed and our business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data from investigator-initiated studies, as we did for the Phase 1 clinical trial, and we do not control the trial operations or reporting of the results of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pharmaceutical products are subject to extensive regulation, and we may not obtain marketing authorizations for DAY301 or any future product candidates,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pharmaceutical products, including OJEMDA and our product candidate, DAY301, is complex. Our third-party manufacturers may encounter difficulties in production, which could delay or entirely halt their ability to supply our product candidates for clinical trials or, if approved, our products for commercial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depends on our ability to retain our executive officers and key employees and to attract, retain and motivate qualified personnel and manage our human capital.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grow the size and capabilities of our organization, and we may experience difficulties in managing this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commercial-stage biopharmaceutical company with a limited operating history in the initial stages of the commercialization our product OJEMDA, which may make it difficult for investors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biopharmaceutical company with a limited operating history upon which you can evaluate our business and prospects. Investment in drug development is a highly speculative undertaking and involves a substantial degree of risk. We commenced operations in 2018, and, to date, we have devoted substantially all of our resources to identifying, acquiring and developing OJEMDA and our product candidates, including DAY 301, which we licensed from MabCare Therapeutics in June 2024,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selling, general and administrative support for these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encounter unforeseen expenses, difficulties, complications, delays and other known and unknown factors and risks frequently experienced by biopharmaceutical companies in rapidly evolving fields and with recently approved therapies. If we do not adequately address these risks and difficulties or successfully make a commercial transition,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significant net losses since our inception. We expect to incur continued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reporting period since our inception, and as of September 30, 2025, we have generated approximately $159.8 million of revenue from product sales of OJEMDA. We have financed our operations principally through the sale and issuance of redeemable convertible preferred shares, the completion of our initial public offering, or IPO, and follow-on public offerings of our common stock. For the nine months ended September 30, 2025 and 2024 we reported a net loss of $86.0 million and $29.8 million, respectively. We had an accumulated deficit of $640.1 million as of September 30, 2025. We expect to incur increasing levels of operating losses for the foreseeable future, particularly as we advance tovorafenib and DAY301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3 FIREFLY-2 trial of tovorafenib as a potential front-line therapy in pLGG, our post-marketing commitments and requirements for OJEMDA, our Phase 1a/b trial of DAY301 targeting PTK7 and development of and subsequent Investigational New Drug Applications, or INDs, for any future product candidates we may choose to pursue. In October 2023, the U.S. Food and Drug 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 manufacturing expenses in connection with the commercialization of OJEMDA, or our product candidate, DAY301, if marketing authorization is received. We have also incurred, and will continue to incur, additional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is highly dependent on our ability to timely complete successful clinical trials, obtain marketing authorization for, and then successfully commercialize, OJEMDA and our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OJEMDA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third-party manufacturers, or establishing manufacturing capabilities, for both clinical and commercial supplies of OJEMDA and ensuring a resilient, effective supply chain that produces supply that outpaces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marketing, pricing and reimbursement strategies, as well as adequate demand forecasts for supply and sales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for OJEMDA, whether alone or in collaboration with others in a market where promotional sales approaches are rapidly moving to digital platforms and access of sales representatives to major institutions remains uncertain;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OJEMDA by patients, physicians, the medical community and third-party payors underpinned by adequate health economic data and a meaningful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payor coverage and adequate reimbursement in both public and private payor spaces across multiple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therapies, including those that have not yet entered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companies in the pharmaceutical and biotechnology industries, which are characterized by rapidly advancing technologies, intense competition and a strong emphasis on proprietary and novel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appropriate support from patient advocacy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shaping the market in the early years following launch to help providers understand a new way of thinking about treating relevant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patents will be sufficient to prevent generic competition for OJEMDA after our orphan drug exclusivity expires;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any required or committed post-marketing studies and available funding to perform any such post-marketing requirements or post-marketing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the products following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and if we cannot address any of them in a timely manner or at all, we could experience significant delays or an inability to successfully commercialize OJEMDA and our product candidates, which would materially harm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successful commercialization of OJEMDA and development of our product candidates. We are early in our development efforts for other indications, and our product tovorafenib is currently in a pivotal Phase 3 clinical trial as a potential front-line therapy in pLGG. Our product candidate, DAY301, is in the earlier stages of development and is not approved for sale in any jurisdiction. There can be no assurance that tovorafenib and DAY301 or any future product candidates we develop, if any, will achieve success in their ongoing clinical trials or obtain marketing authorization.</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future revenue at the levels or timing we expect and achieve profitability depends on several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market and sell OJEMDA while maintaining full compliance with applicable federal and state laws, rules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pivotal Phase 3 FIREFLY-2 trial with tovorafenib that achieves a competitive, clinically meaningful and generally well-tolerated target product profile for the front-line treatment of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Phase 1a/b trial of DAY301;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successfully complete all safety, pharmacokinetic and other studies required to support Ipsen to obtain foreign marketing authorization for OJEMDA as a treatment for patients with pLGGs;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complete additional, successful late-stage clinical trials that meet their clinical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favorable results from our clinical trials and apply for and obtain marketing authorizations for DAY301 from applicable regulatory authorities, including NDAs from the FDA, and maintaining such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licenses, collaborations or strategic partnerships that allow for the commercialization of OJEMDA and our product candidates and/or may increase the value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commercialize OJEMDA, DAY301, and any future product candidates we may develop, if approved, by building and maintaining a sales force and/or entering into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satisfy any post-marketing requirements imposed by, or post-marketing commitments made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an acceptable safety profile of our product and our product candidate, DAY301, and continue to maintain a continued acceptable safety profile following marketing authorization,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assess and develop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patent and trade secret protection, statutory exclusivities and other intellectual property protections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defend our intellectual property portfolio, including any necessary licenses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our product candidate, DAY301, if approved, with patients, the medical community and third-party payors, both in the United States and internationally;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and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early stages of most of these activities. We may never succeed in these activities and, even if we do, may never generate revenues that are significant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commercialize our product, OJEMDA, and advance product candidate, DAY301, and any future product candidates through clinical development. We expect increased expenses as we continue our research and development, initiate additional clinical trials, seek to expand our product pipeline, seek marketing authorization for our programs and future product candidates, if any, and invest in our organization. In addition, we expect to incur significant expenses related to the product manufacturing, marketing, sales and distribution of OJEMDA and, if we obtain marketing authorization, for our product candidate, DAY301.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additional funding in connection with our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$451.6 million in cash, cash equivalents and short-term investments as of September 30, 2025. Based on our cash, cash equivalents and short-term investments, as of September 30, 2025, we estimate that our current liquidity will be sufficient to satisfy our capital requirements at least twelve months after the date that this Quarterly Report is filed.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results of preclinical studies and clinical trials for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pipeline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current or future product candidates that we may pursue, and other indications for our current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marketing authorization for our current or future product candidates or the modification of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and marketing authorization for any complementary or companion diagnostics that may be useful to or necessary for the commercialization of OJEMDA and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making arrangements with third-party manufacturers, or establishing manufacturing capabilities, for both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our organization to the size needed to allow for the research, development and potential commercialization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pursue strategic collaborations, including collaborations to commercialize OJEMDA, DAY301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commercializing any approved products and product candidates, including establishing sales, marketing, market access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completing any post-marketing studies or trials requested or required by the FDA or other regulatory authorities, including for OJEMDA;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OJEMDA, DAY301 or any of our future product candidates, if approved, or any other future pipeline product candidates that receive marketing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potential product liability claims, including the costs associated with obtaining insurance against such claims and with defending against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to complete our planned clinical development programs for our current product candidates to obtain marketing authorization, and we anticipate needing to raise additional capital to complete the development of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September 30, 2025.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changes in domestic and foreign currency rates, significant political, trade or regulatory developments, global regional conflicts, public health epidemics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our product candidates, our reputation may be harmed and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failure for our product candidates is high. It is impossible to predict when or if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results of preclinical studies and earlier clinical trials may not be predictive of the results of later-stage preclinical studies or clinical trials. We have limited clinical data for our product candidates. Products and product candidates in later stages of clinical trials may fail to show similar or desired safety and efficacy traits despite having progressed through preclinical and earlier stage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OJEMDA has only been studied in a limited number of patients. Following commercial launch, OJEMDA is now available to a much larger number of patients, and we do not know whether the results of OJEMDA’s use in such larger number of patients will be consistent with the results from our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has been administered only to a limited number of patients in clinical studies. While the FDA granted accelerated approval of OJEMDA based on the data included in the NDAs, we do not know whether the real-world 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future sales revenues in line with our expectations.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rely on data from investigator-initiated studies, as we did for the Phase 1 clinical trial, and we do not control the trial operations or reporting of the results of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trials may be suspended, delayed or fail to adequately demonstrate the safety and effectiveness of OJEMDA and our product candidates, which would prevent or delay development, marketing authorization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authorization from the FDA for our product candidates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challenges and unforeseen events during, or as a result of, clinical trials that could delay or prevent receipt of marketing authorization for our product candidates. or our ability to successfully commercialize OJEMDA or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regulators refusing to permit our clinical studies to proceed or placing studies on hold before or after the studies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demonstrate that the dose for a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product candidates in clinical trials to demonstrate important functional, quality, or patient-reported outcomes;</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landscape causing clinical trial enrollment challenges or preventing or delaying marketing authorization in one or several subsets studied in our programs, including in relapsed or front-line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that may require us to conduct additional clinical trials or abandon certain research and/or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delays in our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including Good Clinical Practice, or GCP, regulations,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or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clinical trials to demonstrate the safety or effectiveness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feedback from regulatory authorities that would require us to include data from additional patients or longer term efficacy and safety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some of our product candidates are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predict the outcome of our clinical trials, nor can we guarantee that the data we generate from our clinical trials will be acceptable to regulatory authorities so as to support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drug development and/or commercialization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or unable to obtain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may have contraindications, limitations of use or other restrictions that affect the market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authorization with labeling that includes safety warnings, a risk evaluation and mitigation strategy, or REMS, and/or other restrictions on distribution or use that could affect market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drug or impose post-marketing safety labeling changes or a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civil or criminal investigations and litigation;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enrolling patients in our ongoing or planned clinical trials, we may be delayed in or prevented from obtaining necessary marketing authorization for any or all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of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and prevalence of our target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awareness of, and perceptions as to, the potential advantages and risks of our product candidates in relation to other available therapies, including any new drugs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capacity of clinical researchers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expertise and selection of contract research organizations, or CROs, to manage operations related to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studies or trials with similar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invasive procedures that may be required to enroll patients and to obtain evidence of the product candidate’s performance during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shortages of chemotherapy standard of care, which may be used in the control arm of certain of our clinical trials, including FIREFLY-2;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defined in the protocol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subject to a partial or full clinical hold on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reluctance of physicians or patient advocacy organizations to encourage patient participation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whose tumors harbor V600E mutations in clinical trials for OJEMDA.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pStyle w:val="TextBody"/>
        <w:bidi w:val="0"/>
        <w:spacing w:before="360" w:after="283"/>
        <w:jc w:val="left"/>
        <w:rPr>
          <w:rFonts w:ascii="Times New Roman" w:hAnsi="Times New Roman"/>
          <w:sz w:val="20"/>
        </w:rPr>
      </w:pPr>
      <w:r>
        <w:rPr>
          <w:rFonts w:ascii="Times New Roman" w:hAnsi="Times New Roman"/>
          <w:b/>
          <w:i/>
          <w:color w:val="000000"/>
          <w:sz w:val="20"/>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initially structured the primary endpoint in our FIREFLY-2/LOGGIC trial to be assessed using the Response Assessment for Neuro-Oncology Low-Grade Glioma, or RANO-LGG, and have included RANO-LGG as an exploratory endpoint in FIREFLY-1. Following further feedback from the FDA during review of the NDAs for OJEMDA, in June 2024 we updated the structure of the primary endpoint in our FIREFLY-2/LOGGIC trial to be assessed using the RAPNO-LGG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obtain approval for, and commercialize, our product candidates may be harmed, which could harm our business, operating results, prospects or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pStyle w:val="TextBody"/>
        <w:bidi w:val="0"/>
        <w:spacing w:before="120" w:after="283"/>
        <w:jc w:val="left"/>
        <w:rPr>
          <w:rFonts w:ascii="Times New Roman" w:hAnsi="Times New Roman"/>
          <w:sz w:val="20"/>
        </w:rPr>
      </w:pPr>
      <w:r>
        <w:rPr>
          <w:rFonts w:ascii="Times New Roman" w:hAnsi="Times New Roman"/>
          <w:color w:val="000000"/>
          <w:sz w:val="20"/>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hAnsi="Times New Roman"/>
          <w:color w:val="000000"/>
          <w:sz w:val="12"/>
        </w:rPr>
        <w:t>®</w:t>
      </w:r>
      <w:r>
        <w:rPr>
          <w:rFonts w:ascii="Times New Roman" w:hAnsi="Times New Roman"/>
          <w:color w:val="000000"/>
          <w:sz w:val="20"/>
        </w:rPr>
        <w:t xml:space="preserve"> by Genentech; dabrafenib, marketed as Tafinlar</w:t>
      </w:r>
      <w:r>
        <w:rPr>
          <w:rFonts w:ascii="Times New Roman" w:hAnsi="Times New Roman"/>
          <w:color w:val="000000"/>
          <w:sz w:val="12"/>
        </w:rPr>
        <w:t>®</w:t>
      </w:r>
      <w:r>
        <w:rPr>
          <w:rFonts w:ascii="Times New Roman" w:hAnsi="Times New Roman"/>
          <w:color w:val="000000"/>
          <w:sz w:val="20"/>
        </w:rPr>
        <w:t xml:space="preserve"> by Novartis; and encorafenib, marketed as Braftovi</w:t>
      </w:r>
      <w:r>
        <w:rPr>
          <w:rFonts w:ascii="Times New Roman" w:hAnsi="Times New Roman"/>
          <w:color w:val="000000"/>
          <w:sz w:val="12"/>
        </w:rPr>
        <w:t>®</w:t>
      </w:r>
      <w:r>
        <w:rPr>
          <w:rFonts w:ascii="Times New Roman" w:hAnsi="Times New Roman"/>
          <w:color w:val="000000"/>
          <w:sz w:val="20"/>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pStyle w:val="TextBody"/>
        <w:bidi w:val="0"/>
        <w:spacing w:before="120" w:after="283"/>
        <w:jc w:val="left"/>
        <w:rPr>
          <w:rFonts w:ascii="Times New Roman" w:hAnsi="Times New Roman"/>
          <w:sz w:val="20"/>
        </w:rPr>
      </w:pPr>
      <w:r>
        <w:rPr>
          <w:rFonts w:ascii="Times New Roman" w:hAnsi="Times New Roman"/>
          <w:color w:val="000000"/>
          <w:sz w:val="20"/>
        </w:rPr>
        <w:t>Five MEK inhibitors have been approved by the FDA. Three have been approved for the treatment of tumors containing BRAF V600E or V600K mutations, including cobimetinib, marketed as Cotellic</w:t>
      </w:r>
      <w:r>
        <w:rPr>
          <w:rFonts w:ascii="Times New Roman" w:hAnsi="Times New Roman"/>
          <w:color w:val="000000"/>
          <w:sz w:val="12"/>
        </w:rPr>
        <w:t>®</w:t>
      </w:r>
      <w:r>
        <w:rPr>
          <w:rFonts w:ascii="Times New Roman" w:hAnsi="Times New Roman"/>
          <w:color w:val="000000"/>
          <w:sz w:val="20"/>
        </w:rPr>
        <w:t xml:space="preserve"> by Genentech; trametinib, marketed as Mekinist</w:t>
      </w:r>
      <w:r>
        <w:rPr>
          <w:rFonts w:ascii="Times New Roman" w:hAnsi="Times New Roman"/>
          <w:color w:val="000000"/>
          <w:sz w:val="12"/>
        </w:rPr>
        <w:t>®</w:t>
      </w:r>
      <w:r>
        <w:rPr>
          <w:rFonts w:ascii="Times New Roman" w:hAnsi="Times New Roman"/>
          <w:color w:val="000000"/>
          <w:sz w:val="20"/>
        </w:rPr>
        <w:t xml:space="preserve"> by Novartis; and binimetinib, marketed as Mektovi</w:t>
      </w:r>
      <w:r>
        <w:rPr>
          <w:rFonts w:ascii="Times New Roman" w:hAnsi="Times New Roman"/>
          <w:color w:val="000000"/>
          <w:sz w:val="12"/>
        </w:rPr>
        <w:t>®</w:t>
      </w:r>
      <w:r>
        <w:rPr>
          <w:rFonts w:ascii="Times New Roman" w:hAnsi="Times New Roman"/>
          <w:color w:val="000000"/>
          <w:sz w:val="20"/>
        </w:rPr>
        <w:t xml:space="preserve"> by Pfizer. Two have been approved for the treatment of pediatric patients, 2 years of age and older, with neurofibromatosis type 1, or NF1, who have symptomatic plexiform neurofibromas not amenable to complete resection, including selumetinib, marketed as Koselugo® by AstraZeneca and mirdametinib, marketed as Gomekli® by SpringWorks. While MEK inhibitors as monotherapy have been shown to be active in BRAF altered pLGG (both BRAF V600E mutant pLGG and BRAF fusion-driven pLGG), no MEK inhibitors have been approved by the FDA as a monotherapy for the treatment of patients with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next-generation BRAF inhibitors in clinical development. Fore Biotherapeutics (formerly NovellusDx) is developing the RAF dimer breaker plixorafenib (formerly FORE8394 or PLX-8394) in a Phase 2 trial in combination with cobicistat in patients with cancers harboring BRAF alterations. Black Diamond Therapeutics have the next-generation BRAF inhibitor BDTX-4933 in Phase 1 clinical trials in adult solid tumors (KRAS-mutant NSCLC and solid tumors with RAF/RAS-mutations). Jazz Pharmaceuticals and Redx Pharma's pan-RAF inhibitor JZP815 is currently being evaluated in a Phase 1 trial in adult solid tumors harboring alterations in the MAPK pathway. Erasca and Novartis' naporafenib, a pan-RAF inhibitor with a potential first-in-class and best-in-class profile in NRAS mutant melanoma and other RAS/MAPK pathway-driven tumors, is being evaluated in combination with trametinib, in a Phase 3 clinical trial in patients with NRAS-mutant melanoma. Nested Therapeutics has advanced NST-628, a pan-RAF/MEK “molecular glue” into a Phase 1 clinical trial. Pfizer’s PF-07799933 (ARRY-440) is a brain-penetrant BRAF-selective monomer/dimer inhibitor that spares ARAF and CRAF, and is currently being evaluated in a phase 1 trial in adults with solid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MabCare License Agreement, we have the exclusive right to develop, manufacture and commercialize DAY301, a novel ADC targeting PTK7, worldwide, excluding Greater China. In January 2025, we cleared the first cohort (a single-patient accelerated titration cohort) in the Phase 1a portion of the DAY301 Phase 1a/b clinical trial. There are a few ADCs targeting PTK7 in clinical development. In February 2024, Profound Bio dosed its first patient in a Phase 1/2 Clinical Trial of PRO1107, a PTK7-targeted ADC with an auristatin payload. Profound Bio was acquired by Genmab A/S in May of 2024 and the program was renamed to GEN1107. In September 2025, Genmab announced that PRO1107 was being discontinued due to the overall benefit-risk balance of the program. In May 2024, Sichuan Kelun Pharmaceutical Research Institute also listed a Phase 1 study of SKB51, a PTK7-targeted ADC with a topoisomerase-1 payload, in adults with advanced or metastatic solid tumors. Eli Lilly and Company is also conducting a clinical trial, initiated in July 2025, for LY4175408, a PTK7 targeted ADC with an exatecan payload. Notable PTK7 in preclinical development include Whitehawk’s HWK-007, IDEAYA’s IDE-034 and Biocytogen’s BCG003 and BCG017.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future revenue from the sale of the product candidates we may develop, if approved,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Safety risks or other side effects associated with OJEMDA, DAY301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pharmaceuticals generally, we have observed side effects and adverse events associated with our product, OJEMDA, and our product candidates. The most common side effects were rash, hair color changes, tiredness, viral infection, vomiting, headache, fever, decrease in growth velocity, dry skin, constipation, nausea, acne and upper respiratory tract infection.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DAY301 or our other product candidates. If we elect or are required to delay, suspend or terminate any clinical trial, the commercial prospects of OJEMDA and our product candidates will be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harmed and our ability to generate product revenues from such product or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 marketing authorization, and we or others later identify undesirable side effects caused by treatment with such drug,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the drug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impose additional restrictions on the marketing or promotion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regulatory investigations and government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could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authorization or acceptance of our product candidates, if approved, and could significantly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or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opportunities for any products and product candidates we develop, if approved, may be limited to certain smaller patient subsets and may be smaller than we estimate them to be.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the NDAs for the treatment of patients 6 months of age and older with relapsed or refractory pLGG harboring a BRAF fusion or rearrangement, or BRAF V600 mutation. We have commenced the commercial launch of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in the United States. There is no guarantee that OJEMDA or our product candidates will be approved for the front-line setting, and prior to any such approvals we may have to conduct additional clinical trials that may be costly, time-consuming and subject to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and our product candidates may be limited or may not be amenable to treatment with OJEMDA and our product candidates. Consequently, even if our product candidates are approved, the number of patients that may be eligible for treatment with our product candidates may turn out to be much lower than expected. Even if we obtain significant market share for our products, if the potential target populations are small, we may never achieve profitability without obtaining marketing authorization for additional indications,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development activities are primarily focused on the development of targeted therapeutics for patients with genomically-defined cancers, which is a rapidly evolving area of science, and the approach we are taking to search and develop drugs is novel and may never lead to additional approved or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OJEMDA and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OJEMDA and our product candidate, DAY301, may not achieve adequate market acceptance among physicians, healthcare professionals, patients or their families,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OJEMDA, and product candidate, DAY301, if approved, may not achieve adequate market acceptance among physicians, healthcare professionals, patients or their families, healthcare payors and others in the medical community necessary for commercial success globally. The degree of market acceptance of any of our approved product candidates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durability and safety profile as demonstrated in clinical trials compared to alternative treatments, in addition to functional, quality or patient-reported outcomes;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and of any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use of product candidates in the labeling approved by regulatory authorities, such as boxed warnings or contraindications in labeling, or REMS, which may not be required of alternative treatments and competitor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OJEMDA and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and the cost/benefit ratios of each;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by third-party payors, including government authorities, and timing of relevant formulary decision-making resulting in this coverage and reimbursement;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in relation to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(which may include willingness of our pediatric patients’ parents) to try new therapies and undergo required diagnostic screening to determine treatment eligibility and of physicians to prescribe these therapies and diagnostic tests;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and market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publicity relating to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approved but do not achieve an adequate level of acceptance by physicians, hospitals, healthcare payors and patients, we may not generate or derive sufficient revenue from that product candidate and our financial results could be negatively impacted. With respect to OJEMDA specifically, successful commercialization globally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products and product candidates we develop may become subject to unfavorable third-party coverage and reimbursement practices, as well as price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 DAY301,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or product candidate for which we obtain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pharmaceutical products are subject to extensive regulation, and we may not obtain marketing authorizations for DAY301 or any future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and DAY301, currently our only product and product candidate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refer any application we submit to an advisory committee. An advisory committee is a panel of independent experts, including clinicians and other scientific experts, which reviews, evaluates and provides advice and recommendations to the FDA as to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application should be approved and under what conditions. The FDA is not bound by the recommendations of an advisory committee, but it considers such recommendations carefully when making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approval of an NDA is not guaranteed, and the review and approval process is an expensive and uncertain process over which the FDA has substantial discretion. The FDA approval process may also take several years. The timelines for the FDA review and approval process may be delayed as a result of future organizational changes and/or staffing reductions.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deem our product candidate to be safe and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that the product candidate does not have an acceptable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in the case of an NDA seeking accelerated approval that the NDA does not provide evidence that the product candidate represents a meaningful advantage over available therapies and, therefore, may deny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ORR as the primary endpoint, complemented by key secondary endpoints, is insufficient to reliably define clinical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adverse events experienced by participants in our clinical trials represent an unacceptable level of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accept clinical data from trials, which are conducted at clinical facilities or in countries where the standard of care is potentially different from that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 regarding the formulation, labeling and/or the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approve the manufacturing processes associated with our product candidate or may determine that a manufacturing facility does not have an acceptable compliance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approval policies or adopt new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file a submission due to, among other reasons, the content or formatting of the submission.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obtained FDA approval for our product candidate, DAY301.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avail ourselves of one or more of the FDA’s expedited programs. For example, we may seek Fast Track designation for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 The FDA may withdraw breakthrough therapy designations if it determines that the criteria for the designation is no longer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PRV. We cannot assure you that the FDA would decide to grant priority review of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accelerated approval for one or more of our product candidates on the basis of a surrogate endpoint that we believe is reasonably likely to predict clinical benefit, such as ORR. The FDA may not agree with our conclusion that an endpoint we select is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reasonably likely to predict clinical benefit, and thus the FDA may not agree that accelerated approval is appropriate based on that endpoint (even if the results on that endpoint are statistically significant), which could delay or preclude accelerated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Congress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 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also has the authority to withdraw products approved under the accelerated approval pathway using expedited withdrawal procedures. Circumstances that may lead to such withdrawal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conduct any required post-approval study of a product candidate with due diligence, including with respect to conditions specified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study required to verify and describe the predicted clinical benefit of a product candidate fails to verify and describe such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evidence demonstrates that the product candidate is not shown to be safe or effective under the conditions of use;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sponsor's dissemination of false or misleading promotional materials relating to the relevant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 maintain orphan drug designation or exclusivity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obtained orphan drug designation in the United States and in the EU for use of tovorafenib in treating malignant glioma and glioma, respectively. We may seek orphan drug designation for tovorafenib in additional geographies or indications, or for DAY301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if a medicinal product is granted marketing authorization as an orphan medicinal product, it benefits from a period of orphan market exclusivity during which the European Medicines Agency, or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Moreover, a recent Eleventh Circuit decision in </w:t>
      </w:r>
      <w:r>
        <w:rPr>
          <w:rFonts w:ascii="Times New Roman" w:hAnsi="Times New Roman"/>
          <w:i/>
          <w:color w:val="000000"/>
          <w:sz w:val="20"/>
        </w:rPr>
        <w:t>Catalyst Pharmaceuticals, Inc. vs. FDA</w:t>
      </w:r>
      <w:r>
        <w:rPr>
          <w:rFonts w:ascii="Times New Roman" w:hAnsi="Times New Roman"/>
          <w:color w:val="000000"/>
          <w:sz w:val="20"/>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w:t>
      </w:r>
      <w:r>
        <w:rPr>
          <w:rFonts w:ascii="Times New Roman" w:hAnsi="Times New Roman"/>
          <w:i/>
          <w:color w:val="000000"/>
          <w:sz w:val="20"/>
        </w:rPr>
        <w:t>Catalyst</w:t>
      </w:r>
      <w:r>
        <w:rPr>
          <w:rFonts w:ascii="Times New Roman" w:hAnsi="Times New Roman"/>
          <w:color w:val="000000"/>
          <w:sz w:val="20"/>
        </w:rPr>
        <w:t xml:space="preserve"> decision beyond the facts at issue in that case, </w:t>
      </w:r>
      <w:r>
        <w:rPr>
          <w:rFonts w:ascii="Times New Roman" w:hAnsi="Times New Roman"/>
          <w:i/>
          <w:color w:val="000000"/>
          <w:sz w:val="20"/>
        </w:rPr>
        <w:t>Catalyst</w:t>
      </w:r>
      <w:r>
        <w:rPr>
          <w:rFonts w:ascii="Times New Roman" w:hAnsi="Times New Roman"/>
          <w:color w:val="000000"/>
          <w:sz w:val="20"/>
        </w:rPr>
        <w:t xml:space="preserve"> could serve as a precedent for future challenges to the FDA’s orphan drug-related decisions, and, accordingly, could fundamentally change how companies rely on, or seek to work around, orphan drug exclusivity in the United States. More recently, the U.S. Court of Appeals for the D.C. Circuit fully embraced the reasoning of the </w:t>
      </w:r>
      <w:r>
        <w:rPr>
          <w:rFonts w:ascii="Times New Roman" w:hAnsi="Times New Roman"/>
          <w:i/>
          <w:color w:val="000000"/>
          <w:sz w:val="20"/>
        </w:rPr>
        <w:t>Catalyst</w:t>
      </w:r>
      <w:r>
        <w:rPr>
          <w:rFonts w:ascii="Times New Roman" w:hAnsi="Times New Roman"/>
          <w:color w:val="000000"/>
          <w:sz w:val="20"/>
        </w:rPr>
        <w:t xml:space="preserve"> decision in another decision challenging the scope of orphan drug exclusivity, </w:t>
      </w:r>
      <w:r>
        <w:rPr>
          <w:rFonts w:ascii="Times New Roman" w:hAnsi="Times New Roman"/>
          <w:i/>
          <w:color w:val="000000"/>
          <w:sz w:val="20"/>
        </w:rPr>
        <w:t>Jazz Pharmaceuticals, Inc. v. Kennedy</w:t>
      </w:r>
      <w:r>
        <w:rPr>
          <w:rFonts w:ascii="Times New Roman" w:hAnsi="Times New Roman"/>
          <w:color w:val="000000"/>
          <w:sz w:val="20"/>
        </w:rPr>
        <w:t xml:space="preserve">. Legislation has also been introduced that may reverse the </w:t>
      </w:r>
      <w:r>
        <w:rPr>
          <w:rFonts w:ascii="Times New Roman" w:hAnsi="Times New Roman"/>
          <w:i/>
          <w:color w:val="000000"/>
          <w:sz w:val="20"/>
        </w:rPr>
        <w:t>Catalyst</w:t>
      </w:r>
      <w:r>
        <w:rPr>
          <w:rFonts w:ascii="Times New Roman" w:hAnsi="Times New Roman"/>
          <w:color w:val="000000"/>
          <w:sz w:val="20"/>
        </w:rPr>
        <w:t xml:space="preserve"> decision, but such legislation has not yet been passed.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older with relapsed or refractory pLGG harboring a BRAF fusion or rearrangement, or BRAF V600 mutation, and in connection with the accelerated approval, Day One received a rare pediatric disease PRV.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Congress authorized the FDA to award PRVs to sponsors of certain rare pediatric disease product applications that meet the specified criteria. These vouchers are designed to encourage development of new drug and biological products for prevention and treatment of certain rare pediatric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PRV may transfer (including by sale) the voucher to another sponsor. On May 29, 2024, we entered into an asset purchase agreement, pursuant to which we agreed to sell our rare pediatric disease PRV to an undisclosed buyer for gross proceeds of $108.0 million. Following the sale, we are no longer eligible to take advantage of the incentives under the rare pediatric disease PRV, including priority review of a subsequent marketing application.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in the future for any of our current or future product candidates or that we will realize any value if we receive and were to sell any such voucher.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PRV upon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the current statutory sunset provisions, the FDA generally may not award rare pediatric disease PRVs after December 20, 2024. However, if the sponsor has received rare pediatric disease designation for a drug no later than September 30, 2024, the FDA may award a rare pediatric disease PRV if the drug is approved by September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 in line with our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product and product candidate for which marketing authorization is granted, including OJEMDA, an approved product and the marketing authorization holder are subject to ongoing regulation by the FDA, the EMA and other regulators. Regulators may impose post-marketing requirements and elicit post-marketing commitments, which may be onerous and subject us to ongoing review and extensive regulation. For example, the FDA or EMA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our CMOs could be subject to periodic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testing, product surveillance and quality assurance.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for which we obtain marketing authorization, such as OJEMDA, along with the manufacturing processes, post-approval clinical data, labeling, advertising and promotional activities for such product, will be subject to continual requirements of and review by the FDA, the EMA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patients taking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media coverage and damage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OJEMDA and product candidates,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sales and marketing efforts, conduct further post-approval studies and/or discontinue or change any other ongoing clinical studies, which in turn could result in significant expense and delay and/or limit our ability to generate sales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and/or product release specifications. The time required to obtain approval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or EMA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and receive approval for marketing authorizations in other foreign jurisdictions and may not receive necessary approvals to commercialize our products in any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pPr>
      <w:r>
        <w:rPr>
          <w:rFonts w:ascii="Times New Roman" w:hAnsi="Times New Roman"/>
          <w:color w:val="000000"/>
          <w:sz w:val="20"/>
        </w:rPr>
        <w:t>anesthesiologist assistants, certified nurse anesthetists and certified nurse-midwives for reporting in the following year. The reported information is made available on a public website; and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reputation, results of operations, financial condition and prospects.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Existing, recently enacted and future legislation may increase the difficulty and cost for us to obtain marketing authorization of and commercialize our product candidates and decrease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the provisions of the ACA of importance to our potential product candidates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fees and taxes on manufacturers of certain branded prescription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annual, nondeductible fee on any entity that manufactures or imports specified branded prescription drugs and biologic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methodology by which rebates owed by manufacturers under the Medicaid Drug Rebate Program are calculated for drugs that are inhaled, infused, instilled, implanted or injected;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the statutory minimum rebates a manufacturer must pay under the Medicaid Drug Rebate Program and extended the rebate program to individuals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healthcare fraud and abuse laws, including the False Claims Act and the federal Anti-Kickback Statute, new government investigative powers and enhanced penalties for noncompliance;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of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eligibility criteria for Medicaid programs;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the entities eligible for discounts under the Public Health Service pharmaceutical pricing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report financial arrangements with physicians, as defined by such law, and teaching hospitals;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annually report drug samples that manufacturers and distributors provide to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Patient-Centered Outcomes Research Institute to oversee, identify priorities in and conduct comparative clinical effectiveness research, along with funding for such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repeal or replace certain aspects of the ACA, including measures taken during the first Trump administration.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addition, there have been legal challenges to the constitutionality of the ACA and certain requirements such as the individual mandate. Although these challenges have been unsuccessful to date, there may be other efforts to challenge the individual mandate or to challenge, repeal or replace the ACA. It is unclear how any pending or future litigation and the healthcare reform measures of the current presidential administration and Congress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In July 2025, the One Big Beautiful Bill Act, or the OBBBA, was signed into law, which reduces funding to federal healthcare programs and imposes additional requirements to be eligible for healthcare. These laws may result in additional reductions in Medicare and other healthcare funding.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recent presidential administrations were focused on drug pricing and have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began taking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discounts, product access and marketing; imposing drug price and cost disclosure and transparency requirements; permitting importation from other countries; and encouraging bulk purchasing.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including potentially significant additional changes to current drug pricing and reimbursement structures, such as Most Favored Nation provisions, will be adopted in the future.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future revenue in line with our expectations, attain profitability or commercialize OJEMDA and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of the United States tend to impose strict price controls, which may adversely affect our future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including the imposition of new or additional tariffs or other trade barriers,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The Foreign Corrupt Practices Act, or FCPA, prohibits certain U.S. individuals and entities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or gaining an improper advantage.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where corruption is a recognized problem. In addition, the FCPA presents particular challenges in the pharmaceutical industry, because, in many countries, hospitals are operated by the government, and doctors and other hospital employees are considered foreign officials and therefore our interactions with these individuals are subject to regulation under the FCPA.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may slow the time necessary for new products to be reviewed and/or approved, which would adversely affect our business.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consequences would also result in the event of another significant shutdown of the federal government. For example, in 2024, the U.S. government was on the verge of a shutdown and has previously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FDA-regulated industries, such as ours, face uncertainty with regard to the regulatory environment we will face as we proceed with research, development and commercialization. Some of these efforts have manifested to date in the form of personnel measures that could impact the FDA’s ability to hire and retain key personnel, which could result in delays or limitations on our ability to obtain guidance from the FDA on our product candidates in development or obtain the requisite regulatory approvals in the future. There remains general uncertainty regarding future activities. New executive orders, regulations, policies or guidance could be issued or promulgated that adversely affect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experience as a commercial company and the sales, marketing, and distribution of OJEMDA or any future approved products may be unsuccessful or less successful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began commercializing our first product, OJEMDA, in the United States. As a company, we had no prior experience commercializing a product. The success of our commercialization efforts for OJEMDA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ongoing commercialization of OJEMDA may not develop as planned or anticipated, which may require us to, among others, adjust or amend our business plan and incur significant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Alternatively, we may license certain rights with respect to our products or product candidates to collaborators and rely on the assistance and guidance of those collaborators. We may also seek collaborations to secure marketing authorizations and commercialize our products outside of the United States. We cannot assure that any collaboration(s) will result in short-term or long-term benefit to the company.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products and product candidates, we may not generate substantial revenues, if any, from them or be able to reach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OJEMDA or any future approved products does not develop as planned, we may require significant additional capital and financial resources, we may not become profitable, and we may not be able to compete against more established companies in our industry.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all aspects of our clinical trials ourselves. As a result, we are dependent on third parties to conduct our ongoing and planned clinical trials of tovorafenib, DAY301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OJEMDA (outside of the United States), DAY301 or any future product candidates and will not be able to, or may be delayed in our efforts to, successfully commercialize our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pharmaceutical products, including OJEMDA and our product candidate, DAY301, is complex. Our third-party manufacturers may encounter difficulties in production, which could delay or entirely halt their ability to supply our product candidates for clinical trials or, if approved, for commercial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manufacturing facilities, and we currently contract with certain third-party manufacturers in China. We rely, and expect to continue to rely, on third parties for the manufacture of OJEMDA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OJEMDA and our product candidates. This reliance on third parties increases the risk that we will not have sufficient quantities of OJEMDA or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the imposition of new or additional tariffs or other trade barriers,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of production or other interruptions in our 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economic sanctions, changes in the policies of the United States or Chinese governments, political unrest or unstable economic conditions in China. In April 2025, the U.S. presidential administration announced extensive tariffs on goods imported from China, where certain of our third-party manufacturers are located, and these tariffs remain in negotiation. We believe we currently have sufficient API inventory for commercial and clinical use and do not anticipate any near-term impact to our sales or clinical programs, we expect these tariffs to increase the cost of our API in the future, which would negatively impact our business, financial condition and results of operations. In addition, legislation was introduced in Congress to limit certain U.S. biotechnology companies from using equipment or services produced or provided by select Chinese biotechnology companies, including those affiliated with the manufacture of our API, Wuxi STA, and others in Congress have advocated for the use of existing executive branch authorities to limit those Chinese service providers’ ability to engage in business in the United States. Although this legislation has not progressed to law, there is continued discussion on a modified BioSecure Act for potential inclusion in the National Defense Authorization Act, or NDAA, for the fiscal year beginning January 1, 2026. We cannot predict what actions may ultimately be taken with respect to trade relations between the United States and China or other countries, what products and services may be subject to such actions or what actions may be taken by the other countries in retaliation.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enter into additional agreements with third-party manufacturers or suppliers or do so on favorable terms. Our anticipated reliance on a limited number of third party-manufacturers or suppliers exposes us to the following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product development, analytical testing and data generation to support regulatory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carrier disruptions or increased costs that are beyond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deliver our drugs under specified storage conditions and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of the United States. If a Health Authority determines that our CMOs are not in compliance with laws and regulations, including those governing cGMPs, the Health Authority may not approve a regulatory submission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prepare for later-stage clinical trials and commercialization of OJEMDA, we will need to take steps to increase the scale of production.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OJEMDA or our product candidates may adversely affect our future profit margins and our ability to commercialize any products that obtain marketing authorization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suppliers for raw materials and any disruptions arising from our sole suppliers could result in delays in our clinical trials or otherwise adversely affect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changes in domestic and foreign currency rates, significant political, trade or regulatory developments, including the implementation of tariffs by the United States, China, and other governments, natural disasters, fire, regional geopolitical conflicts, acts of terrorism, pandemics, or other catastrophic events. Further,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sensitive to increased U.S. tariffs and other trade restrictions, including tariffs specifically on imports from China and tariffs on imports of pharmaceutical products from other jurisdictions. If such tariffs are expanded in scope, increased, or become permanent, the Company could experience higher costs on imported raw materials and product intermediates, which may compress margins. Because the timing, scope and enforceability of such tariffs are uncertain, we may not be able to fully predict or mitigate their impacts. Increased tariffs and other trade restrictions on China could increase annual API costs for OJEMDA. Although the effect of the more recently announced worldwide product-specific Pharmaceutical tariffs is only beginning to materialize, management expects that such measures could further increase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mitigate tariff risk, we are exploring steps such as (i) diversifying sourcing to lower-tariff jurisdictions, (ii) qualifying alternate domestic suppliers, and (iii) managing inventory levels. However, there can be no assurance these measures will fully offset the impacts of increased tariff.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existing License Agreement with Ipsen is important to our business. If Ipsen fails to fulfill its contract obligations, or if any of the Ipsen License Agreement is terminated, our ability to commercialize OJEMDA in territories outside the United States may be delayed or prevented and we may never receive milestone payments or future royalties under the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 A significant portion of our future revenue and cash resources may be derived from the Ipsen License Agreement, or other similar agreements into which we may enter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Ipsen License Agreement, we are eligible to receive up to approximately $380.0 million in additional commercial launch and sales-based milestone payments based on exchange rates as of the reporting date, as well as tiered, double-digit royalty payments starting at mid-teens percentage of annual net sales of tovorafenib, subject to customary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Ipsen will have significant discretion in determining the efforts and resources that they will apply to their marketing efforts and their management of the ex-U.S. regulatory activities and they may not perform their obligations as expected. Disputes may arise between Ipsen and us that result in the delay or termination of the research, development or commercialization of our products or product candidates or that result in costly litigation or arbitration that diverts management attention and resources. Furthermore, they may have changes in their strategic focus or available funding, or experience external factors, such as an acquisition, may divert resources or create competing priorities. Any of these events would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Ipsen License Agreement may be terminated by either party for material breach or bankruptcy. In addition, Ipsen may terminate the Ipsen License Agreement after the second anniversary of the effective date for convenience with six months’ prior written notice or for certain other specified reasons.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Ipsen License Agreement is terminated, then, depending on the event: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expenditures could increase significantly if it is necessary for us to hire additional employees and allocate internal resources to the commercialization or other activities that were previously shared by Ipsen;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would bear all of the risks and costs related to the further commercialization and development activities that were previously the subject of the Ipsen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fund further commercialization activities, we may need to seek out and establish alternative strategic collaborations with third-party partners, which may not be possible;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do so on terms which are acceptable to us, in which case it may be necessary for us to limit the size or scope of one or more of our programs or increase our expenditures and seek additional funding by other means.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enter into collaborations with third parties for the development and commercialization of our product candidates. If those collaborations are not successful, we may not be able to capitalize on the market potential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development and commercialization of our product candidates on a select basis, such as our collaboration with Ipsen with respect to commercialization of tovorafenib in all territories outside the United States. Our likely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enter into any additional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our product candidates in the most efficient manner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future collaborator of ours were to be involved in a business combination, the continued pursuit and emphasis on our product development or commercialization program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additional collaborations in the future, all of the risks relating to product development, marketing authorization and commercialization described herein would also apply to the activities of any such future collaborators.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loss of any large customer, or any cancellation or delay of a significant purchase by a large customer, could reduce our net sales and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 substantial portion of our revenue from a limited number of customers. For example, for the nine months ended September 30, 2025, two individual customers accounted for 98.3% of our total net product revenue, with these individual customers representing 66.4% and 31.9% of total net product revenue. As of September 30, 2025, two customers accounted for 91.7% of the accounts receivable balance, with these individual customers representing 68.5% and 23.2% of the accounts receivable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provide any assurances that we will retain our current customers or groups of customers, that they will maintain their current or forecasted demand for our products, or that we will be able to attract and retain additional customers in the future. If for any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reason we were to lose our ability to sell to a specific group or class of customers, we could experience a significant reduction in revenue or loss of market share, which would adversely impact our operating results.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our executive officers and key employees and to attract, retain and motivate qualified personnel and manage our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quality, commercial and management skills and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184 full-time employees as of September 30, 2025. We expect significant growth in the number of our employees and the scope of our operations, particularly in the areas of clinical development, clinical operations, manufacturing, regulatory affairs,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DAY301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DAY301 or any future product candidates or otherwise advance our business. We cannot assure you that we will be able to properly manage our existing vendors or consultants or find other competent outside vendors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manage growth and expand our organization, we may not be able to successfully implement the tasks necessary to further develop and commercialize OJEMDA, DAY301, our other pipeline product candidates or any future product candidates and, accordingly, may not achieve our research, development and commercialization goals.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clinical trial investigators, CROs, CMOs, consultants, vendors and any future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and third parties that we rely on, including, clinical trial investigators, CROs, CMOs, consultants, vendors and any future commercial partners. Misconduct by these parties could include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collect, process, store and transmit proprietary, confidential and sensitive information (including intellectual property, trade secrets, proprietary business information, personal information and protected health information). It is critical that we do so in a secure manner to maintain the confidentiality, integrity and availability of such information. We depend on information technology and telecommunications systems for significant elements of our operations and we utilize,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These risks extend to the third parties with whom we work, as we rely on a number of third parties to operate our critical business systems and process confidential, proprietary and sensitive information.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given the size, complexity and increasing amounts of proprietary, confidential and sensitive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distributed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OJEMDA, DAY301 or any future product candidates could be delayed. Any breach, loss or compromise of proprietary, confidential or sensitive information may also subject us to civil fines and penalties, including under HIPAA, and other relevant state and federal privacy laws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OJEMDA or our product candidates could be delayed. In addition, the loss of clinical trial data for OJEMDA, DAY301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the information technology systems of our CROs, CMOs, vendors, contractors, consultants and other third-party partners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contractual and other legal obligations to notify relevant stakeholders of security breaches.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or diminished use of our products, as well as other harms to our business and our competitive position. Remediation of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potential security breach may involve significant time, resources and expenses. Any security breach may result in regulatory inquiries, litigation or other investigations, and can affect our financial and operational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maintain cybersecurity insurance coverage, 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our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states, countries, or conflict with other requirements.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and state laws and regulations, including health information privacy and security laws, data breach notification laws, health information privacy laws and consumer protection laws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which has a broader scope than HIPAA and includes a private right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California, the CCPA, grants individual privacy rights for California consumers and places increased privacy and data security obligations on entities handling personal information of consumers or households. The CCPA is enforced by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and provides for civil penalties and a private right of action for data breaches that is expected to increase data breach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foreign data protection laws, including the General Data Protection Regulation, or GDPR, which applies to personal information (including health-related data) obtained from individuals in the European Economic Area, or the EEA (as well as substantially similar laws that govern the collection of data from individuals in the UK and Switzerland). The GDPR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(17.5 million GBP in the UK)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Changes in international legislations may add additional complexity, variation in requirements, restrictions and potential legal risk, require additional investment in resources for compliance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European data protection laws generally prohibit the transfer of personal information to countries outside of the EEA, UK and Switzerland, such as the United States, which are not considered by their relevant authorities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If we cannot implement a valid compliance mechanism for cross-border data transfers, we may face increased exposure to regulatory actions, substantial fines, and injunctions against processing or transferring personal data from Europe or other foreign jurisdictions. In the EU and other markets, potential new rules and restrictions on the flow of data across borders could increase the cost and complexity of doing business in those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may become subject to the terms of external and internal privacy and security policies, representations, certifications and publications related to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Investors’ expectations of our performance relating to environmental, social and governance factors may impose additional costs and expose us to new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continued focus from certain regulators, investors, employees, users and other stakeholders concerning corporate responsibility, specifically related to ESG matters both in the United States and internationally.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ESG initiatives, goals or commitments could be difficult to achieve or costly to implement. If our competitors’ corporate social responsibility performance is perceived to be better than ours, potential or current investors may elect to invest with our competitors instead. Moreover,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could require significant effort and resources. In addition, in recent years “anti-ESG” sentiment has gained momentum across the United States, with several states and Congress having proposed or enacted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r>
        <w:rPr>
          <w:rFonts w:ascii="Times New Roman" w:hAnsi="Times New Roman"/>
          <w:color w:val="000000"/>
          <w:sz w:val="20"/>
        </w:rPr>
        <w:t>anti-ESG” policies, legislation, or initiatives or issued related legal opinions, and the U.S. presidential administration having recently issued an executive order opposing diversity equity and inclusion (“DEI”) initiatives in the private sector. Our business may face increased scrutiny related to these activities and our related disclosures, including from the investment community, and our failure to achieve progress or manage the dynamic public sentiment and legal landscape in these areas on a timely basis, or at all, could adversely affect our reputation, business, and financial performance.</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In addition, under the Tax Cuts and Jobs Act, as amended by the OBBBA, for tax years beginning after December 31, 2021, taxpayers are required to capitalize and amortize certain research and development expenditures over fifteen years if incurred in foreign jurisdictions. For tax years beginning after December 31, 2021, and beginning on or before December 31, 2024, taxpayers generally were required to capitalize and amortize certain research and development expenditures over five years if incurred in the United States; however, beginning after that period, the OBBBA restored immediate deductibility of research and development expenditures incurred in the United States and also permits certain small business taxpayers to apply these changes retroactively to tax years beginning after December 31,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for transactions occurring on or after January 1, 2023, the Inflation Reduction Act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and do not expect to become profitable in the near future, and we may never achieve profitability. U.S. federal net operating losses generated in tax years beginning after December 31, 2017, will not expire and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be carried forward indefinitely but the deductibility of such federal net operating losses is limited to 80% of current year taxable income (without regard to certain deductions).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During the year ended December 31, 2024, the Company has completed a Section 382 study to determine whether an ownership change per the provisions of Section 382 of the Internal Revenue Code, as well as similar state provisions, has occurred. The study found that one of our predecessor companies experienced an ownership change on June 16, 2022 and that the tax attributes that it generated are subject to a change pursuant to Section 382; however, based on the study all of these attributes are fully available for use as of December 31, 2023. The Company’s current year utilization of net operating losses and income tax credits is not impacted by the provisions of Section 382 or 383. As a result, if we undergo an ownership change (or if we previously underwent such an ownership change),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engaged, and will continue to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strategic transactions, for instance, with affiliates of Takeda Pharmaceutical Company Limited, Viracta Therapeutics, Inc., Merck KGaA, Darmstadt, Germany, MabCare, and Ipsen, and from time to time, we may consider further strategic transactions, such as acquisitions of companies, businesses or assets and out-licensing or in-licensing of products, product candidates (such as DAY301)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systems and personnel of any acquired businesses with our operations, systems and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retain key employees of any acquired businesses.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OJEMDA and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hAnsi="Times New Roman"/>
          <w:i/>
          <w:color w:val="000000"/>
          <w:sz w:val="20"/>
        </w:rPr>
        <w:t>inter partes</w:t>
      </w:r>
      <w:r>
        <w:rPr>
          <w:rFonts w:ascii="Times New Roman" w:hAnsi="Times New Roman"/>
          <w:color w:val="000000"/>
          <w:sz w:val="20"/>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develop products that are similar to OJEMDA and our product candidates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make the inventions covered by the issued patents or patent application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pending patent applications we own or license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license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police our trademarks and trade secrets;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it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hAnsi="Times New Roman"/>
          <w:i/>
          <w:color w:val="000000"/>
          <w:sz w:val="20"/>
        </w:rPr>
        <w:t>inter partes</w:t>
      </w:r>
      <w:r>
        <w:rPr>
          <w:rFonts w:ascii="Times New Roman" w:hAnsi="Times New Roman"/>
          <w:color w:val="000000"/>
          <w:sz w:val="20"/>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 in costly litigation that may cause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 us from commercializing OJEMDA or any of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us to significant liability to third parties;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enter into royalty or licensing agreements, which may not be available on commercially reasonable terms, or at all, or which might be non-exclusive, which could result in our competitors gaining access to the same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no third party has asserted a claim of patent infringement against us as of September 30, 2025,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may also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OJEMDA or our product candidates and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now depend on, at least in part, Viracta Therapeutics, Inc., Takeda Pharmaceutical Company Limited, Dana Farber Cancer Institute, Millennium Pharmaceuticals, Inc., Merck KGaA, Darmstadt, Germany, MabCare, and Ipsen and will continue to depend on Viracta Therapeutics, Inc., Takeda Pharmaceutical Company Limited, Dana Farber Cancer Institute, Millennium Pharmaceuticals, Inc. and Merck KGaA, Darmstadt, Germany, MabCare, and Ipsen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our rights to develop and market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patent or trade secret protection for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significant delays in the development or commercialization of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able to obtain any other licenses on acceptable terms, if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liability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any of the foregoing, it could have a materially adverse effect on our business and could force us to cease operations which could cause you to lose all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our license agreements, it could have a material adverse effect on our commercialization efforts for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 Darmstadt, Germany. Further, pursuant to the MabCare License Agreement, we have the exclusive right to develop, manufacture and commercialize DAY301 worldwide, excluding Greater China.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intellectual property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OJEMDA and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inventors are able to contest the assignment of their rights to our licensors.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from third parties, including our licenses with Viracta Therapeutics, Inc., Takeda Pharmaceutical Company Limited, Dana Farber Cancer Institute, Millennium Pharmaceuticals, Inc., Merck KGaA, Darmstadt, Germany, MabCare, and Ipsen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w:t>
      </w:r>
      <w:r>
        <w:rPr>
          <w:rFonts w:ascii="Times New Roman" w:hAnsi="Times New Roman"/>
          <w:i/>
          <w:color w:val="000000"/>
          <w:sz w:val="20"/>
        </w:rPr>
        <w:t xml:space="preserve">inter partes </w:t>
      </w:r>
      <w:r>
        <w:rPr>
          <w:rFonts w:ascii="Times New Roman" w:hAnsi="Times New Roman"/>
          <w:color w:val="000000"/>
          <w:sz w:val="20"/>
        </w:rPr>
        <w:t xml:space="preserve">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patent reform legislation could increase the uncertainties and costs surrounding the prosecution of our patent applications and/or those of our licensors and the enforcement or defense of our issued patents and/or those of our licensors.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An adverse determination in any such submission or proceeding could reduce the scope or enforceability of, or invalidate, our patent rights, which could adversely affect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diminish the value of patents in general, thereby impairing our ability to protect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limited precedent for the court, increasing the uncertainty of any litigation.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for OJEMDA and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authorization of our product and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trade barriers and unexpected changes in tariffs, including tariffs that have been or may in the future be imposed by the United States or other countries, could impact our intellectual property rights in unpredictable ways. For example, trade barriers and changes in tariffs may require us to change our supply chain and move our current or future production to countries with more favorable trade agreements but less favorable or no intellectual property rights protection. The United States and other countries may also take protectionist or retaliatory measures in response to the changes in tariffs, leading to a plethora of unpredictable consequences that could weaken our intellectual property rights throughout the world.</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or our employees have wrongfully used or disclosed alleged confidential information or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patent protection and patent prosecution for OJEMDA and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our intellectual property protection includes patents and patent applications that we have in-licensed from, among others, Viracta Therapeutics, Inc., Takeda Pharmaceutical Company Limited, Merck KGaA, Darmstadt, Germany, MabCare, and Ipsen.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 prosecution and maintenance of patent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or collaborators are forced to grant a license to third parties with respect to any patents relevant to our business, our competitive position in the relevant jurisdiction may be impaired and our business, financial condition, results of operations and prospects may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and liquid trading market for our common stock may never be sustained. As a result, you may not be able to resell your shares of common stock at or above the purchase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the sales of our product, OJEMDA;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clinical trials or funding support by us or potential future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potential future arrangements or the termination or modification of any such potential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misappropriation or violation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we develop receives marketing authorization, the timing and terms of such approval and market acceptance and demand for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to establish a sales, marketing and distribution infrastructure to commercialize any products for which we may obtain marketing authorization and intend to commercialize on our own or jointly with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current or future product candidates or products, if any, or those of our competitors;</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expense or gain associated with the change in value of the success payments and 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 such as due to rising interest rates, inflation, changes in domestic and foreign currency rates, significant political or trade regulatory developments or changes in trade policy, global regional conflicts and public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activities, such as additional program in-licensing, which could result in up-front payments or increased development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common stock is likely to be highly volatile, which could result in substantial losses for purchasers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commercialization efforts for our product, OJEMDA;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or clinical trials by us or those of our competitors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enrollment status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development status of our product candidates, including variations in the level of expense related to the development of our programs or funding support by us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especially changes in laws or regulations applicable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introductions and announcements of new product candidates by us, our future collaboration partners, or our competitors,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or in-license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announced or completed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our intellectual property and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fluctuations of 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interest rate increases on the overall stock market and the market for biopharmaceutical company stocks;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shares of our common stock by us, insiders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inflation, changes in interest rates, changes in domestic and foreign currency rates and significant political or regulatory developments or changes in trade policy, many of which are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global pandemics, such as the COVID-19 pandemic, or war, incidents of terrorism or responses to these events, including global regional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A sale of a substantial number of shares of our common stock may cause the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an aggregate of 8,502,776 shares of our outstanding common stock as of September 30, 2025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September 30, 2025, our executive officers, directors, holders of 5% or more of our capital stock and their respective affiliates beneficially owned 37.9%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only the board of directors to establish the number of directors and fill vacancies on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restated certificate of incorporation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cumulative voting;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company, our common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stock price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volatile interest rates and increasing inflation, changes in domestic and foreign currency rates, declines in consumer confidence, declines in economic growth, increases in unemployment rates, changes in tariffs and trade policy and uncertainty about economic stability. A severe or prolonged economic downturn or recession and a continued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inflation rates or interest rates could result in a variety of risks to our business, including weakened demand for OJEMDA and our ability to raise additional capital when needed on acceptable terms, if at all. Likewise, the capital and credit markets may be adversely affected by global regional conflicts, and the possibility of wider or additional global conflicts, global sanctions imposed in response thereto or an energy crisis.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business and operations may be impacted by the political instability and military hostilities in multiple geographies including Ukraine, the Middle East and the tensions between China and Taiwan. </w:t>
      </w:r>
    </w:p>
    <w:p>
      <w:pPr>
        <w:pStyle w:val="TextBody"/>
        <w:bidi w:val="0"/>
        <w:spacing w:before="360" w:after="283"/>
        <w:jc w:val="left"/>
        <w:rPr>
          <w:rFonts w:ascii="Times New Roman" w:hAnsi="Times New Roman"/>
          <w:sz w:val="20"/>
        </w:rPr>
      </w:pPr>
      <w:bookmarkStart w:id="16" w:name="tx180355_15"/>
      <w:bookmarkEnd w:id="16"/>
      <w:r>
        <w:rPr>
          <w:rFonts w:ascii="Times New Roman" w:hAnsi="Times New Roman"/>
          <w:b/>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tx180355_16"/>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tx180355_17"/>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tx180355_18"/>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Insider Trading Policies and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directors and Section 16 officers (as defined in Rule 16a-1(f) under the Exchange Act) are only permitted to trade in the Company’s securities pursuant to a prearranged trading plan intended to satisfy the affirmative defense of Rule 10b5-1(c) under the Exchange Act, or a Rule 10b5-1 Plan. During the three months ended September 30, 2025, none of the Company’s Section 16 officers or directors adopted or terminated any Rule 10b5-1 Plan.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left"/>
        <w:rPr>
          <w:rFonts w:ascii="Times New Roman" w:hAnsi="Times New Roman"/>
          <w:sz w:val="20"/>
        </w:rPr>
      </w:pPr>
      <w:bookmarkStart w:id="20" w:name="tx180355_19"/>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filed or furnished as part of this Quarterly Report on Form 10-Q are set forth on the Exhibit Index below. </w:t>
      </w:r>
    </w:p>
    <w:tbl>
      <w:tblPr>
        <w:tblW w:w="10205" w:type="dxa"/>
        <w:jc w:val="left"/>
        <w:tblInd w:w="0" w:type="dxa"/>
        <w:tblLayout w:type="fixed"/>
        <w:tblCellMar>
          <w:top w:w="28" w:type="dxa"/>
          <w:left w:w="28" w:type="dxa"/>
          <w:bottom w:w="28" w:type="dxa"/>
          <w:right w:w="28" w:type="dxa"/>
        </w:tblCellMar>
      </w:tblPr>
      <w:tblGrid>
        <w:gridCol w:w="808"/>
        <w:gridCol w:w="6219"/>
        <w:gridCol w:w="525"/>
        <w:gridCol w:w="483"/>
        <w:gridCol w:w="526"/>
        <w:gridCol w:w="645"/>
        <w:gridCol w:w="999"/>
      </w:tblGrid>
      <w:tr>
        <w:trPr/>
        <w:tc>
          <w:tcPr>
            <w:tcW w:w="808" w:type="dxa"/>
            <w:tcBorders/>
            <w:vAlign w:val="center"/>
          </w:tcPr>
          <w:p>
            <w:pPr>
              <w:pStyle w:val="TableContents"/>
              <w:bidi w:val="0"/>
              <w:spacing w:before="0" w:after="283"/>
              <w:jc w:val="left"/>
              <w:rPr>
                <w:sz w:val="4"/>
                <w:szCs w:val="4"/>
              </w:rPr>
            </w:pPr>
            <w:r>
              <w:rPr>
                <w:sz w:val="4"/>
                <w:szCs w:val="4"/>
              </w:rPr>
            </w:r>
          </w:p>
        </w:tc>
        <w:tc>
          <w:tcPr>
            <w:tcW w:w="62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6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4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w:t>
              <w:br/>
              <w:t>Date</w:t>
            </w:r>
            <w:r>
              <w:rPr>
                <w:rFonts w:ascii="Times New Roman" w:hAnsi="Times New Roman"/>
                <w:color w:val="000000"/>
                <w:sz w:val="16"/>
              </w:rPr>
              <w:t xml:space="preserve"> </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9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Filed/Furnished</w:t>
              <w:br/>
              <w:t>Herewith</w:t>
            </w:r>
            <w:r>
              <w:rPr>
                <w:rFonts w:ascii="Times New Roman" w:hAnsi="Times New Roman"/>
                <w:color w:val="000000"/>
                <w:sz w:val="16"/>
              </w:rPr>
              <w:t xml:space="preserve">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31.1</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dawn-ex31_1.htm">
              <w:r>
                <w:rPr>
                  <w:rStyle w:val="InternetLink"/>
                  <w:rFonts w:ascii="Times New Roman" w:hAnsi="Times New Roman"/>
                  <w:color w:val="0000FF"/>
                  <w:sz w:val="20"/>
                </w:rPr>
                <w:t xml:space="preserve"> </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31.2</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32.1*</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dawn-ex32_1.htm">
              <w:r>
                <w:rPr>
                  <w:rStyle w:val="InternetLink"/>
                  <w:rFonts w:ascii="Times New Roman" w:hAnsi="Times New Roman"/>
                  <w:color w:val="0000FF"/>
                  <w:sz w:val="20"/>
                </w:rPr>
                <w:t xml:space="preserve"> </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32.2*</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101.INS</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101.SCH</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104</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center"/>
        <w:rPr>
          <w:rFonts w:ascii="Times New Roman" w:hAnsi="Times New Roman"/>
          <w:sz w:val="20"/>
        </w:rPr>
      </w:pPr>
      <w:bookmarkStart w:id="21" w:name="tx180355_20"/>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7533" w:type="dxa"/>
        <w:jc w:val="left"/>
        <w:tblInd w:w="0" w:type="dxa"/>
        <w:tblLayout w:type="fixed"/>
        <w:tblCellMar>
          <w:top w:w="28" w:type="dxa"/>
          <w:left w:w="28" w:type="dxa"/>
          <w:bottom w:w="28" w:type="dxa"/>
          <w:right w:w="28" w:type="dxa"/>
        </w:tblCellMar>
      </w:tblPr>
      <w:tblGrid>
        <w:gridCol w:w="2341"/>
        <w:gridCol w:w="646"/>
        <w:gridCol w:w="4546"/>
      </w:tblGrid>
      <w:tr>
        <w:trPr/>
        <w:tc>
          <w:tcPr>
            <w:tcW w:w="23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519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DAY ONE BIOPHARMACEUTICALS, INC.</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November 4, 2025</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Jeremy Bender, Ph.D., M.B.A.</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Jeremy Bender, Ph.D., M.B.A.</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Executive Officer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November 4, 2025</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Charles N. York II, M.B.A.</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Charles N. York II, M.B.A.</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Operating Officer and Chief Financial Officer</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2" w:name="dawn-ex31_1.htm"/>
      <w:bookmarkStart w:id="23" w:name="ksdawnex31_1"/>
      <w:bookmarkEnd w:id="22"/>
      <w:bookmarkEnd w:id="23"/>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341" w:type="dxa"/>
        <w:jc w:val="left"/>
        <w:tblInd w:w="0" w:type="dxa"/>
        <w:tblLayout w:type="fixed"/>
        <w:tblCellMar>
          <w:top w:w="28" w:type="dxa"/>
          <w:left w:w="28" w:type="dxa"/>
          <w:bottom w:w="28" w:type="dxa"/>
          <w:right w:w="28" w:type="dxa"/>
        </w:tblCellMar>
      </w:tblPr>
      <w:tblGrid>
        <w:gridCol w:w="2101"/>
        <w:gridCol w:w="335"/>
        <w:gridCol w:w="2905"/>
      </w:tblGrid>
      <w:tr>
        <w:trPr/>
        <w:tc>
          <w:tcPr>
            <w:tcW w:w="210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905"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Jeremy Bender, Ph.D., M.B.A.</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4" w:name="dawn-ex31_2.htm"/>
      <w:bookmarkStart w:id="25" w:name="ksdawnex31_2"/>
      <w:bookmarkEnd w:id="24"/>
      <w:bookmarkEnd w:id="25"/>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7411" w:type="dxa"/>
        <w:jc w:val="left"/>
        <w:tblInd w:w="0" w:type="dxa"/>
        <w:tblLayout w:type="fixed"/>
        <w:tblCellMar>
          <w:top w:w="28" w:type="dxa"/>
          <w:left w:w="28" w:type="dxa"/>
          <w:bottom w:w="28" w:type="dxa"/>
          <w:right w:w="28" w:type="dxa"/>
        </w:tblCellMar>
      </w:tblPr>
      <w:tblGrid>
        <w:gridCol w:w="2101"/>
        <w:gridCol w:w="618"/>
        <w:gridCol w:w="4692"/>
      </w:tblGrid>
      <w:tr>
        <w:trPr/>
        <w:tc>
          <w:tcPr>
            <w:tcW w:w="210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6" w:name="dawn-ex32_1.htm"/>
      <w:bookmarkStart w:id="27" w:name="ksdawnex32_1"/>
      <w:bookmarkEnd w:id="26"/>
      <w:bookmarkEnd w:id="27"/>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Chief Executive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September 30, 2025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446" w:type="dxa"/>
        <w:jc w:val="left"/>
        <w:tblInd w:w="0" w:type="dxa"/>
        <w:tblLayout w:type="fixed"/>
        <w:tblCellMar>
          <w:top w:w="28" w:type="dxa"/>
          <w:left w:w="28" w:type="dxa"/>
          <w:bottom w:w="28" w:type="dxa"/>
          <w:right w:w="28" w:type="dxa"/>
        </w:tblCellMar>
      </w:tblPr>
      <w:tblGrid>
        <w:gridCol w:w="2206"/>
        <w:gridCol w:w="342"/>
        <w:gridCol w:w="2898"/>
      </w:tblGrid>
      <w:tr>
        <w:trPr/>
        <w:tc>
          <w:tcPr>
            <w:tcW w:w="22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4, 2025</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8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8" w:name="dawn-ex32_2.htm"/>
      <w:bookmarkStart w:id="29" w:name="ksdawnex32_2"/>
      <w:bookmarkEnd w:id="28"/>
      <w:bookmarkEnd w:id="29"/>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Chief Financial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September 30, 2025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7516" w:type="dxa"/>
        <w:jc w:val="left"/>
        <w:tblInd w:w="0" w:type="dxa"/>
        <w:tblLayout w:type="fixed"/>
        <w:tblCellMar>
          <w:top w:w="28" w:type="dxa"/>
          <w:left w:w="28" w:type="dxa"/>
          <w:bottom w:w="28" w:type="dxa"/>
          <w:right w:w="28" w:type="dxa"/>
        </w:tblCellMar>
      </w:tblPr>
      <w:tblGrid>
        <w:gridCol w:w="2206"/>
        <w:gridCol w:w="618"/>
        <w:gridCol w:w="4692"/>
      </w:tblGrid>
      <w:tr>
        <w:trPr/>
        <w:tc>
          <w:tcPr>
            <w:tcW w:w="220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4, 2025</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77699</Words>
  <Characters>435398</Characters>
  <CharactersWithSpaces>513791</CharactersWithSpaces>
  <Paragraphs>6724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