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_rels/document.xml.rels" ContentType="application/vnd.openxmlformats-package.relationships+xml"/>
  <Override PartName="/word/settings.xml" ContentType="application/vnd.openxmlformats-officedocument.wordprocessingml.settings+xml"/>
  <Override PartName="/word/media/image1.jpeg" ContentType="image/jpeg"/>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body>
    <w:p>
      <w:pPr>
        <w:pStyle w:val="TextBody"/>
        <w:spacing w:lineRule="auto" w:line="273" w:before="0" w:after="0"/>
        <w:jc w:val="left"/>
        <w:rPr/>
      </w:pPr>
      <w:bookmarkStart w:id="0" w:name="dawn-20220331.htm"/>
      <w:bookmarkStart w:id="1" w:name="ksdawn20220331"/>
      <w:bookmarkEnd w:id="0"/>
      <w:bookmarkEnd w:id="1"/>
      <w:r>
        <w:rPr/>
        <w:t> </w:t>
      </w:r>
    </w:p>
    <w:p>
      <w:pPr>
        <w:pStyle w:val="TextBody"/>
        <w:pBdr>
          <w:top w:val="double" w:sz="6" w:space="1" w:color="000000"/>
        </w:pBdr>
        <w:spacing w:lineRule="auto" w:line="273" w:before="0" w:after="0"/>
        <w:jc w:val="center"/>
        <w:rPr/>
      </w:pPr>
      <w:r>
        <w:rPr/>
        <w:t> </w:t>
      </w:r>
    </w:p>
    <w:p>
      <w:pPr>
        <w:pStyle w:val="TextBody"/>
        <w:spacing w:lineRule="auto" w:line="273" w:before="80" w:after="0"/>
        <w:jc w:val="center"/>
        <w:rPr>
          <w:rFonts w:ascii="Times New Roman" w:hAnsi="Times New Roman"/>
          <w:sz w:val="20"/>
        </w:rPr>
      </w:pPr>
      <w:r>
        <w:rPr>
          <w:rFonts w:ascii="Times New Roman" w:hAnsi="Times New Roman"/>
          <w:b/>
          <w:sz w:val="34"/>
        </w:rPr>
        <w:t>UNITED STATES</w:t>
      </w:r>
      <w:r>
        <w:rPr>
          <w:rFonts w:ascii="Times New Roman" w:hAnsi="Times New Roman"/>
          <w:sz w:val="20"/>
        </w:rPr>
        <w:t xml:space="preserve"> </w:t>
      </w:r>
    </w:p>
    <w:p>
      <w:pPr>
        <w:pStyle w:val="TextBody"/>
        <w:spacing w:lineRule="auto" w:line="273" w:before="0" w:after="0"/>
        <w:jc w:val="center"/>
        <w:rPr>
          <w:rFonts w:ascii="Times New Roman" w:hAnsi="Times New Roman"/>
          <w:sz w:val="20"/>
        </w:rPr>
      </w:pPr>
      <w:r>
        <w:rPr>
          <w:rFonts w:ascii="Times New Roman" w:hAnsi="Times New Roman"/>
          <w:b/>
          <w:sz w:val="34"/>
        </w:rPr>
        <w:t>SECURITIES AND EXCHANGE COMMISSION</w:t>
      </w:r>
      <w:r>
        <w:rPr>
          <w:rFonts w:ascii="Times New Roman" w:hAnsi="Times New Roman"/>
          <w:sz w:val="20"/>
        </w:rPr>
        <w:t xml:space="preserve"> </w:t>
      </w:r>
    </w:p>
    <w:p>
      <w:pPr>
        <w:pStyle w:val="TextBody"/>
        <w:spacing w:lineRule="auto" w:line="273" w:before="0" w:after="0"/>
        <w:jc w:val="center"/>
        <w:rPr>
          <w:rFonts w:ascii="Times New Roman" w:hAnsi="Times New Roman"/>
          <w:sz w:val="20"/>
        </w:rPr>
      </w:pPr>
      <w:r>
        <w:rPr>
          <w:rFonts w:ascii="Times New Roman" w:hAnsi="Times New Roman"/>
          <w:b/>
          <w:sz w:val="22"/>
        </w:rPr>
        <w:t>WASHINGTON, D.C. 20549</w:t>
      </w:r>
      <w:r>
        <w:rPr>
          <w:rFonts w:ascii="Times New Roman" w:hAnsi="Times New Roman"/>
          <w:sz w:val="20"/>
        </w:rPr>
        <w:t xml:space="preserve"> </w:t>
      </w:r>
    </w:p>
    <w:p>
      <w:pPr>
        <w:pStyle w:val="TextBody"/>
        <w:pBdr>
          <w:bottom w:val="single" w:sz="8" w:space="1" w:color="000000"/>
        </w:pBdr>
        <w:spacing w:lineRule="atLeast" w:line="141" w:before="20" w:after="0"/>
        <w:jc w:val="center"/>
        <w:rPr/>
      </w:pPr>
      <w:r>
        <w:rPr/>
        <w:t> </w:t>
      </w:r>
    </w:p>
    <w:p>
      <w:pPr>
        <w:pStyle w:val="TextBody"/>
        <w:spacing w:lineRule="auto" w:line="273" w:before="60" w:after="0"/>
        <w:jc w:val="center"/>
        <w:rPr>
          <w:rFonts w:ascii="Times New Roman" w:hAnsi="Times New Roman"/>
          <w:sz w:val="20"/>
        </w:rPr>
      </w:pPr>
      <w:r>
        <w:rPr>
          <w:rFonts w:ascii="Times New Roman" w:hAnsi="Times New Roman"/>
          <w:b/>
          <w:sz w:val="34"/>
        </w:rPr>
        <w:t>FORM 10-Q</w:t>
      </w:r>
      <w:r>
        <w:rPr>
          <w:rFonts w:ascii="Times New Roman" w:hAnsi="Times New Roman"/>
          <w:sz w:val="20"/>
        </w:rPr>
        <w:t xml:space="preserve"> </w:t>
      </w:r>
    </w:p>
    <w:p>
      <w:pPr>
        <w:pStyle w:val="TextBody"/>
        <w:pBdr>
          <w:bottom w:val="single" w:sz="8" w:space="1" w:color="000000"/>
        </w:pBdr>
        <w:spacing w:lineRule="atLeast" w:line="141" w:before="20" w:after="0"/>
        <w:jc w:val="center"/>
        <w:rPr/>
      </w:pPr>
      <w:r>
        <w:rPr/>
        <w:t> </w:t>
      </w:r>
    </w:p>
    <w:p>
      <w:pPr>
        <w:pStyle w:val="TextBody"/>
        <w:spacing w:lineRule="auto" w:line="273" w:before="60" w:after="0"/>
        <w:jc w:val="left"/>
        <w:rPr>
          <w:rFonts w:ascii="Times New Roman" w:hAnsi="Times New Roman"/>
          <w:sz w:val="20"/>
        </w:rPr>
      </w:pPr>
      <w:r>
        <w:rPr>
          <w:rFonts w:ascii="Times New Roman" w:hAnsi="Times New Roman"/>
          <w:b/>
          <w:sz w:val="14"/>
        </w:rPr>
        <w:t>(Mark One)</w:t>
      </w:r>
      <w:r>
        <w:rPr>
          <w:rFonts w:ascii="Times New Roman" w:hAnsi="Times New Roman"/>
          <w:sz w:val="20"/>
        </w:rPr>
        <w:t xml:space="preserve"> </w:t>
      </w:r>
    </w:p>
    <w:p>
      <w:pPr>
        <w:pStyle w:val="TextBody"/>
        <w:spacing w:lineRule="auto" w:line="273" w:before="0" w:after="0"/>
        <w:jc w:val="left"/>
        <w:rPr/>
      </w:pPr>
      <w:r>
        <w:rPr/>
        <w:t xml:space="preserve">☒ </w:t>
      </w:r>
      <w:r>
        <w:rPr>
          <w:rFonts w:ascii="Times New Roman" w:hAnsi="Times New Roman"/>
          <w:b/>
          <w:sz w:val="22"/>
        </w:rPr>
        <w:t>QUARTERLY REPORT PURSUANT TO SECTION 13 OR 15(d) OF THE SECURITIES EXCHANGE ACT OF 1934</w:t>
      </w:r>
      <w:r>
        <w:rPr>
          <w:rFonts w:ascii="Times New Roman" w:hAnsi="Times New Roman"/>
          <w:sz w:val="20"/>
        </w:rPr>
        <w:t xml:space="preserve"> </w:t>
      </w:r>
    </w:p>
    <w:p>
      <w:pPr>
        <w:pStyle w:val="TextBody"/>
        <w:spacing w:lineRule="auto" w:line="273" w:before="60" w:after="0"/>
        <w:jc w:val="center"/>
        <w:rPr>
          <w:rFonts w:ascii="Times New Roman" w:hAnsi="Times New Roman"/>
          <w:sz w:val="20"/>
        </w:rPr>
      </w:pPr>
      <w:r>
        <w:rPr>
          <w:rFonts w:ascii="Times New Roman" w:hAnsi="Times New Roman"/>
          <w:b/>
          <w:sz w:val="18"/>
        </w:rPr>
        <w:t>For the quarterly period ended March 31, 2022</w:t>
      </w:r>
      <w:r>
        <w:rPr>
          <w:rFonts w:ascii="Times New Roman" w:hAnsi="Times New Roman"/>
          <w:sz w:val="20"/>
        </w:rPr>
        <w:t xml:space="preserve"> </w:t>
      </w:r>
    </w:p>
    <w:p>
      <w:pPr>
        <w:pStyle w:val="TextBody"/>
        <w:spacing w:lineRule="auto" w:line="273" w:before="60" w:after="0"/>
        <w:jc w:val="center"/>
        <w:rPr>
          <w:rFonts w:ascii="Times New Roman" w:hAnsi="Times New Roman"/>
          <w:sz w:val="20"/>
        </w:rPr>
      </w:pPr>
      <w:r>
        <w:rPr>
          <w:rFonts w:ascii="Times New Roman" w:hAnsi="Times New Roman"/>
          <w:b/>
          <w:sz w:val="18"/>
        </w:rPr>
        <w:t>OR</w:t>
      </w:r>
      <w:r>
        <w:rPr>
          <w:rFonts w:ascii="Times New Roman" w:hAnsi="Times New Roman"/>
          <w:sz w:val="20"/>
        </w:rPr>
        <w:t xml:space="preserve"> </w:t>
      </w:r>
    </w:p>
    <w:p>
      <w:pPr>
        <w:pStyle w:val="TextBody"/>
        <w:spacing w:lineRule="auto" w:line="273" w:before="60" w:after="0"/>
        <w:jc w:val="left"/>
        <w:rPr/>
      </w:pPr>
      <w:r>
        <w:rPr/>
        <w:t xml:space="preserve">☐ </w:t>
      </w:r>
      <w:r>
        <w:rPr>
          <w:rFonts w:ascii="Times New Roman" w:hAnsi="Times New Roman"/>
          <w:b/>
          <w:sz w:val="22"/>
        </w:rPr>
        <w:t>TRANSITION REPORT PURSUANT TO SECTION 13 OR 15(d) OF THE SECURITIES EXCHANGE ACT OF 1934</w:t>
      </w:r>
      <w:r>
        <w:rPr>
          <w:rFonts w:ascii="Times New Roman" w:hAnsi="Times New Roman"/>
          <w:sz w:val="20"/>
        </w:rPr>
        <w:t xml:space="preserve"> </w:t>
      </w:r>
    </w:p>
    <w:p>
      <w:pPr>
        <w:pStyle w:val="TextBody"/>
        <w:spacing w:lineRule="auto" w:line="273" w:before="60" w:after="0"/>
        <w:jc w:val="center"/>
        <w:rPr>
          <w:rFonts w:ascii="Times New Roman" w:hAnsi="Times New Roman"/>
          <w:sz w:val="20"/>
        </w:rPr>
      </w:pPr>
      <w:r>
        <w:rPr>
          <w:rFonts w:ascii="Times New Roman" w:hAnsi="Times New Roman"/>
          <w:b/>
          <w:sz w:val="18"/>
        </w:rPr>
        <w:t>For the transition period from to</w:t>
      </w:r>
      <w:r>
        <w:rPr>
          <w:rFonts w:ascii="Times New Roman" w:hAnsi="Times New Roman"/>
          <w:sz w:val="20"/>
        </w:rPr>
        <w:t xml:space="preserve"> </w:t>
      </w:r>
    </w:p>
    <w:p>
      <w:pPr>
        <w:pStyle w:val="TextBody"/>
        <w:spacing w:lineRule="auto" w:line="273" w:before="60" w:after="0"/>
        <w:jc w:val="center"/>
        <w:rPr>
          <w:rFonts w:ascii="Times New Roman" w:hAnsi="Times New Roman"/>
          <w:sz w:val="20"/>
        </w:rPr>
      </w:pPr>
      <w:r>
        <w:rPr>
          <w:rFonts w:ascii="Times New Roman" w:hAnsi="Times New Roman"/>
          <w:b/>
          <w:sz w:val="18"/>
        </w:rPr>
        <w:t>Commission File Number: 001-40431</w:t>
      </w:r>
      <w:r>
        <w:rPr>
          <w:rFonts w:ascii="Times New Roman" w:hAnsi="Times New Roman"/>
          <w:sz w:val="20"/>
        </w:rPr>
        <w:t xml:space="preserve"> </w:t>
      </w:r>
    </w:p>
    <w:p>
      <w:pPr>
        <w:pStyle w:val="TextBody"/>
        <w:pBdr>
          <w:bottom w:val="single" w:sz="8" w:space="1" w:color="000000"/>
        </w:pBdr>
        <w:spacing w:lineRule="atLeast" w:line="141" w:before="20" w:after="0"/>
        <w:jc w:val="center"/>
        <w:rPr/>
      </w:pPr>
      <w:r>
        <w:rPr/>
        <w:t> </w:t>
      </w:r>
    </w:p>
    <w:p>
      <w:pPr>
        <w:pStyle w:val="TextBody"/>
        <w:spacing w:lineRule="auto" w:line="273" w:before="60" w:after="0"/>
        <w:jc w:val="center"/>
        <w:rPr>
          <w:rFonts w:ascii="Times New Roman" w:hAnsi="Times New Roman"/>
          <w:sz w:val="20"/>
        </w:rPr>
      </w:pPr>
      <w:r>
        <w:rPr>
          <w:rFonts w:ascii="Times New Roman" w:hAnsi="Times New Roman"/>
          <w:b/>
          <w:sz w:val="46"/>
        </w:rPr>
        <w:t>DAY ONE BIOPHARMACEUTICALS, INC.</w:t>
      </w:r>
      <w:r>
        <w:rPr>
          <w:rFonts w:ascii="Times New Roman" w:hAnsi="Times New Roman"/>
          <w:sz w:val="20"/>
        </w:rPr>
        <w:t xml:space="preserve"> </w:t>
      </w:r>
    </w:p>
    <w:p>
      <w:pPr>
        <w:pStyle w:val="TextBody"/>
        <w:spacing w:lineRule="auto" w:line="273" w:before="0" w:after="0"/>
        <w:jc w:val="center"/>
        <w:rPr>
          <w:rFonts w:ascii="Times New Roman" w:hAnsi="Times New Roman"/>
          <w:sz w:val="20"/>
        </w:rPr>
      </w:pPr>
      <w:r>
        <w:rPr>
          <w:rFonts w:ascii="Times New Roman" w:hAnsi="Times New Roman"/>
          <w:b/>
          <w:sz w:val="18"/>
        </w:rPr>
        <w:t>(Exact Name of Registrant as Specified in its Charter)</w:t>
      </w:r>
      <w:r>
        <w:rPr>
          <w:rFonts w:ascii="Times New Roman" w:hAnsi="Times New Roman"/>
          <w:sz w:val="20"/>
        </w:rPr>
        <w:t xml:space="preserve"> </w:t>
      </w:r>
    </w:p>
    <w:p>
      <w:pPr>
        <w:pStyle w:val="TextBody"/>
        <w:pBdr>
          <w:bottom w:val="single" w:sz="8" w:space="1" w:color="000000"/>
        </w:pBdr>
        <w:spacing w:lineRule="atLeast" w:line="141" w:before="20" w:after="0"/>
        <w:jc w:val="center"/>
        <w:rPr/>
      </w:pPr>
      <w:r>
        <w:rPr/>
        <w:t> </w:t>
      </w:r>
    </w:p>
    <w:p>
      <w:pPr>
        <w:pStyle w:val="TextBody"/>
        <w:spacing w:lineRule="auto" w:line="273" w:before="0" w:after="0"/>
        <w:jc w:val="left"/>
        <w:rPr/>
      </w:pPr>
      <w:r>
        <w:rPr/>
        <w:t> </w:t>
      </w:r>
    </w:p>
    <w:tbl>
      <w:tblPr>
        <w:tblW w:w="3887" w:type="dxa"/>
        <w:jc w:val="left"/>
        <w:tblInd w:w="0" w:type="dxa"/>
        <w:tblCellMar>
          <w:top w:w="28" w:type="dxa"/>
          <w:left w:w="28" w:type="dxa"/>
          <w:bottom w:w="28" w:type="dxa"/>
          <w:right w:w="28" w:type="dxa"/>
        </w:tblCellMar>
      </w:tblPr>
      <w:tblGrid>
        <w:gridCol w:w="2641"/>
        <w:gridCol w:w="1246"/>
      </w:tblGrid>
      <w:tr>
        <w:trPr/>
        <w:tc>
          <w:tcPr>
            <w:tcW w:w="2641" w:type="dxa"/>
            <w:tcBorders/>
            <w:shd w:fill="auto" w:val="clear"/>
            <w:vAlign w:val="center"/>
          </w:tcPr>
          <w:p>
            <w:pPr>
              <w:pStyle w:val="TableContents"/>
              <w:spacing w:before="0" w:after="283"/>
              <w:rPr>
                <w:sz w:val="4"/>
                <w:szCs w:val="4"/>
              </w:rPr>
            </w:pPr>
            <w:r>
              <w:rPr>
                <w:sz w:val="4"/>
                <w:szCs w:val="4"/>
              </w:rPr>
            </w:r>
          </w:p>
        </w:tc>
        <w:tc>
          <w:tcPr>
            <w:tcW w:w="1246" w:type="dxa"/>
            <w:tcBorders/>
            <w:shd w:fill="auto" w:val="clear"/>
            <w:vAlign w:val="center"/>
          </w:tcPr>
          <w:p>
            <w:pPr>
              <w:pStyle w:val="TableContents"/>
              <w:spacing w:before="0" w:after="283"/>
              <w:rPr>
                <w:sz w:val="4"/>
                <w:szCs w:val="4"/>
              </w:rPr>
            </w:pPr>
            <w:r>
              <w:rPr>
                <w:sz w:val="4"/>
                <w:szCs w:val="4"/>
              </w:rPr>
            </w:r>
          </w:p>
        </w:tc>
      </w:tr>
      <w:tr>
        <w:trPr/>
        <w:tc>
          <w:tcPr>
            <w:tcW w:w="2641" w:type="dxa"/>
            <w:tcBorders/>
            <w:shd w:fill="auto" w:val="clear"/>
            <w:vAlign w:val="center"/>
          </w:tcPr>
          <w:p>
            <w:pPr>
              <w:pStyle w:val="TableContents"/>
              <w:spacing w:lineRule="auto" w:line="252" w:before="0" w:after="0"/>
              <w:ind w:left="0" w:right="0" w:hanging="0"/>
              <w:jc w:val="left"/>
              <w:rPr/>
            </w:pPr>
            <w:r>
              <w:rPr/>
              <w:t> </w:t>
            </w:r>
          </w:p>
        </w:tc>
        <w:tc>
          <w:tcPr>
            <w:tcW w:w="1246" w:type="dxa"/>
            <w:tcBorders/>
            <w:shd w:fill="auto" w:val="clear"/>
            <w:vAlign w:val="center"/>
          </w:tcPr>
          <w:p>
            <w:pPr>
              <w:pStyle w:val="TableContents"/>
              <w:spacing w:lineRule="auto" w:line="252" w:before="0" w:after="0"/>
              <w:ind w:left="0" w:right="0" w:hanging="0"/>
              <w:jc w:val="left"/>
              <w:rPr/>
            </w:pPr>
            <w:r>
              <w:rPr/>
              <w:t> </w:t>
            </w:r>
          </w:p>
        </w:tc>
      </w:tr>
      <w:tr>
        <w:trPr/>
        <w:tc>
          <w:tcPr>
            <w:tcW w:w="2641" w:type="dxa"/>
            <w:tcBorders/>
            <w:shd w:fill="auto" w:val="clear"/>
            <w:vAlign w:val="center"/>
          </w:tcPr>
          <w:p>
            <w:pPr>
              <w:pStyle w:val="TableContents"/>
              <w:spacing w:lineRule="auto" w:line="252" w:before="0" w:after="0"/>
              <w:ind w:left="0" w:right="0" w:hanging="0"/>
              <w:jc w:val="center"/>
              <w:rPr>
                <w:rFonts w:ascii="Times New Roman" w:hAnsi="Times New Roman"/>
                <w:b/>
                <w:sz w:val="18"/>
              </w:rPr>
            </w:pPr>
            <w:r>
              <w:rPr>
                <w:rFonts w:ascii="Times New Roman" w:hAnsi="Times New Roman"/>
                <w:b/>
                <w:sz w:val="18"/>
              </w:rPr>
              <w:t>Delaware</w:t>
            </w:r>
          </w:p>
        </w:tc>
        <w:tc>
          <w:tcPr>
            <w:tcW w:w="1246" w:type="dxa"/>
            <w:tcBorders/>
            <w:shd w:fill="auto" w:val="clear"/>
            <w:vAlign w:val="center"/>
          </w:tcPr>
          <w:p>
            <w:pPr>
              <w:pStyle w:val="TableContents"/>
              <w:spacing w:lineRule="auto" w:line="252" w:before="0" w:after="0"/>
              <w:ind w:left="0" w:right="0" w:hanging="0"/>
              <w:jc w:val="center"/>
              <w:rPr>
                <w:rFonts w:ascii="Times New Roman" w:hAnsi="Times New Roman"/>
                <w:b/>
                <w:sz w:val="18"/>
              </w:rPr>
            </w:pPr>
            <w:r>
              <w:rPr>
                <w:rFonts w:ascii="Times New Roman" w:hAnsi="Times New Roman"/>
                <w:b/>
                <w:sz w:val="18"/>
              </w:rPr>
              <w:t>83-2415215</w:t>
            </w:r>
          </w:p>
        </w:tc>
      </w:tr>
      <w:tr>
        <w:trPr/>
        <w:tc>
          <w:tcPr>
            <w:tcW w:w="2641" w:type="dxa"/>
            <w:tcBorders/>
            <w:shd w:fill="auto" w:val="clear"/>
            <w:vAlign w:val="center"/>
          </w:tcPr>
          <w:p>
            <w:pPr>
              <w:pStyle w:val="TableContents"/>
              <w:spacing w:lineRule="auto" w:line="252" w:before="0" w:after="0"/>
              <w:ind w:left="0" w:right="0" w:hanging="0"/>
              <w:jc w:val="center"/>
              <w:rPr>
                <w:rFonts w:ascii="Times New Roman" w:hAnsi="Times New Roman"/>
                <w:b/>
                <w:sz w:val="14"/>
              </w:rPr>
            </w:pPr>
            <w:r>
              <w:rPr>
                <w:rFonts w:ascii="Times New Roman" w:hAnsi="Times New Roman"/>
                <w:b/>
                <w:sz w:val="14"/>
              </w:rPr>
              <w:t>(State or other jurisdiction of</w:t>
            </w:r>
          </w:p>
          <w:p>
            <w:pPr>
              <w:pStyle w:val="TableContents"/>
              <w:spacing w:lineRule="auto" w:line="252" w:before="0" w:after="20"/>
              <w:ind w:left="0" w:right="0" w:hanging="0"/>
              <w:jc w:val="center"/>
              <w:rPr>
                <w:rFonts w:ascii="Times New Roman" w:hAnsi="Times New Roman"/>
                <w:b/>
                <w:sz w:val="14"/>
              </w:rPr>
            </w:pPr>
            <w:r>
              <w:rPr>
                <w:rFonts w:ascii="Times New Roman" w:hAnsi="Times New Roman"/>
                <w:b/>
                <w:sz w:val="14"/>
              </w:rPr>
              <w:t>incorporation or organization)</w:t>
            </w:r>
          </w:p>
        </w:tc>
        <w:tc>
          <w:tcPr>
            <w:tcW w:w="1246" w:type="dxa"/>
            <w:tcBorders/>
            <w:shd w:fill="auto" w:val="clear"/>
            <w:vAlign w:val="center"/>
          </w:tcPr>
          <w:p>
            <w:pPr>
              <w:pStyle w:val="TableContents"/>
              <w:spacing w:lineRule="auto" w:line="252" w:before="0" w:after="0"/>
              <w:ind w:left="0" w:right="0" w:hanging="0"/>
              <w:jc w:val="center"/>
              <w:rPr>
                <w:rFonts w:ascii="Times New Roman" w:hAnsi="Times New Roman"/>
                <w:b/>
                <w:sz w:val="14"/>
              </w:rPr>
            </w:pPr>
            <w:r>
              <w:rPr>
                <w:rFonts w:ascii="Times New Roman" w:hAnsi="Times New Roman"/>
                <w:b/>
                <w:sz w:val="14"/>
              </w:rPr>
              <w:t>(I.R.S. Employer</w:t>
              <w:br/>
              <w:t>Identification No.)</w:t>
            </w:r>
          </w:p>
        </w:tc>
      </w:tr>
      <w:tr>
        <w:trPr/>
        <w:tc>
          <w:tcPr>
            <w:tcW w:w="2641" w:type="dxa"/>
            <w:tcBorders/>
            <w:shd w:fill="auto" w:val="clear"/>
            <w:vAlign w:val="center"/>
          </w:tcPr>
          <w:p>
            <w:pPr>
              <w:pStyle w:val="TableContents"/>
              <w:spacing w:lineRule="auto" w:line="252" w:before="0" w:after="0"/>
              <w:ind w:left="0" w:right="0" w:hanging="0"/>
              <w:jc w:val="left"/>
              <w:rPr/>
            </w:pPr>
            <w:r>
              <w:rPr/>
              <w:t> </w:t>
            </w:r>
          </w:p>
        </w:tc>
        <w:tc>
          <w:tcPr>
            <w:tcW w:w="1246" w:type="dxa"/>
            <w:tcBorders/>
            <w:shd w:fill="auto" w:val="clear"/>
            <w:vAlign w:val="center"/>
          </w:tcPr>
          <w:p>
            <w:pPr>
              <w:pStyle w:val="TableContents"/>
              <w:spacing w:lineRule="auto" w:line="252" w:before="0" w:after="0"/>
              <w:ind w:left="0" w:right="0" w:hanging="0"/>
              <w:jc w:val="left"/>
              <w:rPr/>
            </w:pPr>
            <w:r>
              <w:rPr/>
              <w:t> </w:t>
            </w:r>
          </w:p>
        </w:tc>
      </w:tr>
      <w:tr>
        <w:trPr/>
        <w:tc>
          <w:tcPr>
            <w:tcW w:w="2641" w:type="dxa"/>
            <w:tcBorders/>
            <w:shd w:fill="auto" w:val="clear"/>
            <w:vAlign w:val="center"/>
          </w:tcPr>
          <w:p>
            <w:pPr>
              <w:pStyle w:val="TableContents"/>
              <w:spacing w:lineRule="auto" w:line="252" w:before="0" w:after="0"/>
              <w:ind w:left="0" w:right="0" w:hanging="0"/>
              <w:jc w:val="center"/>
              <w:rPr>
                <w:rFonts w:ascii="Times New Roman" w:hAnsi="Times New Roman"/>
                <w:b/>
                <w:sz w:val="18"/>
              </w:rPr>
            </w:pPr>
            <w:r>
              <w:rPr>
                <w:rFonts w:ascii="Times New Roman" w:hAnsi="Times New Roman"/>
                <w:b/>
                <w:sz w:val="18"/>
              </w:rPr>
              <w:t>395 Oyster Point Blvd., Suite 217</w:t>
            </w:r>
          </w:p>
          <w:p>
            <w:pPr>
              <w:pStyle w:val="TableContents"/>
              <w:spacing w:lineRule="auto" w:line="252" w:before="0" w:after="20"/>
              <w:ind w:left="0" w:right="0" w:hanging="0"/>
              <w:jc w:val="center"/>
              <w:rPr>
                <w:rFonts w:ascii="Times New Roman" w:hAnsi="Times New Roman"/>
                <w:b/>
                <w:sz w:val="18"/>
              </w:rPr>
            </w:pPr>
            <w:r>
              <w:rPr>
                <w:rFonts w:ascii="Times New Roman" w:hAnsi="Times New Roman"/>
                <w:b/>
                <w:sz w:val="18"/>
              </w:rPr>
              <w:t>South San Francisco, CA</w:t>
            </w:r>
          </w:p>
        </w:tc>
        <w:tc>
          <w:tcPr>
            <w:tcW w:w="1246" w:type="dxa"/>
            <w:tcBorders/>
            <w:shd w:fill="auto" w:val="clear"/>
            <w:vAlign w:val="center"/>
          </w:tcPr>
          <w:p>
            <w:pPr>
              <w:pStyle w:val="TableContents"/>
              <w:spacing w:lineRule="auto" w:line="252" w:before="0" w:after="0"/>
              <w:ind w:left="0" w:right="0" w:hanging="0"/>
              <w:jc w:val="center"/>
              <w:rPr>
                <w:rFonts w:ascii="Times New Roman" w:hAnsi="Times New Roman"/>
                <w:b/>
                <w:sz w:val="18"/>
              </w:rPr>
            </w:pPr>
            <w:r>
              <w:rPr>
                <w:rFonts w:ascii="Times New Roman" w:hAnsi="Times New Roman"/>
                <w:b/>
                <w:sz w:val="18"/>
              </w:rPr>
              <w:t>94080</w:t>
            </w:r>
          </w:p>
        </w:tc>
      </w:tr>
      <w:tr>
        <w:trPr/>
        <w:tc>
          <w:tcPr>
            <w:tcW w:w="2641" w:type="dxa"/>
            <w:tcBorders/>
            <w:shd w:fill="auto" w:val="clear"/>
            <w:vAlign w:val="center"/>
          </w:tcPr>
          <w:p>
            <w:pPr>
              <w:pStyle w:val="TableContents"/>
              <w:spacing w:lineRule="auto" w:line="252" w:before="0" w:after="0"/>
              <w:ind w:left="0" w:right="0" w:hanging="0"/>
              <w:jc w:val="center"/>
              <w:rPr>
                <w:rFonts w:ascii="Times New Roman" w:hAnsi="Times New Roman"/>
                <w:b/>
                <w:sz w:val="14"/>
              </w:rPr>
            </w:pPr>
            <w:r>
              <w:rPr>
                <w:rFonts w:ascii="Times New Roman" w:hAnsi="Times New Roman"/>
                <w:b/>
                <w:sz w:val="14"/>
              </w:rPr>
              <w:t>(Address of principal executive offices)</w:t>
            </w:r>
          </w:p>
        </w:tc>
        <w:tc>
          <w:tcPr>
            <w:tcW w:w="1246" w:type="dxa"/>
            <w:tcBorders/>
            <w:shd w:fill="auto" w:val="clear"/>
            <w:vAlign w:val="center"/>
          </w:tcPr>
          <w:p>
            <w:pPr>
              <w:pStyle w:val="TableContents"/>
              <w:spacing w:lineRule="auto" w:line="252" w:before="0" w:after="0"/>
              <w:ind w:left="0" w:right="0" w:hanging="0"/>
              <w:jc w:val="center"/>
              <w:rPr>
                <w:rFonts w:ascii="Times New Roman" w:hAnsi="Times New Roman"/>
                <w:b/>
                <w:sz w:val="14"/>
              </w:rPr>
            </w:pPr>
            <w:r>
              <w:rPr>
                <w:rFonts w:ascii="Times New Roman" w:hAnsi="Times New Roman"/>
                <w:b/>
                <w:sz w:val="14"/>
              </w:rPr>
              <w:t>(Zip Code)</w:t>
            </w:r>
          </w:p>
        </w:tc>
      </w:tr>
    </w:tbl>
    <w:p>
      <w:pPr>
        <w:pStyle w:val="TextBody"/>
        <w:spacing w:lineRule="auto" w:line="273" w:before="0" w:after="0"/>
        <w:jc w:val="center"/>
        <w:rPr>
          <w:rFonts w:ascii="Times New Roman" w:hAnsi="Times New Roman"/>
          <w:b/>
          <w:sz w:val="18"/>
        </w:rPr>
      </w:pPr>
      <w:r>
        <w:rPr>
          <w:rFonts w:ascii="Times New Roman" w:hAnsi="Times New Roman"/>
          <w:b/>
          <w:sz w:val="18"/>
        </w:rPr>
        <w:t>(650) 484-0899</w:t>
      </w:r>
    </w:p>
    <w:p>
      <w:pPr>
        <w:pStyle w:val="TextBody"/>
        <w:spacing w:lineRule="auto" w:line="273" w:before="0" w:after="0"/>
        <w:jc w:val="center"/>
        <w:rPr>
          <w:rFonts w:ascii="Times New Roman" w:hAnsi="Times New Roman"/>
          <w:b/>
          <w:sz w:val="18"/>
        </w:rPr>
      </w:pPr>
      <w:r>
        <w:rPr>
          <w:rFonts w:ascii="Times New Roman" w:hAnsi="Times New Roman"/>
          <w:b/>
          <w:sz w:val="18"/>
        </w:rPr>
        <w:t>(Registrant’s telephone number, including area code)</w:t>
      </w:r>
    </w:p>
    <w:p>
      <w:pPr>
        <w:pStyle w:val="TextBody"/>
        <w:spacing w:lineRule="auto" w:line="273" w:before="0" w:after="0"/>
        <w:jc w:val="center"/>
        <w:rPr/>
      </w:pPr>
      <w:r>
        <w:rPr/>
        <w:t> </w:t>
      </w:r>
    </w:p>
    <w:p>
      <w:pPr>
        <w:pStyle w:val="TextBody"/>
        <w:spacing w:lineRule="auto" w:line="273" w:before="0" w:after="0"/>
        <w:jc w:val="center"/>
        <w:rPr>
          <w:rFonts w:ascii="Times New Roman" w:hAnsi="Times New Roman"/>
          <w:b/>
          <w:sz w:val="18"/>
        </w:rPr>
      </w:pPr>
      <w:r>
        <w:rPr>
          <w:rFonts w:ascii="Times New Roman" w:hAnsi="Times New Roman"/>
          <w:b/>
          <w:sz w:val="18"/>
        </w:rPr>
        <w:t>N/A</w:t>
      </w:r>
    </w:p>
    <w:p>
      <w:pPr>
        <w:pStyle w:val="TextBody"/>
        <w:spacing w:lineRule="auto" w:line="273" w:before="0" w:after="0"/>
        <w:jc w:val="center"/>
        <w:rPr>
          <w:rFonts w:ascii="Times New Roman" w:hAnsi="Times New Roman"/>
          <w:sz w:val="20"/>
        </w:rPr>
      </w:pPr>
      <w:r>
        <w:rPr>
          <w:rFonts w:ascii="Times New Roman" w:hAnsi="Times New Roman"/>
          <w:b/>
          <w:sz w:val="14"/>
        </w:rPr>
        <w:t>(Former name, former address and former fiscal year, if changed since last report)</w:t>
      </w:r>
      <w:r>
        <w:rPr>
          <w:rFonts w:ascii="Times New Roman" w:hAnsi="Times New Roman"/>
          <w:sz w:val="20"/>
        </w:rPr>
        <w:t xml:space="preserve"> </w:t>
      </w:r>
    </w:p>
    <w:p>
      <w:pPr>
        <w:pStyle w:val="TextBody"/>
        <w:pBdr>
          <w:bottom w:val="single" w:sz="8" w:space="1" w:color="000000"/>
        </w:pBdr>
        <w:spacing w:lineRule="atLeast" w:line="141" w:before="20" w:after="0"/>
        <w:jc w:val="center"/>
        <w:rPr/>
      </w:pPr>
      <w:r>
        <w:rPr/>
        <w:t> </w:t>
      </w:r>
    </w:p>
    <w:p>
      <w:pPr>
        <w:pStyle w:val="TextBody"/>
        <w:spacing w:lineRule="auto" w:line="273" w:before="60" w:after="0"/>
        <w:jc w:val="center"/>
        <w:rPr>
          <w:rFonts w:ascii="Times New Roman" w:hAnsi="Times New Roman"/>
          <w:sz w:val="20"/>
        </w:rPr>
      </w:pPr>
      <w:r>
        <w:rPr>
          <w:rFonts w:ascii="Times New Roman" w:hAnsi="Times New Roman"/>
          <w:b/>
          <w:sz w:val="18"/>
        </w:rPr>
        <w:t>Securities registered pursuant to Section 12(b) of the Act:</w:t>
      </w:r>
      <w:r>
        <w:rPr>
          <w:rFonts w:ascii="Times New Roman" w:hAnsi="Times New Roman"/>
          <w:sz w:val="20"/>
        </w:rPr>
        <w:t xml:space="preserve"> </w:t>
      </w:r>
    </w:p>
    <w:p>
      <w:pPr>
        <w:pStyle w:val="TextBody"/>
        <w:spacing w:lineRule="auto" w:line="273" w:before="0" w:after="0"/>
        <w:jc w:val="left"/>
        <w:rPr/>
      </w:pPr>
      <w:r>
        <w:rPr/>
        <w:t> </w:t>
      </w:r>
    </w:p>
    <w:tbl>
      <w:tblPr>
        <w:tblW w:w="7308" w:type="dxa"/>
        <w:jc w:val="left"/>
        <w:tblInd w:w="0" w:type="dxa"/>
        <w:tblCellMar>
          <w:top w:w="28" w:type="dxa"/>
          <w:left w:w="28" w:type="dxa"/>
          <w:bottom w:w="28" w:type="dxa"/>
          <w:right w:w="28" w:type="dxa"/>
        </w:tblCellMar>
      </w:tblPr>
      <w:tblGrid>
        <w:gridCol w:w="3526"/>
        <w:gridCol w:w="1081"/>
        <w:gridCol w:w="2701"/>
      </w:tblGrid>
      <w:tr>
        <w:trPr/>
        <w:tc>
          <w:tcPr>
            <w:tcW w:w="3526" w:type="dxa"/>
            <w:tcBorders/>
            <w:shd w:fill="auto" w:val="clear"/>
            <w:vAlign w:val="center"/>
          </w:tcPr>
          <w:p>
            <w:pPr>
              <w:pStyle w:val="TableContents"/>
              <w:spacing w:before="0" w:after="283"/>
              <w:rPr>
                <w:sz w:val="4"/>
                <w:szCs w:val="4"/>
              </w:rPr>
            </w:pPr>
            <w:r>
              <w:rPr>
                <w:sz w:val="4"/>
                <w:szCs w:val="4"/>
              </w:rPr>
            </w:r>
          </w:p>
        </w:tc>
        <w:tc>
          <w:tcPr>
            <w:tcW w:w="1081" w:type="dxa"/>
            <w:tcBorders/>
            <w:shd w:fill="auto" w:val="clear"/>
            <w:vAlign w:val="center"/>
          </w:tcPr>
          <w:p>
            <w:pPr>
              <w:pStyle w:val="TableContents"/>
              <w:spacing w:before="0" w:after="283"/>
              <w:rPr>
                <w:sz w:val="4"/>
                <w:szCs w:val="4"/>
              </w:rPr>
            </w:pPr>
            <w:r>
              <w:rPr>
                <w:sz w:val="4"/>
                <w:szCs w:val="4"/>
              </w:rPr>
            </w:r>
          </w:p>
        </w:tc>
        <w:tc>
          <w:tcPr>
            <w:tcW w:w="2701" w:type="dxa"/>
            <w:tcBorders/>
            <w:shd w:fill="auto" w:val="clear"/>
            <w:vAlign w:val="center"/>
          </w:tcPr>
          <w:p>
            <w:pPr>
              <w:pStyle w:val="TableContents"/>
              <w:spacing w:before="0" w:after="283"/>
              <w:rPr>
                <w:sz w:val="4"/>
                <w:szCs w:val="4"/>
              </w:rPr>
            </w:pPr>
            <w:r>
              <w:rPr>
                <w:sz w:val="4"/>
                <w:szCs w:val="4"/>
              </w:rPr>
            </w:r>
          </w:p>
        </w:tc>
      </w:tr>
      <w:tr>
        <w:trPr/>
        <w:tc>
          <w:tcPr>
            <w:tcW w:w="3526" w:type="dxa"/>
            <w:tcBorders/>
            <w:shd w:fill="auto" w:val="clear"/>
            <w:vAlign w:val="center"/>
          </w:tcPr>
          <w:p>
            <w:pPr>
              <w:pStyle w:val="TableContents"/>
              <w:spacing w:lineRule="auto" w:line="252" w:before="0" w:after="0"/>
              <w:ind w:left="0" w:right="0" w:hanging="0"/>
              <w:jc w:val="left"/>
              <w:rPr/>
            </w:pPr>
            <w:r>
              <w:rPr/>
              <w:t> </w:t>
            </w:r>
          </w:p>
        </w:tc>
        <w:tc>
          <w:tcPr>
            <w:tcW w:w="1081" w:type="dxa"/>
            <w:tcBorders/>
            <w:shd w:fill="auto" w:val="clear"/>
            <w:vAlign w:val="center"/>
          </w:tcPr>
          <w:p>
            <w:pPr>
              <w:pStyle w:val="TableContents"/>
              <w:spacing w:lineRule="auto" w:line="252" w:before="0" w:after="0"/>
              <w:ind w:left="0" w:right="0" w:hanging="0"/>
              <w:jc w:val="left"/>
              <w:rPr/>
            </w:pPr>
            <w:r>
              <w:rPr/>
              <w:t> </w:t>
            </w:r>
          </w:p>
        </w:tc>
        <w:tc>
          <w:tcPr>
            <w:tcW w:w="2701" w:type="dxa"/>
            <w:tcBorders/>
            <w:shd w:fill="auto" w:val="clear"/>
            <w:vAlign w:val="center"/>
          </w:tcPr>
          <w:p>
            <w:pPr>
              <w:pStyle w:val="TableContents"/>
              <w:spacing w:lineRule="auto" w:line="252" w:before="0" w:after="0"/>
              <w:ind w:left="0" w:right="0" w:hanging="0"/>
              <w:jc w:val="left"/>
              <w:rPr/>
            </w:pPr>
            <w:r>
              <w:rPr/>
              <w:t> </w:t>
            </w:r>
          </w:p>
        </w:tc>
      </w:tr>
      <w:tr>
        <w:trPr/>
        <w:tc>
          <w:tcPr>
            <w:tcW w:w="3526" w:type="dxa"/>
            <w:tcBorders/>
            <w:shd w:fill="auto" w:val="clear"/>
            <w:vAlign w:val="center"/>
          </w:tcPr>
          <w:p>
            <w:pPr>
              <w:pStyle w:val="TableContents"/>
              <w:spacing w:lineRule="auto" w:line="252" w:before="0" w:after="0"/>
              <w:ind w:left="0" w:right="0" w:hanging="0"/>
              <w:jc w:val="center"/>
              <w:rPr>
                <w:rFonts w:ascii="Times New Roman" w:hAnsi="Times New Roman"/>
                <w:b/>
                <w:sz w:val="14"/>
              </w:rPr>
            </w:pPr>
            <w:r>
              <w:rPr>
                <w:rFonts w:ascii="Times New Roman" w:hAnsi="Times New Roman"/>
                <w:b/>
                <w:sz w:val="14"/>
              </w:rPr>
              <w:t>Title of each class</w:t>
            </w:r>
          </w:p>
          <w:p>
            <w:pPr>
              <w:pStyle w:val="TableContents"/>
              <w:pBdr>
                <w:top w:val="single" w:sz="8" w:space="1" w:color="000000"/>
              </w:pBdr>
              <w:spacing w:lineRule="atLeast" w:line="141" w:before="20" w:after="0"/>
              <w:ind w:left="0" w:right="0" w:hanging="0"/>
              <w:jc w:val="left"/>
              <w:rPr/>
            </w:pPr>
            <w:r>
              <w:rPr/>
              <w:t> </w:t>
            </w:r>
          </w:p>
        </w:tc>
        <w:tc>
          <w:tcPr>
            <w:tcW w:w="1081" w:type="dxa"/>
            <w:tcBorders/>
            <w:shd w:fill="auto" w:val="clear"/>
            <w:tcMar>
              <w:top w:w="0" w:type="dxa"/>
              <w:left w:w="0" w:type="dxa"/>
              <w:bottom w:w="0" w:type="dxa"/>
              <w:right w:w="0" w:type="dxa"/>
            </w:tcMar>
            <w:vAlign w:val="center"/>
          </w:tcPr>
          <w:p>
            <w:pPr>
              <w:pStyle w:val="TableContents"/>
              <w:spacing w:lineRule="auto" w:line="252" w:before="0" w:after="0"/>
              <w:ind w:left="0" w:right="0" w:hanging="0"/>
              <w:jc w:val="center"/>
              <w:rPr>
                <w:rFonts w:ascii="Times New Roman" w:hAnsi="Times New Roman"/>
                <w:b/>
                <w:sz w:val="14"/>
              </w:rPr>
            </w:pPr>
            <w:r>
              <w:rPr>
                <w:rFonts w:ascii="Times New Roman" w:hAnsi="Times New Roman"/>
                <w:b/>
                <w:sz w:val="14"/>
              </w:rPr>
              <w:t>Trading Symbol</w:t>
            </w:r>
          </w:p>
          <w:p>
            <w:pPr>
              <w:pStyle w:val="TableContents"/>
              <w:pBdr>
                <w:top w:val="single" w:sz="8" w:space="1" w:color="000000"/>
              </w:pBdr>
              <w:spacing w:lineRule="atLeast" w:line="141" w:before="0" w:after="0"/>
              <w:ind w:left="0" w:right="0" w:hanging="0"/>
              <w:jc w:val="left"/>
              <w:rPr/>
            </w:pPr>
            <w:r>
              <w:rPr/>
              <w:t> </w:t>
            </w:r>
          </w:p>
        </w:tc>
        <w:tc>
          <w:tcPr>
            <w:tcW w:w="2701" w:type="dxa"/>
            <w:tcBorders/>
            <w:shd w:fill="auto" w:val="clear"/>
            <w:tcMar>
              <w:top w:w="0" w:type="dxa"/>
              <w:left w:w="0" w:type="dxa"/>
              <w:bottom w:w="0" w:type="dxa"/>
              <w:right w:w="0" w:type="dxa"/>
            </w:tcMar>
            <w:vAlign w:val="center"/>
          </w:tcPr>
          <w:p>
            <w:pPr>
              <w:pStyle w:val="TableContents"/>
              <w:spacing w:lineRule="auto" w:line="252" w:before="0" w:after="0"/>
              <w:ind w:left="0" w:right="0" w:hanging="0"/>
              <w:jc w:val="center"/>
              <w:rPr>
                <w:rFonts w:ascii="Times New Roman" w:hAnsi="Times New Roman"/>
                <w:b/>
                <w:sz w:val="14"/>
              </w:rPr>
            </w:pPr>
            <w:r>
              <w:rPr>
                <w:rFonts w:ascii="Times New Roman" w:hAnsi="Times New Roman"/>
                <w:b/>
                <w:sz w:val="14"/>
              </w:rPr>
              <w:t>Name of each exchange on which registered</w:t>
            </w:r>
          </w:p>
          <w:p>
            <w:pPr>
              <w:pStyle w:val="TableContents"/>
              <w:pBdr>
                <w:top w:val="single" w:sz="8" w:space="1" w:color="000000"/>
              </w:pBdr>
              <w:spacing w:lineRule="atLeast" w:line="141" w:before="0" w:after="0"/>
              <w:ind w:left="0" w:right="0" w:hanging="0"/>
              <w:jc w:val="left"/>
              <w:rPr/>
            </w:pPr>
            <w:r>
              <w:rPr/>
              <w:t> </w:t>
            </w:r>
          </w:p>
        </w:tc>
      </w:tr>
      <w:tr>
        <w:trPr/>
        <w:tc>
          <w:tcPr>
            <w:tcW w:w="3526" w:type="dxa"/>
            <w:tcBorders/>
            <w:shd w:fill="auto" w:val="clear"/>
            <w:vAlign w:val="center"/>
          </w:tcPr>
          <w:p>
            <w:pPr>
              <w:pStyle w:val="TableContents"/>
              <w:spacing w:lineRule="auto" w:line="252" w:before="0" w:after="0"/>
              <w:ind w:left="0" w:right="0" w:hanging="0"/>
              <w:jc w:val="center"/>
              <w:rPr>
                <w:rFonts w:ascii="Times New Roman" w:hAnsi="Times New Roman"/>
                <w:b/>
                <w:sz w:val="18"/>
              </w:rPr>
            </w:pPr>
            <w:r>
              <w:rPr>
                <w:rFonts w:ascii="Times New Roman" w:hAnsi="Times New Roman"/>
                <w:b/>
                <w:sz w:val="18"/>
              </w:rPr>
              <w:t>Common Stock, par value $0.0001 per share</w:t>
            </w:r>
          </w:p>
        </w:tc>
        <w:tc>
          <w:tcPr>
            <w:tcW w:w="1081" w:type="dxa"/>
            <w:tcBorders/>
            <w:shd w:fill="auto" w:val="clear"/>
            <w:vAlign w:val="center"/>
          </w:tcPr>
          <w:p>
            <w:pPr>
              <w:pStyle w:val="TableContents"/>
              <w:spacing w:lineRule="auto" w:line="252" w:before="0" w:after="0"/>
              <w:ind w:left="0" w:right="0" w:hanging="0"/>
              <w:jc w:val="center"/>
              <w:rPr>
                <w:rFonts w:ascii="Times New Roman" w:hAnsi="Times New Roman"/>
                <w:b/>
                <w:sz w:val="18"/>
              </w:rPr>
            </w:pPr>
            <w:r>
              <w:rPr>
                <w:rFonts w:ascii="Times New Roman" w:hAnsi="Times New Roman"/>
                <w:b/>
                <w:sz w:val="18"/>
              </w:rPr>
              <w:t>DAWN</w:t>
            </w:r>
          </w:p>
        </w:tc>
        <w:tc>
          <w:tcPr>
            <w:tcW w:w="2701" w:type="dxa"/>
            <w:tcBorders/>
            <w:shd w:fill="auto" w:val="clear"/>
            <w:vAlign w:val="center"/>
          </w:tcPr>
          <w:p>
            <w:pPr>
              <w:pStyle w:val="TableContents"/>
              <w:spacing w:lineRule="auto" w:line="252" w:before="0" w:after="20"/>
              <w:ind w:left="0" w:right="0" w:hanging="0"/>
              <w:jc w:val="center"/>
              <w:rPr>
                <w:rFonts w:ascii="Times New Roman" w:hAnsi="Times New Roman"/>
                <w:b/>
                <w:sz w:val="18"/>
              </w:rPr>
            </w:pPr>
            <w:r>
              <w:rPr>
                <w:rFonts w:ascii="Times New Roman" w:hAnsi="Times New Roman"/>
                <w:b/>
                <w:sz w:val="18"/>
              </w:rPr>
              <w:t>Nasdaq Global Select Market</w:t>
            </w:r>
          </w:p>
        </w:tc>
      </w:tr>
    </w:tbl>
    <w:p>
      <w:pPr>
        <w:pStyle w:val="TextBody"/>
        <w:spacing w:lineRule="auto" w:line="273" w:before="60" w:after="0"/>
        <w:jc w:val="left"/>
        <w:rPr>
          <w:rFonts w:ascii="Times New Roman" w:hAnsi="Times New Roman"/>
          <w:sz w:val="20"/>
        </w:rPr>
      </w:pPr>
      <w:r>
        <w:rPr>
          <w:rFonts w:ascii="Times New Roman" w:hAnsi="Times New Roman"/>
          <w:b w:val="false"/>
          <w:sz w:val="18"/>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w:t>
      </w:r>
      <w:r>
        <w:rPr>
          <w:rFonts w:ascii="Times New Roman" w:hAnsi="Times New Roman"/>
          <w:sz w:val="20"/>
        </w:rPr>
        <w:t xml:space="preserve"> ☒ </w:t>
      </w:r>
      <w:r>
        <w:rPr>
          <w:rFonts w:ascii="Times New Roman" w:hAnsi="Times New Roman"/>
          <w:b w:val="false"/>
          <w:sz w:val="18"/>
        </w:rPr>
        <w:t>No ☐</w:t>
      </w:r>
    </w:p>
    <w:p>
      <w:pPr>
        <w:pStyle w:val="TextBody"/>
        <w:spacing w:lineRule="auto" w:line="273" w:before="60" w:after="0"/>
        <w:jc w:val="left"/>
        <w:rPr>
          <w:rFonts w:ascii="Times New Roman" w:hAnsi="Times New Roman"/>
          <w:sz w:val="20"/>
        </w:rPr>
      </w:pPr>
      <w:r>
        <w:rPr>
          <w:rFonts w:ascii="Times New Roman" w:hAnsi="Times New Roman"/>
          <w:b w:val="false"/>
          <w:sz w:val="18"/>
        </w:rPr>
        <w:t>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w:t>
      </w:r>
      <w:r>
        <w:rPr>
          <w:rFonts w:ascii="Times New Roman" w:hAnsi="Times New Roman"/>
          <w:sz w:val="20"/>
        </w:rPr>
        <w:t xml:space="preserve"> ☒ </w:t>
      </w:r>
      <w:r>
        <w:rPr>
          <w:rFonts w:ascii="Times New Roman" w:hAnsi="Times New Roman"/>
          <w:b w:val="false"/>
          <w:sz w:val="18"/>
        </w:rPr>
        <w:t>No ☐</w:t>
      </w:r>
      <w:r>
        <w:rPr>
          <w:rFonts w:ascii="Times New Roman" w:hAnsi="Times New Roman"/>
          <w:sz w:val="20"/>
        </w:rPr>
        <w:t xml:space="preserve"> </w:t>
      </w:r>
    </w:p>
    <w:p>
      <w:pPr>
        <w:pStyle w:val="TextBody"/>
        <w:spacing w:lineRule="auto" w:line="273" w:before="60" w:after="0"/>
        <w:jc w:val="left"/>
        <w:rPr>
          <w:rFonts w:ascii="Times New Roman" w:hAnsi="Times New Roman"/>
          <w:sz w:val="20"/>
        </w:rPr>
      </w:pPr>
      <w:r>
        <w:rPr>
          <w:rFonts w:ascii="Times New Roman" w:hAnsi="Times New Roman"/>
          <w:b w:val="false"/>
          <w:sz w:val="18"/>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r>
        <w:rPr>
          <w:rFonts w:ascii="Times New Roman" w:hAnsi="Times New Roman"/>
          <w:sz w:val="20"/>
        </w:rPr>
        <w:t xml:space="preserve"> </w:t>
      </w:r>
    </w:p>
    <w:p>
      <w:pPr>
        <w:pStyle w:val="TextBody"/>
        <w:spacing w:lineRule="auto" w:line="273" w:before="0" w:after="0"/>
        <w:jc w:val="left"/>
        <w:rPr/>
      </w:pPr>
      <w:r>
        <w:rPr/>
        <w:t> </w:t>
      </w:r>
    </w:p>
    <w:tbl>
      <w:tblPr>
        <w:tblW w:w="4384" w:type="dxa"/>
        <w:jc w:val="left"/>
        <w:tblInd w:w="0" w:type="dxa"/>
        <w:tblCellMar>
          <w:top w:w="28" w:type="dxa"/>
          <w:left w:w="28" w:type="dxa"/>
          <w:bottom w:w="28" w:type="dxa"/>
          <w:right w:w="28" w:type="dxa"/>
        </w:tblCellMar>
      </w:tblPr>
      <w:tblGrid>
        <w:gridCol w:w="1666"/>
        <w:gridCol w:w="316"/>
        <w:gridCol w:w="2041"/>
        <w:gridCol w:w="361"/>
      </w:tblGrid>
      <w:tr>
        <w:trPr/>
        <w:tc>
          <w:tcPr>
            <w:tcW w:w="1666" w:type="dxa"/>
            <w:tcBorders/>
            <w:shd w:fill="auto" w:val="clear"/>
            <w:vAlign w:val="center"/>
          </w:tcPr>
          <w:p>
            <w:pPr>
              <w:pStyle w:val="TableContents"/>
              <w:spacing w:before="0" w:after="283"/>
              <w:rPr>
                <w:sz w:val="4"/>
                <w:szCs w:val="4"/>
              </w:rPr>
            </w:pPr>
            <w:r>
              <w:rPr>
                <w:sz w:val="4"/>
                <w:szCs w:val="4"/>
              </w:rPr>
            </w:r>
          </w:p>
        </w:tc>
        <w:tc>
          <w:tcPr>
            <w:tcW w:w="316" w:type="dxa"/>
            <w:tcBorders/>
            <w:shd w:fill="auto" w:val="clear"/>
            <w:vAlign w:val="center"/>
          </w:tcPr>
          <w:p>
            <w:pPr>
              <w:pStyle w:val="TableContents"/>
              <w:spacing w:before="0" w:after="283"/>
              <w:rPr>
                <w:sz w:val="4"/>
                <w:szCs w:val="4"/>
              </w:rPr>
            </w:pPr>
            <w:r>
              <w:rPr>
                <w:sz w:val="4"/>
                <w:szCs w:val="4"/>
              </w:rPr>
            </w:r>
          </w:p>
        </w:tc>
        <w:tc>
          <w:tcPr>
            <w:tcW w:w="2041" w:type="dxa"/>
            <w:tcBorders/>
            <w:shd w:fill="auto" w:val="clear"/>
            <w:vAlign w:val="center"/>
          </w:tcPr>
          <w:p>
            <w:pPr>
              <w:pStyle w:val="TableContents"/>
              <w:spacing w:before="0" w:after="283"/>
              <w:rPr>
                <w:sz w:val="4"/>
                <w:szCs w:val="4"/>
              </w:rPr>
            </w:pPr>
            <w:r>
              <w:rPr>
                <w:sz w:val="4"/>
                <w:szCs w:val="4"/>
              </w:rPr>
            </w:r>
          </w:p>
        </w:tc>
        <w:tc>
          <w:tcPr>
            <w:tcW w:w="361" w:type="dxa"/>
            <w:tcBorders/>
            <w:shd w:fill="auto" w:val="clear"/>
            <w:vAlign w:val="center"/>
          </w:tcPr>
          <w:p>
            <w:pPr>
              <w:pStyle w:val="TableContents"/>
              <w:spacing w:before="0" w:after="283"/>
              <w:rPr>
                <w:sz w:val="4"/>
                <w:szCs w:val="4"/>
              </w:rPr>
            </w:pPr>
            <w:r>
              <w:rPr>
                <w:sz w:val="4"/>
                <w:szCs w:val="4"/>
              </w:rPr>
            </w:r>
          </w:p>
        </w:tc>
      </w:tr>
      <w:tr>
        <w:trPr/>
        <w:tc>
          <w:tcPr>
            <w:tcW w:w="1666" w:type="dxa"/>
            <w:tcBorders/>
            <w:shd w:fill="auto" w:val="clear"/>
            <w:vAlign w:val="center"/>
          </w:tcPr>
          <w:p>
            <w:pPr>
              <w:pStyle w:val="TableContents"/>
              <w:spacing w:lineRule="auto" w:line="252" w:before="0" w:after="0"/>
              <w:ind w:left="0" w:right="0" w:hanging="0"/>
              <w:jc w:val="left"/>
              <w:rPr/>
            </w:pPr>
            <w:r>
              <w:rPr/>
              <w:t> </w:t>
            </w:r>
          </w:p>
        </w:tc>
        <w:tc>
          <w:tcPr>
            <w:tcW w:w="316" w:type="dxa"/>
            <w:tcBorders/>
            <w:shd w:fill="auto" w:val="clear"/>
            <w:vAlign w:val="center"/>
          </w:tcPr>
          <w:p>
            <w:pPr>
              <w:pStyle w:val="TableContents"/>
              <w:spacing w:lineRule="auto" w:line="252" w:before="0" w:after="0"/>
              <w:ind w:left="0" w:right="0" w:hanging="0"/>
              <w:jc w:val="left"/>
              <w:rPr/>
            </w:pPr>
            <w:r>
              <w:rPr/>
              <w:t> </w:t>
            </w:r>
          </w:p>
        </w:tc>
        <w:tc>
          <w:tcPr>
            <w:tcW w:w="2041" w:type="dxa"/>
            <w:tcBorders/>
            <w:shd w:fill="auto" w:val="clear"/>
            <w:vAlign w:val="center"/>
          </w:tcPr>
          <w:p>
            <w:pPr>
              <w:pStyle w:val="TableContents"/>
              <w:spacing w:lineRule="auto" w:line="252" w:before="0" w:after="0"/>
              <w:ind w:left="0" w:right="0" w:hanging="0"/>
              <w:jc w:val="left"/>
              <w:rPr/>
            </w:pPr>
            <w:r>
              <w:rPr/>
              <w:t> </w:t>
            </w:r>
          </w:p>
        </w:tc>
        <w:tc>
          <w:tcPr>
            <w:tcW w:w="361" w:type="dxa"/>
            <w:tcBorders/>
            <w:shd w:fill="auto" w:val="clear"/>
            <w:vAlign w:val="center"/>
          </w:tcPr>
          <w:p>
            <w:pPr>
              <w:pStyle w:val="TableContents"/>
              <w:spacing w:lineRule="auto" w:line="252" w:before="0" w:after="0"/>
              <w:ind w:left="0" w:right="0" w:hanging="0"/>
              <w:jc w:val="left"/>
              <w:rPr/>
            </w:pPr>
            <w:r>
              <w:rPr/>
              <w:t> </w:t>
            </w:r>
          </w:p>
        </w:tc>
      </w:tr>
      <w:tr>
        <w:trPr/>
        <w:tc>
          <w:tcPr>
            <w:tcW w:w="1666" w:type="dxa"/>
            <w:tcBorders/>
            <w:shd w:fill="auto" w:val="clear"/>
            <w:vAlign w:val="center"/>
          </w:tcPr>
          <w:p>
            <w:pPr>
              <w:pStyle w:val="TableContents"/>
              <w:spacing w:lineRule="auto" w:line="252" w:before="0" w:after="0"/>
              <w:ind w:left="0" w:right="0" w:hanging="0"/>
              <w:jc w:val="left"/>
              <w:rPr>
                <w:rFonts w:ascii="Times New Roman" w:hAnsi="Times New Roman"/>
                <w:b w:val="false"/>
                <w:sz w:val="18"/>
              </w:rPr>
            </w:pPr>
            <w:r>
              <w:rPr>
                <w:rFonts w:ascii="Times New Roman" w:hAnsi="Times New Roman"/>
                <w:b w:val="false"/>
                <w:sz w:val="18"/>
              </w:rPr>
              <w:t>Large accelerated filer</w:t>
            </w:r>
          </w:p>
        </w:tc>
        <w:tc>
          <w:tcPr>
            <w:tcW w:w="316" w:type="dxa"/>
            <w:tcBorders/>
            <w:shd w:fill="auto" w:val="clear"/>
            <w:vAlign w:val="center"/>
          </w:tcPr>
          <w:p>
            <w:pPr>
              <w:pStyle w:val="TableContents"/>
              <w:spacing w:lineRule="auto" w:line="252" w:before="0" w:after="0"/>
              <w:ind w:left="0" w:right="0" w:hanging="0"/>
              <w:jc w:val="left"/>
              <w:rPr/>
            </w:pPr>
            <w:r>
              <w:rPr/>
              <w:t>☐</w:t>
            </w:r>
          </w:p>
        </w:tc>
        <w:tc>
          <w:tcPr>
            <w:tcW w:w="2041" w:type="dxa"/>
            <w:tcBorders/>
            <w:shd w:fill="auto" w:val="clear"/>
            <w:vAlign w:val="center"/>
          </w:tcPr>
          <w:p>
            <w:pPr>
              <w:pStyle w:val="TableContents"/>
              <w:spacing w:lineRule="auto" w:line="252" w:before="0" w:after="0"/>
              <w:ind w:left="0" w:right="0" w:hanging="0"/>
              <w:jc w:val="left"/>
              <w:rPr>
                <w:rFonts w:ascii="Times New Roman" w:hAnsi="Times New Roman"/>
                <w:b w:val="false"/>
                <w:sz w:val="18"/>
              </w:rPr>
            </w:pPr>
            <w:r>
              <w:rPr>
                <w:rFonts w:ascii="Times New Roman" w:hAnsi="Times New Roman"/>
                <w:b w:val="false"/>
                <w:sz w:val="18"/>
              </w:rPr>
              <w:t>Accelerated filer</w:t>
            </w:r>
          </w:p>
        </w:tc>
        <w:tc>
          <w:tcPr>
            <w:tcW w:w="361" w:type="dxa"/>
            <w:tcBorders/>
            <w:shd w:fill="auto" w:val="clear"/>
            <w:vAlign w:val="center"/>
          </w:tcPr>
          <w:p>
            <w:pPr>
              <w:pStyle w:val="TableContents"/>
              <w:spacing w:lineRule="auto" w:line="252" w:before="0" w:after="0"/>
              <w:ind w:left="0" w:right="0" w:hanging="0"/>
              <w:jc w:val="left"/>
              <w:rPr/>
            </w:pPr>
            <w:r>
              <w:rPr/>
              <w:t>☐</w:t>
            </w:r>
          </w:p>
        </w:tc>
      </w:tr>
      <w:tr>
        <w:trPr/>
        <w:tc>
          <w:tcPr>
            <w:tcW w:w="1666" w:type="dxa"/>
            <w:tcBorders/>
            <w:shd w:fill="auto" w:val="clear"/>
            <w:vAlign w:val="center"/>
          </w:tcPr>
          <w:p>
            <w:pPr>
              <w:pStyle w:val="TableContents"/>
              <w:spacing w:lineRule="auto" w:line="252" w:before="0" w:after="0"/>
              <w:ind w:left="0" w:right="0" w:hanging="0"/>
              <w:jc w:val="left"/>
              <w:rPr/>
            </w:pPr>
            <w:r>
              <w:rPr/>
              <w:t> </w:t>
            </w:r>
          </w:p>
        </w:tc>
        <w:tc>
          <w:tcPr>
            <w:tcW w:w="316" w:type="dxa"/>
            <w:tcBorders/>
            <w:shd w:fill="auto" w:val="clear"/>
            <w:vAlign w:val="center"/>
          </w:tcPr>
          <w:p>
            <w:pPr>
              <w:pStyle w:val="TableContents"/>
              <w:spacing w:lineRule="auto" w:line="252" w:before="0" w:after="0"/>
              <w:ind w:left="0" w:right="0" w:hanging="0"/>
              <w:jc w:val="left"/>
              <w:rPr/>
            </w:pPr>
            <w:r>
              <w:rPr/>
              <w:t> </w:t>
            </w:r>
          </w:p>
        </w:tc>
        <w:tc>
          <w:tcPr>
            <w:tcW w:w="2041" w:type="dxa"/>
            <w:tcBorders/>
            <w:shd w:fill="auto" w:val="clear"/>
            <w:vAlign w:val="center"/>
          </w:tcPr>
          <w:p>
            <w:pPr>
              <w:pStyle w:val="TableContents"/>
              <w:spacing w:lineRule="auto" w:line="252" w:before="0" w:after="0"/>
              <w:ind w:left="0" w:right="0" w:hanging="0"/>
              <w:jc w:val="left"/>
              <w:rPr/>
            </w:pPr>
            <w:r>
              <w:rPr/>
              <w:t> </w:t>
            </w:r>
          </w:p>
        </w:tc>
        <w:tc>
          <w:tcPr>
            <w:tcW w:w="361" w:type="dxa"/>
            <w:tcBorders/>
            <w:shd w:fill="auto" w:val="clear"/>
            <w:vAlign w:val="center"/>
          </w:tcPr>
          <w:p>
            <w:pPr>
              <w:pStyle w:val="TableContents"/>
              <w:spacing w:lineRule="auto" w:line="252" w:before="0" w:after="0"/>
              <w:ind w:left="0" w:right="0" w:hanging="0"/>
              <w:jc w:val="left"/>
              <w:rPr/>
            </w:pPr>
            <w:r>
              <w:rPr/>
              <w:t> </w:t>
            </w:r>
          </w:p>
        </w:tc>
      </w:tr>
      <w:tr>
        <w:trPr/>
        <w:tc>
          <w:tcPr>
            <w:tcW w:w="1666" w:type="dxa"/>
            <w:tcBorders/>
            <w:shd w:fill="auto" w:val="clear"/>
            <w:vAlign w:val="center"/>
          </w:tcPr>
          <w:p>
            <w:pPr>
              <w:pStyle w:val="TableContents"/>
              <w:spacing w:lineRule="auto" w:line="252" w:before="0" w:after="0"/>
              <w:ind w:left="0" w:right="0" w:hanging="0"/>
              <w:jc w:val="left"/>
              <w:rPr>
                <w:rFonts w:ascii="Times New Roman" w:hAnsi="Times New Roman"/>
                <w:b w:val="false"/>
                <w:sz w:val="18"/>
              </w:rPr>
            </w:pPr>
            <w:r>
              <w:rPr>
                <w:rFonts w:ascii="Times New Roman" w:hAnsi="Times New Roman"/>
                <w:b w:val="false"/>
                <w:sz w:val="18"/>
              </w:rPr>
              <w:t>Non-accelerated filer</w:t>
            </w:r>
          </w:p>
        </w:tc>
        <w:tc>
          <w:tcPr>
            <w:tcW w:w="316" w:type="dxa"/>
            <w:tcBorders/>
            <w:shd w:fill="auto" w:val="clear"/>
            <w:vAlign w:val="center"/>
          </w:tcPr>
          <w:p>
            <w:pPr>
              <w:pStyle w:val="TableContents"/>
              <w:spacing w:lineRule="auto" w:line="252" w:before="0" w:after="0"/>
              <w:ind w:left="0" w:right="0" w:hanging="0"/>
              <w:jc w:val="left"/>
              <w:rPr/>
            </w:pPr>
            <w:r>
              <w:rPr/>
              <w:t>☒</w:t>
            </w:r>
          </w:p>
        </w:tc>
        <w:tc>
          <w:tcPr>
            <w:tcW w:w="2041" w:type="dxa"/>
            <w:tcBorders/>
            <w:shd w:fill="auto" w:val="clear"/>
            <w:vAlign w:val="center"/>
          </w:tcPr>
          <w:p>
            <w:pPr>
              <w:pStyle w:val="TableContents"/>
              <w:spacing w:lineRule="auto" w:line="252" w:before="0" w:after="0"/>
              <w:ind w:left="0" w:right="0" w:hanging="0"/>
              <w:jc w:val="left"/>
              <w:rPr>
                <w:rFonts w:ascii="Times New Roman" w:hAnsi="Times New Roman"/>
                <w:b w:val="false"/>
                <w:sz w:val="18"/>
              </w:rPr>
            </w:pPr>
            <w:r>
              <w:rPr>
                <w:rFonts w:ascii="Times New Roman" w:hAnsi="Times New Roman"/>
                <w:b w:val="false"/>
                <w:sz w:val="18"/>
              </w:rPr>
              <w:t>Smaller reporting company</w:t>
            </w:r>
          </w:p>
        </w:tc>
        <w:tc>
          <w:tcPr>
            <w:tcW w:w="361" w:type="dxa"/>
            <w:tcBorders/>
            <w:shd w:fill="auto" w:val="clear"/>
            <w:vAlign w:val="center"/>
          </w:tcPr>
          <w:p>
            <w:pPr>
              <w:pStyle w:val="TableContents"/>
              <w:spacing w:lineRule="auto" w:line="252" w:before="0" w:after="0"/>
              <w:ind w:left="0" w:right="0" w:hanging="0"/>
              <w:jc w:val="left"/>
              <w:rPr/>
            </w:pPr>
            <w:r>
              <w:rPr/>
              <w:t>☒</w:t>
            </w:r>
          </w:p>
        </w:tc>
      </w:tr>
      <w:tr>
        <w:trPr/>
        <w:tc>
          <w:tcPr>
            <w:tcW w:w="1666" w:type="dxa"/>
            <w:tcBorders/>
            <w:shd w:fill="auto" w:val="clear"/>
            <w:vAlign w:val="center"/>
          </w:tcPr>
          <w:p>
            <w:pPr>
              <w:pStyle w:val="TableContents"/>
              <w:spacing w:lineRule="auto" w:line="252" w:before="0" w:after="0"/>
              <w:ind w:left="0" w:right="0" w:hanging="0"/>
              <w:jc w:val="left"/>
              <w:rPr/>
            </w:pPr>
            <w:r>
              <w:rPr/>
              <w:t> </w:t>
            </w:r>
          </w:p>
        </w:tc>
        <w:tc>
          <w:tcPr>
            <w:tcW w:w="316" w:type="dxa"/>
            <w:tcBorders/>
            <w:shd w:fill="auto" w:val="clear"/>
            <w:vAlign w:val="center"/>
          </w:tcPr>
          <w:p>
            <w:pPr>
              <w:pStyle w:val="TableContents"/>
              <w:spacing w:lineRule="auto" w:line="252" w:before="0" w:after="0"/>
              <w:ind w:left="0" w:right="0" w:hanging="0"/>
              <w:jc w:val="left"/>
              <w:rPr/>
            </w:pPr>
            <w:r>
              <w:rPr/>
              <w:t> </w:t>
            </w:r>
          </w:p>
        </w:tc>
        <w:tc>
          <w:tcPr>
            <w:tcW w:w="2041" w:type="dxa"/>
            <w:tcBorders/>
            <w:shd w:fill="auto" w:val="clear"/>
            <w:vAlign w:val="center"/>
          </w:tcPr>
          <w:p>
            <w:pPr>
              <w:pStyle w:val="TableContents"/>
              <w:spacing w:lineRule="auto" w:line="252" w:before="0" w:after="0"/>
              <w:ind w:left="0" w:right="0" w:hanging="0"/>
              <w:jc w:val="left"/>
              <w:rPr/>
            </w:pPr>
            <w:r>
              <w:rPr/>
              <w:t> </w:t>
            </w:r>
          </w:p>
        </w:tc>
        <w:tc>
          <w:tcPr>
            <w:tcW w:w="361" w:type="dxa"/>
            <w:tcBorders/>
            <w:shd w:fill="auto" w:val="clear"/>
            <w:vAlign w:val="center"/>
          </w:tcPr>
          <w:p>
            <w:pPr>
              <w:pStyle w:val="TableContents"/>
              <w:spacing w:lineRule="auto" w:line="252" w:before="0" w:after="0"/>
              <w:ind w:left="0" w:right="0" w:hanging="0"/>
              <w:jc w:val="left"/>
              <w:rPr/>
            </w:pPr>
            <w:r>
              <w:rPr/>
              <w:t> </w:t>
            </w:r>
          </w:p>
        </w:tc>
      </w:tr>
      <w:tr>
        <w:trPr/>
        <w:tc>
          <w:tcPr>
            <w:tcW w:w="1666" w:type="dxa"/>
            <w:tcBorders/>
            <w:shd w:fill="auto" w:val="clear"/>
            <w:tcMar>
              <w:top w:w="0" w:type="dxa"/>
              <w:left w:w="0" w:type="dxa"/>
              <w:bottom w:w="0" w:type="dxa"/>
              <w:right w:w="0" w:type="dxa"/>
            </w:tcMar>
            <w:vAlign w:val="center"/>
          </w:tcPr>
          <w:p>
            <w:pPr>
              <w:pStyle w:val="TableContents"/>
              <w:spacing w:lineRule="atLeast" w:line="141" w:before="0" w:after="0"/>
              <w:ind w:left="0" w:right="0" w:hanging="0"/>
              <w:jc w:val="left"/>
              <w:rPr/>
            </w:pPr>
            <w:r>
              <w:rPr/>
              <w:t> </w:t>
            </w:r>
          </w:p>
        </w:tc>
        <w:tc>
          <w:tcPr>
            <w:tcW w:w="316" w:type="dxa"/>
            <w:tcBorders/>
            <w:shd w:fill="auto" w:val="clear"/>
            <w:tcMar>
              <w:top w:w="0" w:type="dxa"/>
              <w:left w:w="0" w:type="dxa"/>
              <w:bottom w:w="0" w:type="dxa"/>
              <w:right w:w="0" w:type="dxa"/>
            </w:tcMar>
            <w:vAlign w:val="center"/>
          </w:tcPr>
          <w:p>
            <w:pPr>
              <w:pStyle w:val="TableContents"/>
              <w:spacing w:lineRule="atLeast" w:line="141" w:before="0" w:after="0"/>
              <w:ind w:left="0" w:right="0" w:hanging="0"/>
              <w:jc w:val="left"/>
              <w:rPr/>
            </w:pPr>
            <w:r>
              <w:rPr/>
              <w:t> </w:t>
            </w:r>
          </w:p>
        </w:tc>
        <w:tc>
          <w:tcPr>
            <w:tcW w:w="2041" w:type="dxa"/>
            <w:tcBorders/>
            <w:shd w:fill="auto" w:val="clear"/>
            <w:vAlign w:val="center"/>
          </w:tcPr>
          <w:p>
            <w:pPr>
              <w:pStyle w:val="TableContents"/>
              <w:spacing w:lineRule="auto" w:line="252" w:before="0" w:after="0"/>
              <w:ind w:left="0" w:right="0" w:hanging="0"/>
              <w:jc w:val="left"/>
              <w:rPr>
                <w:rFonts w:ascii="Times New Roman" w:hAnsi="Times New Roman"/>
                <w:b w:val="false"/>
                <w:sz w:val="18"/>
              </w:rPr>
            </w:pPr>
            <w:r>
              <w:rPr>
                <w:rFonts w:ascii="Times New Roman" w:hAnsi="Times New Roman"/>
                <w:b w:val="false"/>
                <w:sz w:val="18"/>
              </w:rPr>
              <w:t>Emerging growth company</w:t>
            </w:r>
          </w:p>
        </w:tc>
        <w:tc>
          <w:tcPr>
            <w:tcW w:w="361" w:type="dxa"/>
            <w:tcBorders/>
            <w:shd w:fill="auto" w:val="clear"/>
            <w:vAlign w:val="center"/>
          </w:tcPr>
          <w:p>
            <w:pPr>
              <w:pStyle w:val="TableContents"/>
              <w:spacing w:lineRule="auto" w:line="252" w:before="0" w:after="0"/>
              <w:ind w:left="0" w:right="0" w:hanging="0"/>
              <w:jc w:val="left"/>
              <w:rPr/>
            </w:pPr>
            <w:r>
              <w:rPr/>
              <w:t>☒</w:t>
            </w:r>
          </w:p>
        </w:tc>
      </w:tr>
    </w:tbl>
    <w:p>
      <w:pPr>
        <w:pStyle w:val="TextBody"/>
        <w:spacing w:lineRule="auto" w:line="273" w:before="60" w:after="0"/>
        <w:jc w:val="left"/>
        <w:rPr>
          <w:rFonts w:ascii="Times New Roman" w:hAnsi="Times New Roman"/>
          <w:sz w:val="20"/>
        </w:rPr>
      </w:pPr>
      <w:r>
        <w:rPr>
          <w:rFonts w:ascii="Times New Roman" w:hAnsi="Times New Roman"/>
          <w:b w:val="false"/>
          <w:sz w:val="18"/>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Times New Roman" w:hAnsi="Times New Roman"/>
          <w:sz w:val="20"/>
        </w:rPr>
        <w:t xml:space="preserve">☐ </w:t>
      </w:r>
    </w:p>
    <w:p>
      <w:pPr>
        <w:pStyle w:val="TextBody"/>
        <w:spacing w:lineRule="auto" w:line="273" w:before="60" w:after="0"/>
        <w:jc w:val="left"/>
        <w:rPr>
          <w:rFonts w:ascii="Times New Roman" w:hAnsi="Times New Roman"/>
          <w:sz w:val="20"/>
        </w:rPr>
      </w:pPr>
      <w:r>
        <w:rPr>
          <w:rFonts w:ascii="Times New Roman" w:hAnsi="Times New Roman"/>
          <w:b w:val="false"/>
          <w:sz w:val="18"/>
        </w:rPr>
        <w:t xml:space="preserve">Indicate by check mark whether the registrant is a shell company (as defined in Rule 12b-2 of the Exchange Act). Yes </w:t>
      </w:r>
      <w:r>
        <w:rPr>
          <w:rFonts w:ascii="Times New Roman" w:hAnsi="Times New Roman"/>
          <w:sz w:val="20"/>
        </w:rPr>
        <w:t xml:space="preserve">☐ </w:t>
      </w:r>
      <w:r>
        <w:rPr>
          <w:rFonts w:ascii="Times New Roman" w:hAnsi="Times New Roman"/>
          <w:b w:val="false"/>
          <w:sz w:val="18"/>
        </w:rPr>
        <w:t>No ☒</w:t>
      </w:r>
      <w:r>
        <w:rPr>
          <w:rFonts w:ascii="Times New Roman" w:hAnsi="Times New Roman"/>
          <w:sz w:val="20"/>
        </w:rPr>
        <w:t xml:space="preserve"> </w:t>
      </w:r>
    </w:p>
    <w:p>
      <w:pPr>
        <w:pStyle w:val="TextBody"/>
        <w:spacing w:lineRule="auto" w:line="273" w:before="60" w:after="0"/>
        <w:jc w:val="left"/>
        <w:rPr>
          <w:rFonts w:ascii="Times New Roman" w:hAnsi="Times New Roman"/>
          <w:sz w:val="20"/>
        </w:rPr>
      </w:pPr>
      <w:r>
        <w:rPr>
          <w:rFonts w:ascii="Times New Roman" w:hAnsi="Times New Roman"/>
          <w:b w:val="false"/>
          <w:sz w:val="18"/>
        </w:rPr>
        <w:t>As of May 9, 2022,</w:t>
      </w:r>
      <w:r>
        <w:rPr>
          <w:rFonts w:ascii="Times New Roman" w:hAnsi="Times New Roman"/>
          <w:sz w:val="20"/>
        </w:rPr>
        <w:t xml:space="preserve"> </w:t>
      </w:r>
      <w:r>
        <w:rPr>
          <w:rFonts w:ascii="Times New Roman" w:hAnsi="Times New Roman"/>
          <w:b w:val="false"/>
          <w:sz w:val="18"/>
        </w:rPr>
        <w:t>the registrant had 61,911,929</w:t>
      </w:r>
      <w:r>
        <w:rPr>
          <w:rFonts w:ascii="Times New Roman" w:hAnsi="Times New Roman"/>
          <w:sz w:val="20"/>
        </w:rPr>
        <w:t xml:space="preserve"> </w:t>
      </w:r>
      <w:r>
        <w:rPr>
          <w:rFonts w:ascii="Times New Roman" w:hAnsi="Times New Roman"/>
          <w:b w:val="false"/>
          <w:sz w:val="18"/>
        </w:rPr>
        <w:t>shares of common stock, $0.0001 par value per share, outstanding.</w:t>
      </w:r>
      <w:r>
        <w:rPr>
          <w:rFonts w:ascii="Times New Roman" w:hAnsi="Times New Roman"/>
          <w:sz w:val="20"/>
        </w:rPr>
        <w:t xml:space="preserve"> </w:t>
      </w:r>
    </w:p>
    <w:p>
      <w:pPr>
        <w:pStyle w:val="TextBody"/>
        <w:pBdr>
          <w:bottom w:val="double" w:sz="6" w:space="1" w:color="000000"/>
        </w:pBdr>
        <w:spacing w:lineRule="auto" w:line="273" w:before="0" w:after="0"/>
        <w:jc w:val="left"/>
        <w:rPr/>
      </w:pPr>
      <w:r>
        <w:rPr/>
        <w:t> </w:t>
      </w:r>
    </w:p>
    <w:p>
      <w:pPr>
        <w:pStyle w:val="TextBody"/>
        <w:spacing w:lineRule="auto" w:line="273" w:before="0" w:after="0"/>
        <w:jc w:val="left"/>
        <w:rPr/>
      </w:pPr>
      <w:r>
        <w:rPr/>
        <w:t> </w:t>
      </w:r>
    </w:p>
    <w:p>
      <w:pPr>
        <w:pStyle w:val="HorizontalLine"/>
        <w:rPr/>
      </w:pPr>
      <w:r>
        <w:rPr/>
      </w:r>
    </w:p>
    <w:p>
      <w:pPr>
        <w:pStyle w:val="TextBody"/>
        <w:spacing w:lineRule="auto" w:line="273" w:before="0" w:after="0"/>
        <w:jc w:val="left"/>
        <w:rPr/>
      </w:pPr>
      <w:r>
        <w:rPr/>
        <w:t> </w:t>
      </w:r>
    </w:p>
    <w:p>
      <w:pPr>
        <w:pStyle w:val="TextBody"/>
        <w:spacing w:lineRule="auto" w:line="273" w:before="0" w:after="0"/>
        <w:jc w:val="center"/>
        <w:rPr>
          <w:rFonts w:ascii="Times New Roman" w:hAnsi="Times New Roman"/>
          <w:sz w:val="20"/>
        </w:rPr>
      </w:pPr>
      <w:r>
        <w:rPr>
          <w:rFonts w:ascii="Times New Roman" w:hAnsi="Times New Roman"/>
          <w:b/>
          <w:sz w:val="20"/>
        </w:rPr>
        <w:t>CAUTIONARY NOTE REGARDING FORWARD-LOOKING STATEMENTS</w:t>
      </w:r>
      <w:r>
        <w:rPr>
          <w:rFonts w:ascii="Times New Roman" w:hAnsi="Times New Roman"/>
          <w:sz w:val="20"/>
        </w:rPr>
        <w:t xml:space="preserve"> </w:t>
      </w:r>
    </w:p>
    <w:p>
      <w:pPr>
        <w:pStyle w:val="TextBody"/>
        <w:spacing w:lineRule="auto" w:line="273" w:before="240" w:after="0"/>
        <w:jc w:val="left"/>
        <w:rPr>
          <w:rFonts w:ascii="Times New Roman" w:hAnsi="Times New Roman"/>
          <w:sz w:val="20"/>
        </w:rPr>
      </w:pPr>
      <w:r>
        <w:rPr>
          <w:rFonts w:ascii="Times New Roman" w:hAnsi="Times New Roman"/>
          <w:b w:val="false"/>
          <w:sz w:val="20"/>
        </w:rPr>
        <w:t>This Quarterly Report contains forward-looking statements within the meaning of Section 21E of the Securities Exchange Act of 1934, as amended, or the Exchange Act, and section 27A of the Securities Act of 1933, as amended, or the Securities Act. All statements contained in this Quarterly Report other than statements of historical fact, including statements regarding our future results of operations and financial position, business strategy, market size, potential growth opportunities, nonclinical and clinical development activities, efficacy and safety profile of our product candidates, potential therapeutic benefits and economic value of our product candidates, use of net proceeds from our public offerings, our ability to maintain and recognize the benefits of certain designations received by product candidates, the timing and results of nonclinical studies and clinical trials, commercial collaboration with third parties, and our ability to recognize milestone and royalty payments from commercialization agreements, the expected impact of the COVID-19 pandemic and other global events, including the recent and developing armed conflict in Ukraine, on our operations, and the receipt and timing of potential regulatory designations, approvals and commercialization of product candidates, are forward-looking statements. The words “believe,” “may,” “will,” “potentially,” “estimate,” “continue,” “anticipate,” “predict,” “target,” “intend,” “could,” “would,” “should,” “project,” “plan,” “expect,” and similar expressions that convey uncertainty of future events or outcomes are intended to identify forward-looking statements, although not all forward-looking statements contain these identifying words.</w:t>
      </w:r>
      <w:r>
        <w:rPr>
          <w:rFonts w:ascii="Times New Roman" w:hAnsi="Times New Roman"/>
          <w:sz w:val="20"/>
        </w:rPr>
        <w:t xml:space="preserve"> </w:t>
      </w:r>
    </w:p>
    <w:p>
      <w:pPr>
        <w:pStyle w:val="TextBody"/>
        <w:spacing w:lineRule="auto" w:line="273" w:before="240" w:after="0"/>
        <w:jc w:val="left"/>
        <w:rPr>
          <w:rFonts w:ascii="Times New Roman" w:hAnsi="Times New Roman"/>
          <w:sz w:val="20"/>
        </w:rPr>
      </w:pPr>
      <w:r>
        <w:rPr>
          <w:rFonts w:ascii="Times New Roman" w:hAnsi="Times New Roman"/>
          <w:b w:val="false"/>
          <w:sz w:val="20"/>
        </w:rPr>
        <w:t>These forward-looking statements are subject to a number of risks, uncertainties and assumptions, including those described in Item 1A, “Risk Factors” and elsewhere in this Quarterly Report. Moreover, we operate in a very competitive and rapidly changing environment, and new risks emerge from time to time. It is not possible for our management to predict all risks, nor can we assess the impact of all factors on our business or the extent to which any factor, or combination of factors, may cause actual results to differ materially from those contained in any forward-looking statements we may make. In light of these risks, uncertainties and assumptions, the forward-looking events and circumstances discussed in this Quarterly Report may not occur and actual results could differ materially and adversely from those anticipated or implied in the forward-looking statements.</w:t>
      </w:r>
      <w:r>
        <w:rPr>
          <w:rFonts w:ascii="Times New Roman" w:hAnsi="Times New Roman"/>
          <w:sz w:val="20"/>
        </w:rPr>
        <w:t xml:space="preserve"> </w:t>
      </w:r>
    </w:p>
    <w:p>
      <w:pPr>
        <w:pStyle w:val="TextBody"/>
        <w:spacing w:lineRule="auto" w:line="273" w:before="240" w:after="0"/>
        <w:jc w:val="left"/>
        <w:rPr>
          <w:rFonts w:ascii="Times New Roman" w:hAnsi="Times New Roman"/>
          <w:sz w:val="20"/>
        </w:rPr>
      </w:pPr>
      <w:r>
        <w:rPr>
          <w:rFonts w:ascii="Times New Roman" w:hAnsi="Times New Roman"/>
          <w:b w:val="false"/>
          <w:sz w:val="20"/>
        </w:rPr>
        <w:t>You should not rely upon forward-looking statements as predictions of future events. Although we believe that the expectations reflected in the forward-looking statements are reasonable, we cannot guarantee that the future results, levels of activity, performance or events and circumstances reflected in the forward-looking statements will be achieved or occur. We undertake no obligation to update publicly any forward-looking statements for any reason after the date of this report to conform these statements to actual results or to changes in our expectations, except as required by law. You should read this Quarterly Report with the understanding that our actual future results, levels of activity, performance and events and circumstances may be materially different from what we expect.</w:t>
      </w:r>
      <w:r>
        <w:rPr>
          <w:rFonts w:ascii="Times New Roman" w:hAnsi="Times New Roman"/>
          <w:sz w:val="20"/>
        </w:rPr>
        <w:t xml:space="preserve"> </w:t>
      </w:r>
    </w:p>
    <w:p>
      <w:pPr>
        <w:pStyle w:val="TextBody"/>
        <w:spacing w:lineRule="auto" w:line="273" w:before="240" w:after="0"/>
        <w:jc w:val="left"/>
        <w:rPr>
          <w:rFonts w:ascii="Times New Roman" w:hAnsi="Times New Roman"/>
          <w:sz w:val="20"/>
        </w:rPr>
      </w:pPr>
      <w:r>
        <w:rPr>
          <w:rFonts w:ascii="Times New Roman" w:hAnsi="Times New Roman"/>
          <w:b w:val="false"/>
          <w:sz w:val="20"/>
        </w:rPr>
        <w:t>Unless the context indicates otherwise, as used in this Quarterly Report on Form 10-Q, the terms “Day One,” “the Company,” “we,” “us,” and “our” refer to Day One Biopharmaceuticals, Inc., a Delaware corporation, and its consolidated subsidiaries taken as a whole, unless otherwise noted. “Day One” and all product candidate names are our common law trademarks. This Quarterly Report contains additional trade names, trademarks and service marks of other companies, which are the property of their respective owners. We do not intend our use or display of other companies’ trade names, trademarks or service marks to imply a relationship with, or endorsement or sponsorship of us by, these other companies.</w:t>
      </w:r>
      <w:r>
        <w:rPr>
          <w:rFonts w:ascii="Times New Roman" w:hAnsi="Times New Roman"/>
          <w:sz w:val="20"/>
        </w:rPr>
        <w:t xml:space="preserve"> </w:t>
      </w:r>
    </w:p>
    <w:p>
      <w:pPr>
        <w:pStyle w:val="TextBody"/>
        <w:spacing w:lineRule="auto" w:line="273" w:before="100" w:after="0"/>
        <w:jc w:val="left"/>
        <w:rPr/>
      </w:pPr>
      <w:r>
        <w:rPr/>
        <w:t> </w:t>
      </w:r>
    </w:p>
    <w:p>
      <w:pPr>
        <w:pStyle w:val="TextBody"/>
        <w:spacing w:lineRule="auto" w:line="273" w:before="0" w:after="0"/>
        <w:jc w:val="left"/>
        <w:rPr/>
      </w:pPr>
      <w:r>
        <w:rPr/>
        <w:t> </w:t>
      </w:r>
    </w:p>
    <w:p>
      <w:pPr>
        <w:pStyle w:val="HorizontalLine"/>
        <w:rPr/>
      </w:pPr>
      <w:r>
        <w:rPr/>
      </w:r>
    </w:p>
    <w:p>
      <w:pPr>
        <w:pStyle w:val="TextBody"/>
        <w:spacing w:lineRule="auto" w:line="273" w:before="0" w:after="0"/>
        <w:jc w:val="left"/>
        <w:rPr/>
      </w:pPr>
      <w:r>
        <w:rPr/>
        <w:t> </w:t>
      </w:r>
    </w:p>
    <w:p>
      <w:pPr>
        <w:pStyle w:val="TextBody"/>
        <w:spacing w:lineRule="auto" w:line="273" w:before="0" w:after="0"/>
        <w:jc w:val="center"/>
        <w:rPr>
          <w:rFonts w:ascii="Times New Roman" w:hAnsi="Times New Roman"/>
          <w:sz w:val="20"/>
        </w:rPr>
      </w:pPr>
      <w:r>
        <w:rPr>
          <w:rFonts w:ascii="Times New Roman" w:hAnsi="Times New Roman"/>
          <w:b/>
          <w:sz w:val="20"/>
        </w:rPr>
        <w:t>Table of Contents</w:t>
      </w:r>
      <w:r>
        <w:rPr>
          <w:rFonts w:ascii="Times New Roman" w:hAnsi="Times New Roman"/>
          <w:sz w:val="20"/>
        </w:rPr>
        <w:t xml:space="preserve"> </w:t>
      </w:r>
    </w:p>
    <w:p>
      <w:pPr>
        <w:pStyle w:val="TextBody"/>
        <w:spacing w:lineRule="auto" w:line="273" w:before="0" w:after="0"/>
        <w:jc w:val="left"/>
        <w:rPr/>
      </w:pPr>
      <w:r>
        <w:rPr/>
        <w:t> </w:t>
      </w:r>
    </w:p>
    <w:tbl>
      <w:tblPr>
        <w:tblW w:w="10205" w:type="dxa"/>
        <w:jc w:val="left"/>
        <w:tblInd w:w="0" w:type="dxa"/>
        <w:tblCellMar>
          <w:top w:w="28" w:type="dxa"/>
          <w:left w:w="28" w:type="dxa"/>
          <w:bottom w:w="28" w:type="dxa"/>
          <w:right w:w="28" w:type="dxa"/>
        </w:tblCellMar>
      </w:tblPr>
      <w:tblGrid>
        <w:gridCol w:w="792"/>
        <w:gridCol w:w="8841"/>
        <w:gridCol w:w="572"/>
      </w:tblGrid>
      <w:tr>
        <w:trPr/>
        <w:tc>
          <w:tcPr>
            <w:tcW w:w="792" w:type="dxa"/>
            <w:tcBorders/>
            <w:shd w:fill="auto" w:val="clear"/>
            <w:vAlign w:val="center"/>
          </w:tcPr>
          <w:p>
            <w:pPr>
              <w:pStyle w:val="TableContents"/>
              <w:spacing w:before="0" w:after="283"/>
              <w:rPr>
                <w:sz w:val="4"/>
                <w:szCs w:val="4"/>
              </w:rPr>
            </w:pPr>
            <w:r>
              <w:rPr>
                <w:sz w:val="4"/>
                <w:szCs w:val="4"/>
              </w:rPr>
            </w:r>
          </w:p>
        </w:tc>
        <w:tc>
          <w:tcPr>
            <w:tcW w:w="8841" w:type="dxa"/>
            <w:tcBorders/>
            <w:shd w:fill="auto" w:val="clear"/>
            <w:vAlign w:val="center"/>
          </w:tcPr>
          <w:p>
            <w:pPr>
              <w:pStyle w:val="TableContents"/>
              <w:spacing w:before="0" w:after="283"/>
              <w:rPr>
                <w:sz w:val="4"/>
                <w:szCs w:val="4"/>
              </w:rPr>
            </w:pPr>
            <w:r>
              <w:rPr>
                <w:sz w:val="4"/>
                <w:szCs w:val="4"/>
              </w:rPr>
            </w:r>
          </w:p>
        </w:tc>
        <w:tc>
          <w:tcPr>
            <w:tcW w:w="572" w:type="dxa"/>
            <w:tcBorders/>
            <w:shd w:fill="auto" w:val="clear"/>
            <w:vAlign w:val="center"/>
          </w:tcPr>
          <w:p>
            <w:pPr>
              <w:pStyle w:val="TableContents"/>
              <w:spacing w:before="0" w:after="283"/>
              <w:rPr>
                <w:sz w:val="4"/>
                <w:szCs w:val="4"/>
              </w:rPr>
            </w:pPr>
            <w:r>
              <w:rPr>
                <w:sz w:val="4"/>
                <w:szCs w:val="4"/>
              </w:rPr>
            </w:r>
          </w:p>
        </w:tc>
      </w:tr>
      <w:tr>
        <w:trPr/>
        <w:tc>
          <w:tcPr>
            <w:tcW w:w="792" w:type="dxa"/>
            <w:tcBorders/>
            <w:shd w:fill="auto" w:val="clear"/>
            <w:vAlign w:val="center"/>
          </w:tcPr>
          <w:p>
            <w:pPr>
              <w:pStyle w:val="TableContents"/>
              <w:spacing w:lineRule="auto" w:line="252" w:before="0" w:after="0"/>
              <w:ind w:left="0" w:right="0" w:hanging="0"/>
              <w:jc w:val="left"/>
              <w:rPr/>
            </w:pPr>
            <w:r>
              <w:rPr/>
              <w:t> </w:t>
            </w:r>
          </w:p>
        </w:tc>
        <w:tc>
          <w:tcPr>
            <w:tcW w:w="8841" w:type="dxa"/>
            <w:tcBorders/>
            <w:shd w:fill="auto" w:val="clear"/>
            <w:vAlign w:val="center"/>
          </w:tcPr>
          <w:p>
            <w:pPr>
              <w:pStyle w:val="TableContents"/>
              <w:spacing w:lineRule="auto" w:line="252" w:before="0" w:after="0"/>
              <w:ind w:left="0" w:right="0" w:hanging="0"/>
              <w:jc w:val="left"/>
              <w:rPr/>
            </w:pPr>
            <w:r>
              <w:rPr/>
              <w:t> </w:t>
            </w:r>
          </w:p>
        </w:tc>
        <w:tc>
          <w:tcPr>
            <w:tcW w:w="572" w:type="dxa"/>
            <w:tcBorders/>
            <w:shd w:fill="auto" w:val="clear"/>
            <w:vAlign w:val="center"/>
          </w:tcPr>
          <w:p>
            <w:pPr>
              <w:pStyle w:val="TableContents"/>
              <w:spacing w:lineRule="auto" w:line="252" w:before="0" w:after="0"/>
              <w:ind w:left="0" w:right="0" w:hanging="0"/>
              <w:jc w:val="left"/>
              <w:rPr/>
            </w:pPr>
            <w:r>
              <w:rPr/>
              <w:t> </w:t>
            </w:r>
          </w:p>
        </w:tc>
      </w:tr>
      <w:tr>
        <w:trPr/>
        <w:tc>
          <w:tcPr>
            <w:tcW w:w="792" w:type="dxa"/>
            <w:tcBorders/>
            <w:shd w:fill="auto" w:val="clear"/>
            <w:tcMar>
              <w:top w:w="0" w:type="dxa"/>
              <w:left w:w="0" w:type="dxa"/>
              <w:bottom w:w="0" w:type="dxa"/>
              <w:right w:w="0" w:type="dxa"/>
            </w:tcMar>
            <w:vAlign w:val="center"/>
          </w:tcPr>
          <w:p>
            <w:pPr>
              <w:pStyle w:val="TableContents"/>
              <w:spacing w:lineRule="atLeast" w:line="141" w:before="0" w:after="0"/>
              <w:ind w:left="0" w:right="0" w:hanging="0"/>
              <w:jc w:val="left"/>
              <w:rPr/>
            </w:pPr>
            <w:r>
              <w:rPr/>
              <w:t> </w:t>
            </w:r>
          </w:p>
        </w:tc>
        <w:tc>
          <w:tcPr>
            <w:tcW w:w="8841" w:type="dxa"/>
            <w:tcBorders/>
            <w:shd w:fill="auto" w:val="clear"/>
            <w:tcMar>
              <w:top w:w="0" w:type="dxa"/>
              <w:left w:w="0" w:type="dxa"/>
              <w:bottom w:w="0" w:type="dxa"/>
              <w:right w:w="0" w:type="dxa"/>
            </w:tcMar>
            <w:vAlign w:val="center"/>
          </w:tcPr>
          <w:p>
            <w:pPr>
              <w:pStyle w:val="TableContents"/>
              <w:spacing w:lineRule="atLeast" w:line="141" w:before="0" w:after="0"/>
              <w:ind w:left="0" w:right="0" w:hanging="0"/>
              <w:jc w:val="left"/>
              <w:rPr/>
            </w:pPr>
            <w:r>
              <w:rPr/>
              <w:t> </w:t>
            </w:r>
          </w:p>
        </w:tc>
        <w:tc>
          <w:tcPr>
            <w:tcW w:w="572" w:type="dxa"/>
            <w:tcBorders/>
            <w:shd w:fill="auto" w:val="clear"/>
            <w:tcMar>
              <w:top w:w="0" w:type="dxa"/>
              <w:left w:w="0" w:type="dxa"/>
              <w:bottom w:w="0" w:type="dxa"/>
              <w:right w:w="0" w:type="dxa"/>
            </w:tcMar>
            <w:vAlign w:val="center"/>
          </w:tcPr>
          <w:p>
            <w:pPr>
              <w:pStyle w:val="TableContents"/>
              <w:spacing w:lineRule="auto" w:line="252" w:before="0" w:after="0"/>
              <w:ind w:left="0" w:right="0" w:hanging="0"/>
              <w:jc w:val="center"/>
              <w:rPr>
                <w:rFonts w:ascii="Times New Roman" w:hAnsi="Times New Roman"/>
                <w:b/>
                <w:sz w:val="20"/>
              </w:rPr>
            </w:pPr>
            <w:r>
              <w:rPr>
                <w:rFonts w:ascii="Times New Roman" w:hAnsi="Times New Roman"/>
                <w:b/>
                <w:sz w:val="20"/>
              </w:rPr>
              <w:t>Page</w:t>
            </w:r>
          </w:p>
        </w:tc>
      </w:tr>
      <w:tr>
        <w:trPr/>
        <w:tc>
          <w:tcPr>
            <w:tcW w:w="792" w:type="dxa"/>
            <w:tcBorders/>
            <w:shd w:fill="auto" w:val="clear"/>
            <w:vAlign w:val="center"/>
          </w:tcPr>
          <w:p>
            <w:pPr>
              <w:pStyle w:val="TableContents"/>
              <w:spacing w:lineRule="auto" w:line="252" w:before="0" w:after="0"/>
              <w:ind w:left="0" w:right="0" w:hanging="0"/>
              <w:jc w:val="left"/>
              <w:rPr>
                <w:rFonts w:ascii="Times New Roman" w:hAnsi="Times New Roman"/>
                <w:b/>
                <w:sz w:val="20"/>
              </w:rPr>
            </w:pPr>
            <w:r>
              <w:rPr>
                <w:rFonts w:ascii="Times New Roman" w:hAnsi="Times New Roman"/>
                <w:b/>
                <w:sz w:val="20"/>
              </w:rPr>
              <w:t>PART I.</w:t>
            </w:r>
          </w:p>
        </w:tc>
        <w:tc>
          <w:tcPr>
            <w:tcW w:w="8841" w:type="dxa"/>
            <w:tcBorders/>
            <w:shd w:fill="auto" w:val="clear"/>
            <w:vAlign w:val="center"/>
          </w:tcPr>
          <w:p>
            <w:pPr>
              <w:pStyle w:val="TableContents"/>
              <w:spacing w:lineRule="auto" w:line="252" w:before="0" w:after="0"/>
              <w:ind w:left="0" w:right="0" w:hanging="0"/>
              <w:jc w:val="left"/>
              <w:rPr/>
            </w:pPr>
            <w:hyperlink w:anchor="tx180355_1">
              <w:r>
                <w:rPr>
                  <w:rStyle w:val="InternetLink"/>
                  <w:rFonts w:ascii="Times New Roman" w:hAnsi="Times New Roman"/>
                  <w:b w:val="false"/>
                  <w:sz w:val="20"/>
                  <w:u w:val="single"/>
                </w:rPr>
                <w:t>FINANCIAL INFORMATION</w:t>
              </w:r>
            </w:hyperlink>
          </w:p>
        </w:tc>
        <w:tc>
          <w:tcPr>
            <w:tcW w:w="572" w:type="dxa"/>
            <w:tcBorders/>
            <w:shd w:fill="auto" w:val="clear"/>
            <w:tcMar>
              <w:top w:w="0" w:type="dxa"/>
              <w:left w:w="0" w:type="dxa"/>
              <w:bottom w:w="0" w:type="dxa"/>
              <w:right w:w="0" w:type="dxa"/>
            </w:tcMar>
            <w:vAlign w:val="center"/>
          </w:tcPr>
          <w:p>
            <w:pPr>
              <w:pStyle w:val="TableContents"/>
              <w:spacing w:lineRule="auto" w:line="252" w:before="0" w:after="20"/>
              <w:ind w:left="0" w:right="0" w:hanging="0"/>
              <w:jc w:val="right"/>
              <w:rPr>
                <w:rFonts w:ascii="Times New Roman" w:hAnsi="Times New Roman"/>
                <w:b w:val="false"/>
                <w:sz w:val="20"/>
              </w:rPr>
            </w:pPr>
            <w:r>
              <w:rPr>
                <w:rFonts w:ascii="Times New Roman" w:hAnsi="Times New Roman"/>
                <w:b w:val="false"/>
                <w:sz w:val="20"/>
              </w:rPr>
              <w:t>4</w:t>
            </w:r>
          </w:p>
        </w:tc>
      </w:tr>
      <w:tr>
        <w:trPr/>
        <w:tc>
          <w:tcPr>
            <w:tcW w:w="792" w:type="dxa"/>
            <w:tcBorders/>
            <w:shd w:fill="auto" w:val="clear"/>
            <w:vAlign w:val="center"/>
          </w:tcPr>
          <w:p>
            <w:pPr>
              <w:pStyle w:val="TableContents"/>
              <w:spacing w:lineRule="auto" w:line="252" w:before="0" w:after="0"/>
              <w:ind w:left="0" w:right="0" w:hanging="0"/>
              <w:jc w:val="left"/>
              <w:rPr>
                <w:rFonts w:ascii="Times New Roman" w:hAnsi="Times New Roman"/>
                <w:b w:val="false"/>
                <w:sz w:val="20"/>
              </w:rPr>
            </w:pPr>
            <w:r>
              <w:rPr>
                <w:rFonts w:ascii="Times New Roman" w:hAnsi="Times New Roman"/>
                <w:b w:val="false"/>
                <w:sz w:val="20"/>
              </w:rPr>
              <w:t>Item 1.</w:t>
            </w:r>
          </w:p>
        </w:tc>
        <w:tc>
          <w:tcPr>
            <w:tcW w:w="8841" w:type="dxa"/>
            <w:tcBorders/>
            <w:shd w:fill="auto" w:val="clear"/>
            <w:vAlign w:val="center"/>
          </w:tcPr>
          <w:p>
            <w:pPr>
              <w:pStyle w:val="TableContents"/>
              <w:spacing w:lineRule="auto" w:line="252" w:before="0" w:after="0"/>
              <w:ind w:left="0" w:right="0" w:hanging="0"/>
              <w:jc w:val="left"/>
              <w:rPr/>
            </w:pPr>
            <w:hyperlink w:anchor="tx180355_2">
              <w:r>
                <w:rPr>
                  <w:rStyle w:val="InternetLink"/>
                  <w:rFonts w:ascii="Times New Roman" w:hAnsi="Times New Roman"/>
                  <w:b w:val="false"/>
                  <w:sz w:val="20"/>
                  <w:u w:val="single"/>
                </w:rPr>
                <w:t>Interim Consolidated Financial Statements (Unaudited)</w:t>
              </w:r>
            </w:hyperlink>
          </w:p>
        </w:tc>
        <w:tc>
          <w:tcPr>
            <w:tcW w:w="572" w:type="dxa"/>
            <w:tcBorders/>
            <w:shd w:fill="auto" w:val="clear"/>
            <w:tcMar>
              <w:top w:w="0" w:type="dxa"/>
              <w:left w:w="0" w:type="dxa"/>
              <w:bottom w:w="0" w:type="dxa"/>
              <w:right w:w="0" w:type="dxa"/>
            </w:tcMar>
            <w:vAlign w:val="center"/>
          </w:tcPr>
          <w:p>
            <w:pPr>
              <w:pStyle w:val="TableContents"/>
              <w:spacing w:lineRule="auto" w:line="252" w:before="0" w:after="20"/>
              <w:ind w:left="0" w:right="0" w:hanging="0"/>
              <w:jc w:val="right"/>
              <w:rPr>
                <w:rFonts w:ascii="Times New Roman" w:hAnsi="Times New Roman"/>
                <w:b w:val="false"/>
                <w:sz w:val="20"/>
              </w:rPr>
            </w:pPr>
            <w:r>
              <w:rPr>
                <w:rFonts w:ascii="Times New Roman" w:hAnsi="Times New Roman"/>
                <w:b w:val="false"/>
                <w:sz w:val="20"/>
              </w:rPr>
              <w:t>4</w:t>
            </w:r>
          </w:p>
        </w:tc>
      </w:tr>
      <w:tr>
        <w:trPr/>
        <w:tc>
          <w:tcPr>
            <w:tcW w:w="792" w:type="dxa"/>
            <w:tcBorders/>
            <w:shd w:fill="auto" w:val="clear"/>
            <w:tcMar>
              <w:top w:w="0" w:type="dxa"/>
              <w:left w:w="0" w:type="dxa"/>
              <w:bottom w:w="0" w:type="dxa"/>
              <w:right w:w="0" w:type="dxa"/>
            </w:tcMar>
            <w:vAlign w:val="center"/>
          </w:tcPr>
          <w:p>
            <w:pPr>
              <w:pStyle w:val="TableContents"/>
              <w:spacing w:lineRule="atLeast" w:line="141" w:before="0" w:after="0"/>
              <w:ind w:left="0" w:right="0" w:hanging="0"/>
              <w:jc w:val="left"/>
              <w:rPr/>
            </w:pPr>
            <w:r>
              <w:rPr/>
              <w:t> </w:t>
            </w:r>
          </w:p>
        </w:tc>
        <w:tc>
          <w:tcPr>
            <w:tcW w:w="8841" w:type="dxa"/>
            <w:tcBorders/>
            <w:shd w:fill="auto" w:val="clear"/>
            <w:vAlign w:val="center"/>
          </w:tcPr>
          <w:p>
            <w:pPr>
              <w:pStyle w:val="TableContents"/>
              <w:spacing w:lineRule="auto" w:line="252" w:before="0" w:after="0"/>
              <w:ind w:left="0" w:right="0" w:hanging="0"/>
              <w:jc w:val="left"/>
              <w:rPr/>
            </w:pPr>
            <w:hyperlink w:anchor="tx180355_3">
              <w:r>
                <w:rPr>
                  <w:rStyle w:val="InternetLink"/>
                  <w:rFonts w:ascii="Times New Roman" w:hAnsi="Times New Roman"/>
                  <w:b w:val="false"/>
                  <w:sz w:val="20"/>
                  <w:u w:val="single"/>
                </w:rPr>
                <w:t>Condensed Consolidated Balance Sheets</w:t>
              </w:r>
            </w:hyperlink>
          </w:p>
        </w:tc>
        <w:tc>
          <w:tcPr>
            <w:tcW w:w="572" w:type="dxa"/>
            <w:tcBorders/>
            <w:shd w:fill="auto" w:val="clear"/>
            <w:tcMar>
              <w:top w:w="0" w:type="dxa"/>
              <w:left w:w="0" w:type="dxa"/>
              <w:bottom w:w="0" w:type="dxa"/>
              <w:right w:w="0" w:type="dxa"/>
            </w:tcMar>
            <w:vAlign w:val="center"/>
          </w:tcPr>
          <w:p>
            <w:pPr>
              <w:pStyle w:val="TableContents"/>
              <w:spacing w:lineRule="auto" w:line="252" w:before="0" w:after="20"/>
              <w:ind w:left="0" w:right="0" w:hanging="0"/>
              <w:jc w:val="right"/>
              <w:rPr>
                <w:rFonts w:ascii="Times New Roman" w:hAnsi="Times New Roman"/>
                <w:b w:val="false"/>
                <w:sz w:val="20"/>
              </w:rPr>
            </w:pPr>
            <w:r>
              <w:rPr>
                <w:rFonts w:ascii="Times New Roman" w:hAnsi="Times New Roman"/>
                <w:b w:val="false"/>
                <w:sz w:val="20"/>
              </w:rPr>
              <w:t>4</w:t>
            </w:r>
          </w:p>
        </w:tc>
      </w:tr>
      <w:tr>
        <w:trPr/>
        <w:tc>
          <w:tcPr>
            <w:tcW w:w="792" w:type="dxa"/>
            <w:tcBorders/>
            <w:shd w:fill="auto" w:val="clear"/>
            <w:tcMar>
              <w:top w:w="0" w:type="dxa"/>
              <w:left w:w="0" w:type="dxa"/>
              <w:bottom w:w="0" w:type="dxa"/>
              <w:right w:w="0" w:type="dxa"/>
            </w:tcMar>
            <w:vAlign w:val="center"/>
          </w:tcPr>
          <w:p>
            <w:pPr>
              <w:pStyle w:val="TableContents"/>
              <w:spacing w:lineRule="atLeast" w:line="141" w:before="0" w:after="0"/>
              <w:ind w:left="0" w:right="0" w:hanging="0"/>
              <w:jc w:val="left"/>
              <w:rPr/>
            </w:pPr>
            <w:r>
              <w:rPr/>
              <w:t> </w:t>
            </w:r>
          </w:p>
        </w:tc>
        <w:tc>
          <w:tcPr>
            <w:tcW w:w="8841" w:type="dxa"/>
            <w:tcBorders/>
            <w:shd w:fill="auto" w:val="clear"/>
            <w:vAlign w:val="center"/>
          </w:tcPr>
          <w:p>
            <w:pPr>
              <w:pStyle w:val="TableContents"/>
              <w:spacing w:lineRule="auto" w:line="252" w:before="0" w:after="0"/>
              <w:ind w:left="0" w:right="0" w:hanging="0"/>
              <w:jc w:val="left"/>
              <w:rPr/>
            </w:pPr>
            <w:hyperlink w:anchor="tx180355_4">
              <w:r>
                <w:rPr>
                  <w:rStyle w:val="InternetLink"/>
                  <w:rFonts w:ascii="Times New Roman" w:hAnsi="Times New Roman"/>
                  <w:b w:val="false"/>
                  <w:sz w:val="20"/>
                  <w:u w:val="single"/>
                </w:rPr>
                <w:t>Condensed Consolidated Statements of Operations and Comprehensive Loss</w:t>
              </w:r>
            </w:hyperlink>
          </w:p>
        </w:tc>
        <w:tc>
          <w:tcPr>
            <w:tcW w:w="572" w:type="dxa"/>
            <w:tcBorders/>
            <w:shd w:fill="auto" w:val="clear"/>
            <w:tcMar>
              <w:top w:w="0" w:type="dxa"/>
              <w:left w:w="0" w:type="dxa"/>
              <w:bottom w:w="0" w:type="dxa"/>
              <w:right w:w="0" w:type="dxa"/>
            </w:tcMar>
            <w:vAlign w:val="center"/>
          </w:tcPr>
          <w:p>
            <w:pPr>
              <w:pStyle w:val="TableContents"/>
              <w:spacing w:lineRule="auto" w:line="252" w:before="0" w:after="20"/>
              <w:ind w:left="0" w:right="0" w:hanging="0"/>
              <w:jc w:val="right"/>
              <w:rPr>
                <w:rFonts w:ascii="Times New Roman" w:hAnsi="Times New Roman"/>
                <w:b w:val="false"/>
                <w:sz w:val="20"/>
              </w:rPr>
            </w:pPr>
            <w:r>
              <w:rPr>
                <w:rFonts w:ascii="Times New Roman" w:hAnsi="Times New Roman"/>
                <w:b w:val="false"/>
                <w:sz w:val="20"/>
              </w:rPr>
              <w:t>5</w:t>
            </w:r>
          </w:p>
        </w:tc>
      </w:tr>
      <w:tr>
        <w:trPr/>
        <w:tc>
          <w:tcPr>
            <w:tcW w:w="792" w:type="dxa"/>
            <w:tcBorders/>
            <w:shd w:fill="auto" w:val="clear"/>
            <w:tcMar>
              <w:top w:w="0" w:type="dxa"/>
              <w:left w:w="0" w:type="dxa"/>
              <w:bottom w:w="0" w:type="dxa"/>
              <w:right w:w="0" w:type="dxa"/>
            </w:tcMar>
            <w:vAlign w:val="center"/>
          </w:tcPr>
          <w:p>
            <w:pPr>
              <w:pStyle w:val="TableContents"/>
              <w:spacing w:lineRule="atLeast" w:line="141" w:before="0" w:after="0"/>
              <w:ind w:left="0" w:right="0" w:hanging="0"/>
              <w:jc w:val="left"/>
              <w:rPr/>
            </w:pPr>
            <w:r>
              <w:rPr/>
              <w:t> </w:t>
            </w:r>
          </w:p>
        </w:tc>
        <w:tc>
          <w:tcPr>
            <w:tcW w:w="8841" w:type="dxa"/>
            <w:tcBorders/>
            <w:shd w:fill="auto" w:val="clear"/>
            <w:vAlign w:val="center"/>
          </w:tcPr>
          <w:p>
            <w:pPr>
              <w:pStyle w:val="TableContents"/>
              <w:spacing w:lineRule="auto" w:line="252" w:before="0" w:after="0"/>
              <w:ind w:left="0" w:right="0" w:hanging="0"/>
              <w:jc w:val="left"/>
              <w:rPr/>
            </w:pPr>
            <w:hyperlink w:anchor="tx180355_6">
              <w:r>
                <w:rPr>
                  <w:rStyle w:val="InternetLink"/>
                  <w:rFonts w:ascii="Times New Roman" w:hAnsi="Times New Roman"/>
                  <w:b w:val="false"/>
                  <w:sz w:val="20"/>
                  <w:u w:val="single"/>
                </w:rPr>
                <w:t>Condensed Consolidated Statements of Redeemable Convertible Preferred Shares, Redeemable Noncontrolling Interest and Stockholders’ Equity/ Members’ (Deficit)</w:t>
              </w:r>
            </w:hyperlink>
            <w:hyperlink w:anchor="tx180355_6">
              <w:r>
                <w:rPr>
                  <w:rStyle w:val="InternetLink"/>
                  <w:rFonts w:ascii="Times New Roman" w:hAnsi="Times New Roman"/>
                  <w:sz w:val="24"/>
                </w:rPr>
                <w:t xml:space="preserve"> </w:t>
              </w:r>
            </w:hyperlink>
          </w:p>
        </w:tc>
        <w:tc>
          <w:tcPr>
            <w:tcW w:w="572" w:type="dxa"/>
            <w:tcBorders/>
            <w:shd w:fill="auto" w:val="clear"/>
            <w:tcMar>
              <w:top w:w="0" w:type="dxa"/>
              <w:left w:w="0" w:type="dxa"/>
              <w:bottom w:w="0" w:type="dxa"/>
              <w:right w:w="0" w:type="dxa"/>
            </w:tcMar>
            <w:vAlign w:val="center"/>
          </w:tcPr>
          <w:p>
            <w:pPr>
              <w:pStyle w:val="TableContents"/>
              <w:spacing w:lineRule="auto" w:line="252" w:before="0" w:after="20"/>
              <w:ind w:left="0" w:right="0" w:hanging="0"/>
              <w:jc w:val="right"/>
              <w:rPr>
                <w:rFonts w:ascii="Times New Roman" w:hAnsi="Times New Roman"/>
                <w:b w:val="false"/>
                <w:sz w:val="20"/>
              </w:rPr>
            </w:pPr>
            <w:r>
              <w:rPr>
                <w:rFonts w:ascii="Times New Roman" w:hAnsi="Times New Roman"/>
                <w:b w:val="false"/>
                <w:sz w:val="20"/>
              </w:rPr>
              <w:t>6</w:t>
            </w:r>
          </w:p>
        </w:tc>
      </w:tr>
      <w:tr>
        <w:trPr/>
        <w:tc>
          <w:tcPr>
            <w:tcW w:w="792" w:type="dxa"/>
            <w:tcBorders/>
            <w:shd w:fill="auto" w:val="clear"/>
            <w:tcMar>
              <w:top w:w="0" w:type="dxa"/>
              <w:left w:w="0" w:type="dxa"/>
              <w:bottom w:w="0" w:type="dxa"/>
              <w:right w:w="0" w:type="dxa"/>
            </w:tcMar>
            <w:vAlign w:val="center"/>
          </w:tcPr>
          <w:p>
            <w:pPr>
              <w:pStyle w:val="TableContents"/>
              <w:spacing w:lineRule="atLeast" w:line="141" w:before="0" w:after="0"/>
              <w:ind w:left="0" w:right="0" w:hanging="0"/>
              <w:jc w:val="left"/>
              <w:rPr/>
            </w:pPr>
            <w:r>
              <w:rPr/>
              <w:t> </w:t>
            </w:r>
          </w:p>
        </w:tc>
        <w:tc>
          <w:tcPr>
            <w:tcW w:w="8841" w:type="dxa"/>
            <w:tcBorders/>
            <w:shd w:fill="auto" w:val="clear"/>
            <w:vAlign w:val="center"/>
          </w:tcPr>
          <w:p>
            <w:pPr>
              <w:pStyle w:val="TableContents"/>
              <w:spacing w:lineRule="auto" w:line="252" w:before="0" w:after="0"/>
              <w:ind w:left="0" w:right="0" w:hanging="0"/>
              <w:jc w:val="left"/>
              <w:rPr/>
            </w:pPr>
            <w:hyperlink w:anchor="tx180355_7">
              <w:r>
                <w:rPr>
                  <w:rStyle w:val="InternetLink"/>
                  <w:rFonts w:ascii="Times New Roman" w:hAnsi="Times New Roman"/>
                  <w:b w:val="false"/>
                  <w:sz w:val="20"/>
                  <w:u w:val="single"/>
                </w:rPr>
                <w:t>Condensed Consolidated Statements of Cash Flows</w:t>
              </w:r>
            </w:hyperlink>
          </w:p>
        </w:tc>
        <w:tc>
          <w:tcPr>
            <w:tcW w:w="572" w:type="dxa"/>
            <w:tcBorders/>
            <w:shd w:fill="auto" w:val="clear"/>
            <w:tcMar>
              <w:top w:w="0" w:type="dxa"/>
              <w:left w:w="0" w:type="dxa"/>
              <w:bottom w:w="0" w:type="dxa"/>
              <w:right w:w="0" w:type="dxa"/>
            </w:tcMar>
            <w:vAlign w:val="center"/>
          </w:tcPr>
          <w:p>
            <w:pPr>
              <w:pStyle w:val="TableContents"/>
              <w:spacing w:lineRule="auto" w:line="252" w:before="0" w:after="20"/>
              <w:ind w:left="0" w:right="0" w:hanging="0"/>
              <w:jc w:val="right"/>
              <w:rPr>
                <w:rFonts w:ascii="Times New Roman" w:hAnsi="Times New Roman"/>
                <w:b w:val="false"/>
                <w:sz w:val="20"/>
              </w:rPr>
            </w:pPr>
            <w:r>
              <w:rPr>
                <w:rFonts w:ascii="Times New Roman" w:hAnsi="Times New Roman"/>
                <w:b w:val="false"/>
                <w:sz w:val="20"/>
              </w:rPr>
              <w:t>7</w:t>
            </w:r>
          </w:p>
        </w:tc>
      </w:tr>
      <w:tr>
        <w:trPr/>
        <w:tc>
          <w:tcPr>
            <w:tcW w:w="792" w:type="dxa"/>
            <w:tcBorders/>
            <w:shd w:fill="auto" w:val="clear"/>
            <w:tcMar>
              <w:top w:w="0" w:type="dxa"/>
              <w:left w:w="0" w:type="dxa"/>
              <w:bottom w:w="0" w:type="dxa"/>
              <w:right w:w="0" w:type="dxa"/>
            </w:tcMar>
            <w:vAlign w:val="center"/>
          </w:tcPr>
          <w:p>
            <w:pPr>
              <w:pStyle w:val="TableContents"/>
              <w:spacing w:lineRule="atLeast" w:line="141" w:before="0" w:after="0"/>
              <w:ind w:left="0" w:right="0" w:hanging="0"/>
              <w:jc w:val="left"/>
              <w:rPr/>
            </w:pPr>
            <w:r>
              <w:rPr/>
              <w:t> </w:t>
            </w:r>
          </w:p>
        </w:tc>
        <w:tc>
          <w:tcPr>
            <w:tcW w:w="8841" w:type="dxa"/>
            <w:tcBorders/>
            <w:shd w:fill="auto" w:val="clear"/>
            <w:vAlign w:val="center"/>
          </w:tcPr>
          <w:p>
            <w:pPr>
              <w:pStyle w:val="TableContents"/>
              <w:spacing w:lineRule="auto" w:line="252" w:before="0" w:after="0"/>
              <w:ind w:left="0" w:right="0" w:hanging="0"/>
              <w:jc w:val="left"/>
              <w:rPr/>
            </w:pPr>
            <w:hyperlink w:anchor="tx180355_8">
              <w:r>
                <w:rPr>
                  <w:rStyle w:val="InternetLink"/>
                  <w:rFonts w:ascii="Times New Roman" w:hAnsi="Times New Roman"/>
                  <w:b w:val="false"/>
                  <w:sz w:val="20"/>
                  <w:u w:val="single"/>
                </w:rPr>
                <w:t>Notes to Condensed Consolidated Financial Statements</w:t>
              </w:r>
            </w:hyperlink>
          </w:p>
        </w:tc>
        <w:tc>
          <w:tcPr>
            <w:tcW w:w="572" w:type="dxa"/>
            <w:tcBorders/>
            <w:shd w:fill="auto" w:val="clear"/>
            <w:tcMar>
              <w:top w:w="0" w:type="dxa"/>
              <w:left w:w="0" w:type="dxa"/>
              <w:bottom w:w="0" w:type="dxa"/>
              <w:right w:w="0" w:type="dxa"/>
            </w:tcMar>
            <w:vAlign w:val="center"/>
          </w:tcPr>
          <w:p>
            <w:pPr>
              <w:pStyle w:val="TableContents"/>
              <w:spacing w:lineRule="auto" w:line="252" w:before="0" w:after="20"/>
              <w:ind w:left="0" w:right="0" w:hanging="0"/>
              <w:jc w:val="right"/>
              <w:rPr>
                <w:rFonts w:ascii="Times New Roman" w:hAnsi="Times New Roman"/>
                <w:b w:val="false"/>
                <w:sz w:val="20"/>
              </w:rPr>
            </w:pPr>
            <w:r>
              <w:rPr>
                <w:rFonts w:ascii="Times New Roman" w:hAnsi="Times New Roman"/>
                <w:b w:val="false"/>
                <w:sz w:val="20"/>
              </w:rPr>
              <w:t>8</w:t>
            </w:r>
          </w:p>
        </w:tc>
      </w:tr>
      <w:tr>
        <w:trPr/>
        <w:tc>
          <w:tcPr>
            <w:tcW w:w="792" w:type="dxa"/>
            <w:tcBorders/>
            <w:shd w:fill="auto" w:val="clear"/>
            <w:vAlign w:val="center"/>
          </w:tcPr>
          <w:p>
            <w:pPr>
              <w:pStyle w:val="TableContents"/>
              <w:spacing w:lineRule="auto" w:line="252" w:before="0" w:after="0"/>
              <w:ind w:left="0" w:right="0" w:hanging="0"/>
              <w:jc w:val="left"/>
              <w:rPr>
                <w:rFonts w:ascii="Times New Roman" w:hAnsi="Times New Roman"/>
                <w:b w:val="false"/>
                <w:sz w:val="20"/>
              </w:rPr>
            </w:pPr>
            <w:r>
              <w:rPr>
                <w:rFonts w:ascii="Times New Roman" w:hAnsi="Times New Roman"/>
                <w:b w:val="false"/>
                <w:sz w:val="20"/>
              </w:rPr>
              <w:t>Item 2.</w:t>
            </w:r>
          </w:p>
        </w:tc>
        <w:tc>
          <w:tcPr>
            <w:tcW w:w="8841" w:type="dxa"/>
            <w:tcBorders/>
            <w:shd w:fill="auto" w:val="clear"/>
            <w:vAlign w:val="center"/>
          </w:tcPr>
          <w:p>
            <w:pPr>
              <w:pStyle w:val="TableContents"/>
              <w:spacing w:lineRule="auto" w:line="252" w:before="0" w:after="0"/>
              <w:ind w:left="0" w:right="0" w:hanging="0"/>
              <w:jc w:val="left"/>
              <w:rPr/>
            </w:pPr>
            <w:hyperlink w:anchor="tx180355_9">
              <w:r>
                <w:rPr>
                  <w:rStyle w:val="InternetLink"/>
                  <w:rFonts w:ascii="Times New Roman" w:hAnsi="Times New Roman"/>
                  <w:b w:val="false"/>
                  <w:sz w:val="20"/>
                  <w:u w:val="single"/>
                </w:rPr>
                <w:t>Management’s Discussion and Analysis of Financial Condition and Results of Operations</w:t>
              </w:r>
            </w:hyperlink>
          </w:p>
        </w:tc>
        <w:tc>
          <w:tcPr>
            <w:tcW w:w="572" w:type="dxa"/>
            <w:tcBorders/>
            <w:shd w:fill="auto" w:val="clear"/>
            <w:tcMar>
              <w:top w:w="0" w:type="dxa"/>
              <w:left w:w="0" w:type="dxa"/>
              <w:bottom w:w="0" w:type="dxa"/>
              <w:right w:w="0" w:type="dxa"/>
            </w:tcMar>
            <w:vAlign w:val="center"/>
          </w:tcPr>
          <w:p>
            <w:pPr>
              <w:pStyle w:val="TableContents"/>
              <w:spacing w:lineRule="auto" w:line="252" w:before="0" w:after="20"/>
              <w:ind w:left="0" w:right="0" w:hanging="0"/>
              <w:jc w:val="right"/>
              <w:rPr>
                <w:rFonts w:ascii="Times New Roman" w:hAnsi="Times New Roman"/>
                <w:b w:val="false"/>
                <w:sz w:val="20"/>
              </w:rPr>
            </w:pPr>
            <w:r>
              <w:rPr>
                <w:rFonts w:ascii="Times New Roman" w:hAnsi="Times New Roman"/>
                <w:b w:val="false"/>
                <w:sz w:val="20"/>
              </w:rPr>
              <w:t>19</w:t>
            </w:r>
          </w:p>
        </w:tc>
      </w:tr>
      <w:tr>
        <w:trPr/>
        <w:tc>
          <w:tcPr>
            <w:tcW w:w="792" w:type="dxa"/>
            <w:tcBorders/>
            <w:shd w:fill="auto" w:val="clear"/>
            <w:vAlign w:val="center"/>
          </w:tcPr>
          <w:p>
            <w:pPr>
              <w:pStyle w:val="TableContents"/>
              <w:spacing w:lineRule="auto" w:line="252" w:before="0" w:after="0"/>
              <w:ind w:left="0" w:right="0" w:hanging="0"/>
              <w:jc w:val="left"/>
              <w:rPr>
                <w:rFonts w:ascii="Times New Roman" w:hAnsi="Times New Roman"/>
                <w:b w:val="false"/>
                <w:sz w:val="20"/>
              </w:rPr>
            </w:pPr>
            <w:r>
              <w:rPr>
                <w:rFonts w:ascii="Times New Roman" w:hAnsi="Times New Roman"/>
                <w:b w:val="false"/>
                <w:sz w:val="20"/>
              </w:rPr>
              <w:t>Item 3.</w:t>
            </w:r>
          </w:p>
        </w:tc>
        <w:tc>
          <w:tcPr>
            <w:tcW w:w="8841" w:type="dxa"/>
            <w:tcBorders/>
            <w:shd w:fill="auto" w:val="clear"/>
            <w:vAlign w:val="center"/>
          </w:tcPr>
          <w:p>
            <w:pPr>
              <w:pStyle w:val="TableContents"/>
              <w:spacing w:lineRule="auto" w:line="252" w:before="0" w:after="0"/>
              <w:ind w:left="0" w:right="0" w:hanging="0"/>
              <w:jc w:val="left"/>
              <w:rPr/>
            </w:pPr>
            <w:hyperlink w:anchor="tx180355_10">
              <w:r>
                <w:rPr>
                  <w:rStyle w:val="InternetLink"/>
                  <w:rFonts w:ascii="Times New Roman" w:hAnsi="Times New Roman"/>
                  <w:b w:val="false"/>
                  <w:sz w:val="20"/>
                  <w:u w:val="single"/>
                </w:rPr>
                <w:t>Quantitative and Qualitative Disclosures About Market Risk</w:t>
              </w:r>
            </w:hyperlink>
          </w:p>
        </w:tc>
        <w:tc>
          <w:tcPr>
            <w:tcW w:w="572" w:type="dxa"/>
            <w:tcBorders/>
            <w:shd w:fill="auto" w:val="clear"/>
            <w:tcMar>
              <w:top w:w="0" w:type="dxa"/>
              <w:left w:w="0" w:type="dxa"/>
              <w:bottom w:w="0" w:type="dxa"/>
              <w:right w:w="0" w:type="dxa"/>
            </w:tcMar>
            <w:vAlign w:val="center"/>
          </w:tcPr>
          <w:p>
            <w:pPr>
              <w:pStyle w:val="TableContents"/>
              <w:spacing w:lineRule="auto" w:line="252" w:before="0" w:after="20"/>
              <w:ind w:left="0" w:right="0" w:hanging="0"/>
              <w:jc w:val="right"/>
              <w:rPr>
                <w:rFonts w:ascii="Times New Roman" w:hAnsi="Times New Roman"/>
                <w:b w:val="false"/>
                <w:sz w:val="20"/>
              </w:rPr>
            </w:pPr>
            <w:r>
              <w:rPr>
                <w:rFonts w:ascii="Times New Roman" w:hAnsi="Times New Roman"/>
                <w:b w:val="false"/>
                <w:sz w:val="20"/>
              </w:rPr>
              <w:t>28</w:t>
            </w:r>
          </w:p>
        </w:tc>
      </w:tr>
      <w:tr>
        <w:trPr/>
        <w:tc>
          <w:tcPr>
            <w:tcW w:w="792" w:type="dxa"/>
            <w:tcBorders/>
            <w:shd w:fill="auto" w:val="clear"/>
            <w:vAlign w:val="center"/>
          </w:tcPr>
          <w:p>
            <w:pPr>
              <w:pStyle w:val="TableContents"/>
              <w:spacing w:lineRule="auto" w:line="252" w:before="0" w:after="0"/>
              <w:ind w:left="0" w:right="0" w:hanging="0"/>
              <w:jc w:val="left"/>
              <w:rPr>
                <w:rFonts w:ascii="Times New Roman" w:hAnsi="Times New Roman"/>
                <w:b w:val="false"/>
                <w:sz w:val="20"/>
              </w:rPr>
            </w:pPr>
            <w:r>
              <w:rPr>
                <w:rFonts w:ascii="Times New Roman" w:hAnsi="Times New Roman"/>
                <w:b w:val="false"/>
                <w:sz w:val="20"/>
              </w:rPr>
              <w:t>Item 4.</w:t>
            </w:r>
          </w:p>
        </w:tc>
        <w:tc>
          <w:tcPr>
            <w:tcW w:w="8841" w:type="dxa"/>
            <w:tcBorders/>
            <w:shd w:fill="auto" w:val="clear"/>
            <w:vAlign w:val="center"/>
          </w:tcPr>
          <w:p>
            <w:pPr>
              <w:pStyle w:val="TableContents"/>
              <w:spacing w:lineRule="auto" w:line="252" w:before="0" w:after="0"/>
              <w:ind w:left="0" w:right="0" w:hanging="0"/>
              <w:jc w:val="left"/>
              <w:rPr/>
            </w:pPr>
            <w:hyperlink w:anchor="tx180355_11">
              <w:r>
                <w:rPr>
                  <w:rStyle w:val="InternetLink"/>
                  <w:rFonts w:ascii="Times New Roman" w:hAnsi="Times New Roman"/>
                  <w:b w:val="false"/>
                  <w:sz w:val="20"/>
                  <w:u w:val="single"/>
                </w:rPr>
                <w:t>Controls and Procedures</w:t>
              </w:r>
            </w:hyperlink>
          </w:p>
        </w:tc>
        <w:tc>
          <w:tcPr>
            <w:tcW w:w="572" w:type="dxa"/>
            <w:tcBorders/>
            <w:shd w:fill="auto" w:val="clear"/>
            <w:tcMar>
              <w:top w:w="0" w:type="dxa"/>
              <w:left w:w="0" w:type="dxa"/>
              <w:bottom w:w="0" w:type="dxa"/>
              <w:right w:w="0" w:type="dxa"/>
            </w:tcMar>
            <w:vAlign w:val="center"/>
          </w:tcPr>
          <w:p>
            <w:pPr>
              <w:pStyle w:val="TableContents"/>
              <w:spacing w:lineRule="auto" w:line="252" w:before="0" w:after="20"/>
              <w:ind w:left="0" w:right="0" w:hanging="0"/>
              <w:jc w:val="right"/>
              <w:rPr>
                <w:rFonts w:ascii="Times New Roman" w:hAnsi="Times New Roman"/>
                <w:b w:val="false"/>
                <w:sz w:val="20"/>
              </w:rPr>
            </w:pPr>
            <w:r>
              <w:rPr>
                <w:rFonts w:ascii="Times New Roman" w:hAnsi="Times New Roman"/>
                <w:b w:val="false"/>
                <w:sz w:val="20"/>
              </w:rPr>
              <w:t>28</w:t>
            </w:r>
          </w:p>
        </w:tc>
      </w:tr>
      <w:tr>
        <w:trPr/>
        <w:tc>
          <w:tcPr>
            <w:tcW w:w="792" w:type="dxa"/>
            <w:tcBorders/>
            <w:shd w:fill="auto" w:val="clear"/>
            <w:vAlign w:val="center"/>
          </w:tcPr>
          <w:p>
            <w:pPr>
              <w:pStyle w:val="TableContents"/>
              <w:spacing w:lineRule="auto" w:line="252" w:before="0" w:after="0"/>
              <w:ind w:left="0" w:right="0" w:hanging="0"/>
              <w:jc w:val="left"/>
              <w:rPr>
                <w:rFonts w:ascii="Times New Roman" w:hAnsi="Times New Roman"/>
                <w:b/>
                <w:sz w:val="20"/>
              </w:rPr>
            </w:pPr>
            <w:r>
              <w:rPr>
                <w:rFonts w:ascii="Times New Roman" w:hAnsi="Times New Roman"/>
                <w:b/>
                <w:sz w:val="20"/>
              </w:rPr>
              <w:t>PART II.</w:t>
            </w:r>
          </w:p>
        </w:tc>
        <w:tc>
          <w:tcPr>
            <w:tcW w:w="8841" w:type="dxa"/>
            <w:tcBorders/>
            <w:shd w:fill="auto" w:val="clear"/>
            <w:vAlign w:val="center"/>
          </w:tcPr>
          <w:p>
            <w:pPr>
              <w:pStyle w:val="TableContents"/>
              <w:spacing w:lineRule="auto" w:line="252" w:before="0" w:after="0"/>
              <w:ind w:left="0" w:right="0" w:hanging="0"/>
              <w:jc w:val="left"/>
              <w:rPr/>
            </w:pPr>
            <w:hyperlink w:anchor="tx180355_12">
              <w:r>
                <w:rPr>
                  <w:rStyle w:val="InternetLink"/>
                  <w:rFonts w:ascii="Times New Roman" w:hAnsi="Times New Roman"/>
                  <w:b w:val="false"/>
                  <w:sz w:val="20"/>
                  <w:u w:val="single"/>
                </w:rPr>
                <w:t>OTHER INFORMATION</w:t>
              </w:r>
            </w:hyperlink>
          </w:p>
        </w:tc>
        <w:tc>
          <w:tcPr>
            <w:tcW w:w="572" w:type="dxa"/>
            <w:tcBorders/>
            <w:shd w:fill="auto" w:val="clear"/>
            <w:tcMar>
              <w:top w:w="0" w:type="dxa"/>
              <w:left w:w="0" w:type="dxa"/>
              <w:bottom w:w="0" w:type="dxa"/>
              <w:right w:w="0" w:type="dxa"/>
            </w:tcMar>
            <w:vAlign w:val="center"/>
          </w:tcPr>
          <w:p>
            <w:pPr>
              <w:pStyle w:val="TableContents"/>
              <w:spacing w:lineRule="auto" w:line="252" w:before="0" w:after="20"/>
              <w:ind w:left="0" w:right="0" w:hanging="0"/>
              <w:jc w:val="right"/>
              <w:rPr>
                <w:rFonts w:ascii="Times New Roman" w:hAnsi="Times New Roman"/>
                <w:b w:val="false"/>
                <w:sz w:val="20"/>
              </w:rPr>
            </w:pPr>
            <w:r>
              <w:rPr>
                <w:rFonts w:ascii="Times New Roman" w:hAnsi="Times New Roman"/>
                <w:b w:val="false"/>
                <w:sz w:val="20"/>
              </w:rPr>
              <w:t>29</w:t>
            </w:r>
          </w:p>
        </w:tc>
      </w:tr>
      <w:tr>
        <w:trPr/>
        <w:tc>
          <w:tcPr>
            <w:tcW w:w="792" w:type="dxa"/>
            <w:tcBorders/>
            <w:shd w:fill="auto" w:val="clear"/>
            <w:vAlign w:val="center"/>
          </w:tcPr>
          <w:p>
            <w:pPr>
              <w:pStyle w:val="TableContents"/>
              <w:spacing w:lineRule="auto" w:line="252" w:before="0" w:after="0"/>
              <w:ind w:left="0" w:right="0" w:hanging="0"/>
              <w:jc w:val="left"/>
              <w:rPr>
                <w:rFonts w:ascii="Times New Roman" w:hAnsi="Times New Roman"/>
                <w:b w:val="false"/>
                <w:sz w:val="20"/>
              </w:rPr>
            </w:pPr>
            <w:r>
              <w:rPr>
                <w:rFonts w:ascii="Times New Roman" w:hAnsi="Times New Roman"/>
                <w:b w:val="false"/>
                <w:sz w:val="20"/>
              </w:rPr>
              <w:t>Item 1.</w:t>
            </w:r>
          </w:p>
        </w:tc>
        <w:tc>
          <w:tcPr>
            <w:tcW w:w="8841" w:type="dxa"/>
            <w:tcBorders/>
            <w:shd w:fill="auto" w:val="clear"/>
            <w:vAlign w:val="center"/>
          </w:tcPr>
          <w:p>
            <w:pPr>
              <w:pStyle w:val="TableContents"/>
              <w:spacing w:lineRule="auto" w:line="252" w:before="0" w:after="0"/>
              <w:ind w:left="0" w:right="0" w:hanging="0"/>
              <w:jc w:val="left"/>
              <w:rPr/>
            </w:pPr>
            <w:hyperlink w:anchor="tx180355_13">
              <w:r>
                <w:rPr>
                  <w:rStyle w:val="InternetLink"/>
                  <w:rFonts w:ascii="Times New Roman" w:hAnsi="Times New Roman"/>
                  <w:b w:val="false"/>
                  <w:sz w:val="20"/>
                  <w:u w:val="single"/>
                </w:rPr>
                <w:t>Legal Proceedings</w:t>
              </w:r>
            </w:hyperlink>
          </w:p>
        </w:tc>
        <w:tc>
          <w:tcPr>
            <w:tcW w:w="572" w:type="dxa"/>
            <w:tcBorders/>
            <w:shd w:fill="auto" w:val="clear"/>
            <w:tcMar>
              <w:top w:w="0" w:type="dxa"/>
              <w:left w:w="0" w:type="dxa"/>
              <w:bottom w:w="0" w:type="dxa"/>
              <w:right w:w="0" w:type="dxa"/>
            </w:tcMar>
            <w:vAlign w:val="center"/>
          </w:tcPr>
          <w:p>
            <w:pPr>
              <w:pStyle w:val="TableContents"/>
              <w:spacing w:lineRule="auto" w:line="252" w:before="0" w:after="20"/>
              <w:ind w:left="0" w:right="0" w:hanging="0"/>
              <w:jc w:val="right"/>
              <w:rPr>
                <w:rFonts w:ascii="Times New Roman" w:hAnsi="Times New Roman"/>
                <w:b w:val="false"/>
                <w:sz w:val="20"/>
              </w:rPr>
            </w:pPr>
            <w:r>
              <w:rPr>
                <w:rFonts w:ascii="Times New Roman" w:hAnsi="Times New Roman"/>
                <w:b w:val="false"/>
                <w:sz w:val="20"/>
              </w:rPr>
              <w:t>29</w:t>
            </w:r>
          </w:p>
        </w:tc>
      </w:tr>
      <w:tr>
        <w:trPr/>
        <w:tc>
          <w:tcPr>
            <w:tcW w:w="792" w:type="dxa"/>
            <w:tcBorders/>
            <w:shd w:fill="auto" w:val="clear"/>
            <w:vAlign w:val="center"/>
          </w:tcPr>
          <w:p>
            <w:pPr>
              <w:pStyle w:val="TableContents"/>
              <w:spacing w:lineRule="auto" w:line="252" w:before="0" w:after="0"/>
              <w:ind w:left="0" w:right="0" w:hanging="0"/>
              <w:jc w:val="left"/>
              <w:rPr>
                <w:rFonts w:ascii="Times New Roman" w:hAnsi="Times New Roman"/>
                <w:b w:val="false"/>
                <w:sz w:val="20"/>
              </w:rPr>
            </w:pPr>
            <w:r>
              <w:rPr>
                <w:rFonts w:ascii="Times New Roman" w:hAnsi="Times New Roman"/>
                <w:b w:val="false"/>
                <w:sz w:val="20"/>
              </w:rPr>
              <w:t>Item 1A.</w:t>
            </w:r>
          </w:p>
        </w:tc>
        <w:tc>
          <w:tcPr>
            <w:tcW w:w="8841" w:type="dxa"/>
            <w:tcBorders/>
            <w:shd w:fill="auto" w:val="clear"/>
            <w:vAlign w:val="center"/>
          </w:tcPr>
          <w:p>
            <w:pPr>
              <w:pStyle w:val="TableContents"/>
              <w:spacing w:lineRule="auto" w:line="252" w:before="0" w:after="0"/>
              <w:ind w:left="0" w:right="0" w:hanging="0"/>
              <w:jc w:val="left"/>
              <w:rPr/>
            </w:pPr>
            <w:hyperlink w:anchor="tx180355_14">
              <w:r>
                <w:rPr>
                  <w:rStyle w:val="InternetLink"/>
                  <w:rFonts w:ascii="Times New Roman" w:hAnsi="Times New Roman"/>
                  <w:b w:val="false"/>
                  <w:sz w:val="20"/>
                  <w:u w:val="single"/>
                </w:rPr>
                <w:t>Risk Factors</w:t>
              </w:r>
            </w:hyperlink>
          </w:p>
        </w:tc>
        <w:tc>
          <w:tcPr>
            <w:tcW w:w="572" w:type="dxa"/>
            <w:tcBorders/>
            <w:shd w:fill="auto" w:val="clear"/>
            <w:tcMar>
              <w:top w:w="0" w:type="dxa"/>
              <w:left w:w="0" w:type="dxa"/>
              <w:bottom w:w="0" w:type="dxa"/>
              <w:right w:w="0" w:type="dxa"/>
            </w:tcMar>
            <w:vAlign w:val="center"/>
          </w:tcPr>
          <w:p>
            <w:pPr>
              <w:pStyle w:val="TableContents"/>
              <w:spacing w:lineRule="auto" w:line="252" w:before="0" w:after="20"/>
              <w:ind w:left="0" w:right="0" w:hanging="0"/>
              <w:jc w:val="right"/>
              <w:rPr>
                <w:rFonts w:ascii="Times New Roman" w:hAnsi="Times New Roman"/>
                <w:b w:val="false"/>
                <w:sz w:val="20"/>
              </w:rPr>
            </w:pPr>
            <w:r>
              <w:rPr>
                <w:rFonts w:ascii="Times New Roman" w:hAnsi="Times New Roman"/>
                <w:b w:val="false"/>
                <w:sz w:val="20"/>
              </w:rPr>
              <w:t>29</w:t>
            </w:r>
          </w:p>
        </w:tc>
      </w:tr>
      <w:tr>
        <w:trPr/>
        <w:tc>
          <w:tcPr>
            <w:tcW w:w="792" w:type="dxa"/>
            <w:tcBorders/>
            <w:shd w:fill="auto" w:val="clear"/>
            <w:vAlign w:val="center"/>
          </w:tcPr>
          <w:p>
            <w:pPr>
              <w:pStyle w:val="TableContents"/>
              <w:spacing w:lineRule="auto" w:line="252" w:before="0" w:after="0"/>
              <w:ind w:left="0" w:right="0" w:hanging="0"/>
              <w:jc w:val="left"/>
              <w:rPr>
                <w:rFonts w:ascii="Times New Roman" w:hAnsi="Times New Roman"/>
                <w:b w:val="false"/>
                <w:sz w:val="20"/>
              </w:rPr>
            </w:pPr>
            <w:r>
              <w:rPr>
                <w:rFonts w:ascii="Times New Roman" w:hAnsi="Times New Roman"/>
                <w:b w:val="false"/>
                <w:sz w:val="20"/>
              </w:rPr>
              <w:t>Item 2.</w:t>
            </w:r>
          </w:p>
        </w:tc>
        <w:tc>
          <w:tcPr>
            <w:tcW w:w="8841" w:type="dxa"/>
            <w:tcBorders/>
            <w:shd w:fill="auto" w:val="clear"/>
            <w:vAlign w:val="center"/>
          </w:tcPr>
          <w:p>
            <w:pPr>
              <w:pStyle w:val="TableContents"/>
              <w:spacing w:lineRule="auto" w:line="252" w:before="0" w:after="0"/>
              <w:ind w:left="0" w:right="0" w:hanging="0"/>
              <w:jc w:val="left"/>
              <w:rPr/>
            </w:pPr>
            <w:hyperlink w:anchor="tx180355_15">
              <w:r>
                <w:rPr>
                  <w:rStyle w:val="InternetLink"/>
                  <w:rFonts w:ascii="Times New Roman" w:hAnsi="Times New Roman"/>
                  <w:b w:val="false"/>
                  <w:sz w:val="20"/>
                  <w:u w:val="single"/>
                </w:rPr>
                <w:t>Unregistered Sales of Equity Securities and Use of Proceeds</w:t>
              </w:r>
            </w:hyperlink>
          </w:p>
        </w:tc>
        <w:tc>
          <w:tcPr>
            <w:tcW w:w="572" w:type="dxa"/>
            <w:tcBorders/>
            <w:shd w:fill="auto" w:val="clear"/>
            <w:tcMar>
              <w:top w:w="0" w:type="dxa"/>
              <w:left w:w="0" w:type="dxa"/>
              <w:bottom w:w="0" w:type="dxa"/>
              <w:right w:w="0" w:type="dxa"/>
            </w:tcMar>
            <w:vAlign w:val="center"/>
          </w:tcPr>
          <w:p>
            <w:pPr>
              <w:pStyle w:val="TableContents"/>
              <w:spacing w:lineRule="auto" w:line="252" w:before="0" w:after="20"/>
              <w:ind w:left="0" w:right="0" w:hanging="0"/>
              <w:jc w:val="right"/>
              <w:rPr>
                <w:rFonts w:ascii="Times New Roman" w:hAnsi="Times New Roman"/>
                <w:b w:val="false"/>
                <w:sz w:val="20"/>
              </w:rPr>
            </w:pPr>
            <w:r>
              <w:rPr>
                <w:rFonts w:ascii="Times New Roman" w:hAnsi="Times New Roman"/>
                <w:b w:val="false"/>
                <w:sz w:val="20"/>
              </w:rPr>
              <w:t>90</w:t>
            </w:r>
          </w:p>
        </w:tc>
      </w:tr>
      <w:tr>
        <w:trPr/>
        <w:tc>
          <w:tcPr>
            <w:tcW w:w="792" w:type="dxa"/>
            <w:tcBorders/>
            <w:shd w:fill="auto" w:val="clear"/>
            <w:vAlign w:val="center"/>
          </w:tcPr>
          <w:p>
            <w:pPr>
              <w:pStyle w:val="TableContents"/>
              <w:spacing w:lineRule="auto" w:line="252" w:before="0" w:after="0"/>
              <w:ind w:left="0" w:right="0" w:hanging="0"/>
              <w:jc w:val="left"/>
              <w:rPr>
                <w:rFonts w:ascii="Times New Roman" w:hAnsi="Times New Roman"/>
                <w:b w:val="false"/>
                <w:sz w:val="20"/>
              </w:rPr>
            </w:pPr>
            <w:r>
              <w:rPr>
                <w:rFonts w:ascii="Times New Roman" w:hAnsi="Times New Roman"/>
                <w:b w:val="false"/>
                <w:sz w:val="20"/>
              </w:rPr>
              <w:t>Item 3.</w:t>
            </w:r>
          </w:p>
        </w:tc>
        <w:tc>
          <w:tcPr>
            <w:tcW w:w="8841" w:type="dxa"/>
            <w:tcBorders/>
            <w:shd w:fill="auto" w:val="clear"/>
            <w:vAlign w:val="center"/>
          </w:tcPr>
          <w:p>
            <w:pPr>
              <w:pStyle w:val="TableContents"/>
              <w:spacing w:lineRule="auto" w:line="252" w:before="0" w:after="0"/>
              <w:ind w:left="0" w:right="0" w:hanging="0"/>
              <w:jc w:val="left"/>
              <w:rPr/>
            </w:pPr>
            <w:hyperlink w:anchor="tx180355_16">
              <w:r>
                <w:rPr>
                  <w:rStyle w:val="InternetLink"/>
                  <w:rFonts w:ascii="Times New Roman" w:hAnsi="Times New Roman"/>
                  <w:b w:val="false"/>
                  <w:sz w:val="20"/>
                  <w:u w:val="single"/>
                </w:rPr>
                <w:t>Defaults Upon Senior Securities</w:t>
              </w:r>
            </w:hyperlink>
          </w:p>
        </w:tc>
        <w:tc>
          <w:tcPr>
            <w:tcW w:w="572" w:type="dxa"/>
            <w:tcBorders/>
            <w:shd w:fill="auto" w:val="clear"/>
            <w:tcMar>
              <w:top w:w="0" w:type="dxa"/>
              <w:left w:w="0" w:type="dxa"/>
              <w:bottom w:w="0" w:type="dxa"/>
              <w:right w:w="0" w:type="dxa"/>
            </w:tcMar>
            <w:vAlign w:val="center"/>
          </w:tcPr>
          <w:p>
            <w:pPr>
              <w:pStyle w:val="TableContents"/>
              <w:spacing w:lineRule="auto" w:line="252" w:before="0" w:after="20"/>
              <w:ind w:left="0" w:right="0" w:hanging="0"/>
              <w:jc w:val="right"/>
              <w:rPr>
                <w:rFonts w:ascii="Times New Roman" w:hAnsi="Times New Roman"/>
                <w:b w:val="false"/>
                <w:sz w:val="20"/>
              </w:rPr>
            </w:pPr>
            <w:r>
              <w:rPr>
                <w:rFonts w:ascii="Times New Roman" w:hAnsi="Times New Roman"/>
                <w:b w:val="false"/>
                <w:sz w:val="20"/>
              </w:rPr>
              <w:t>91</w:t>
            </w:r>
          </w:p>
        </w:tc>
      </w:tr>
      <w:tr>
        <w:trPr/>
        <w:tc>
          <w:tcPr>
            <w:tcW w:w="792" w:type="dxa"/>
            <w:tcBorders/>
            <w:shd w:fill="auto" w:val="clear"/>
            <w:vAlign w:val="center"/>
          </w:tcPr>
          <w:p>
            <w:pPr>
              <w:pStyle w:val="TableContents"/>
              <w:spacing w:lineRule="auto" w:line="252" w:before="0" w:after="0"/>
              <w:ind w:left="0" w:right="0" w:hanging="0"/>
              <w:jc w:val="left"/>
              <w:rPr>
                <w:rFonts w:ascii="Times New Roman" w:hAnsi="Times New Roman"/>
                <w:b w:val="false"/>
                <w:sz w:val="20"/>
              </w:rPr>
            </w:pPr>
            <w:r>
              <w:rPr>
                <w:rFonts w:ascii="Times New Roman" w:hAnsi="Times New Roman"/>
                <w:b w:val="false"/>
                <w:sz w:val="20"/>
              </w:rPr>
              <w:t>Item 4.</w:t>
            </w:r>
          </w:p>
        </w:tc>
        <w:tc>
          <w:tcPr>
            <w:tcW w:w="8841" w:type="dxa"/>
            <w:tcBorders/>
            <w:shd w:fill="auto" w:val="clear"/>
            <w:vAlign w:val="center"/>
          </w:tcPr>
          <w:p>
            <w:pPr>
              <w:pStyle w:val="TableContents"/>
              <w:spacing w:lineRule="auto" w:line="252" w:before="0" w:after="0"/>
              <w:ind w:left="0" w:right="0" w:hanging="0"/>
              <w:jc w:val="left"/>
              <w:rPr/>
            </w:pPr>
            <w:hyperlink w:anchor="tx180355_17">
              <w:r>
                <w:rPr>
                  <w:rStyle w:val="InternetLink"/>
                  <w:rFonts w:ascii="Times New Roman" w:hAnsi="Times New Roman"/>
                  <w:b w:val="false"/>
                  <w:sz w:val="20"/>
                  <w:u w:val="single"/>
                </w:rPr>
                <w:t>Mine Safety Disclosures</w:t>
              </w:r>
            </w:hyperlink>
          </w:p>
        </w:tc>
        <w:tc>
          <w:tcPr>
            <w:tcW w:w="572" w:type="dxa"/>
            <w:tcBorders/>
            <w:shd w:fill="auto" w:val="clear"/>
            <w:tcMar>
              <w:top w:w="0" w:type="dxa"/>
              <w:left w:w="0" w:type="dxa"/>
              <w:bottom w:w="0" w:type="dxa"/>
              <w:right w:w="0" w:type="dxa"/>
            </w:tcMar>
            <w:vAlign w:val="center"/>
          </w:tcPr>
          <w:p>
            <w:pPr>
              <w:pStyle w:val="TableContents"/>
              <w:spacing w:lineRule="auto" w:line="252" w:before="0" w:after="20"/>
              <w:ind w:left="0" w:right="0" w:hanging="0"/>
              <w:jc w:val="right"/>
              <w:rPr>
                <w:rFonts w:ascii="Times New Roman" w:hAnsi="Times New Roman"/>
                <w:b w:val="false"/>
                <w:sz w:val="20"/>
              </w:rPr>
            </w:pPr>
            <w:r>
              <w:rPr>
                <w:rFonts w:ascii="Times New Roman" w:hAnsi="Times New Roman"/>
                <w:b w:val="false"/>
                <w:sz w:val="20"/>
              </w:rPr>
              <w:t>91</w:t>
            </w:r>
          </w:p>
        </w:tc>
      </w:tr>
      <w:tr>
        <w:trPr/>
        <w:tc>
          <w:tcPr>
            <w:tcW w:w="792" w:type="dxa"/>
            <w:tcBorders/>
            <w:shd w:fill="auto" w:val="clear"/>
            <w:vAlign w:val="center"/>
          </w:tcPr>
          <w:p>
            <w:pPr>
              <w:pStyle w:val="TableContents"/>
              <w:spacing w:lineRule="auto" w:line="252" w:before="0" w:after="0"/>
              <w:ind w:left="0" w:right="0" w:hanging="0"/>
              <w:jc w:val="left"/>
              <w:rPr>
                <w:rFonts w:ascii="Times New Roman" w:hAnsi="Times New Roman"/>
                <w:b w:val="false"/>
                <w:sz w:val="20"/>
              </w:rPr>
            </w:pPr>
            <w:r>
              <w:rPr>
                <w:rFonts w:ascii="Times New Roman" w:hAnsi="Times New Roman"/>
                <w:b w:val="false"/>
                <w:sz w:val="20"/>
              </w:rPr>
              <w:t>Item 5.</w:t>
            </w:r>
          </w:p>
        </w:tc>
        <w:tc>
          <w:tcPr>
            <w:tcW w:w="8841" w:type="dxa"/>
            <w:tcBorders/>
            <w:shd w:fill="auto" w:val="clear"/>
            <w:vAlign w:val="center"/>
          </w:tcPr>
          <w:p>
            <w:pPr>
              <w:pStyle w:val="TableContents"/>
              <w:spacing w:lineRule="auto" w:line="252" w:before="0" w:after="0"/>
              <w:ind w:left="0" w:right="0" w:hanging="0"/>
              <w:jc w:val="left"/>
              <w:rPr/>
            </w:pPr>
            <w:hyperlink w:anchor="tx180355_18">
              <w:r>
                <w:rPr>
                  <w:rStyle w:val="InternetLink"/>
                  <w:rFonts w:ascii="Times New Roman" w:hAnsi="Times New Roman"/>
                  <w:b w:val="false"/>
                  <w:sz w:val="20"/>
                  <w:u w:val="single"/>
                </w:rPr>
                <w:t>Other Information</w:t>
              </w:r>
            </w:hyperlink>
          </w:p>
        </w:tc>
        <w:tc>
          <w:tcPr>
            <w:tcW w:w="572" w:type="dxa"/>
            <w:tcBorders/>
            <w:shd w:fill="auto" w:val="clear"/>
            <w:tcMar>
              <w:top w:w="0" w:type="dxa"/>
              <w:left w:w="0" w:type="dxa"/>
              <w:bottom w:w="0" w:type="dxa"/>
              <w:right w:w="0" w:type="dxa"/>
            </w:tcMar>
            <w:vAlign w:val="center"/>
          </w:tcPr>
          <w:p>
            <w:pPr>
              <w:pStyle w:val="TableContents"/>
              <w:spacing w:lineRule="auto" w:line="252" w:before="0" w:after="20"/>
              <w:ind w:left="0" w:right="0" w:hanging="0"/>
              <w:jc w:val="right"/>
              <w:rPr>
                <w:rFonts w:ascii="Times New Roman" w:hAnsi="Times New Roman"/>
                <w:b w:val="false"/>
                <w:sz w:val="20"/>
              </w:rPr>
            </w:pPr>
            <w:r>
              <w:rPr>
                <w:rFonts w:ascii="Times New Roman" w:hAnsi="Times New Roman"/>
                <w:b w:val="false"/>
                <w:sz w:val="20"/>
              </w:rPr>
              <w:t>91</w:t>
            </w:r>
          </w:p>
        </w:tc>
      </w:tr>
      <w:tr>
        <w:trPr/>
        <w:tc>
          <w:tcPr>
            <w:tcW w:w="792" w:type="dxa"/>
            <w:tcBorders/>
            <w:shd w:fill="auto" w:val="clear"/>
            <w:vAlign w:val="center"/>
          </w:tcPr>
          <w:p>
            <w:pPr>
              <w:pStyle w:val="TableContents"/>
              <w:spacing w:lineRule="auto" w:line="252" w:before="0" w:after="0"/>
              <w:ind w:left="0" w:right="0" w:hanging="0"/>
              <w:jc w:val="left"/>
              <w:rPr>
                <w:rFonts w:ascii="Times New Roman" w:hAnsi="Times New Roman"/>
                <w:b w:val="false"/>
                <w:sz w:val="20"/>
              </w:rPr>
            </w:pPr>
            <w:r>
              <w:rPr>
                <w:rFonts w:ascii="Times New Roman" w:hAnsi="Times New Roman"/>
                <w:b w:val="false"/>
                <w:sz w:val="20"/>
              </w:rPr>
              <w:t>Item 6.</w:t>
            </w:r>
          </w:p>
        </w:tc>
        <w:tc>
          <w:tcPr>
            <w:tcW w:w="8841" w:type="dxa"/>
            <w:tcBorders/>
            <w:shd w:fill="auto" w:val="clear"/>
            <w:vAlign w:val="center"/>
          </w:tcPr>
          <w:p>
            <w:pPr>
              <w:pStyle w:val="TableContents"/>
              <w:spacing w:lineRule="auto" w:line="252" w:before="0" w:after="0"/>
              <w:ind w:left="0" w:right="0" w:hanging="0"/>
              <w:jc w:val="left"/>
              <w:rPr/>
            </w:pPr>
            <w:hyperlink w:anchor="tx180355_19">
              <w:r>
                <w:rPr>
                  <w:rStyle w:val="InternetLink"/>
                  <w:rFonts w:ascii="Times New Roman" w:hAnsi="Times New Roman"/>
                  <w:b w:val="false"/>
                  <w:sz w:val="20"/>
                  <w:u w:val="single"/>
                </w:rPr>
                <w:t>Exhibits</w:t>
              </w:r>
            </w:hyperlink>
          </w:p>
        </w:tc>
        <w:tc>
          <w:tcPr>
            <w:tcW w:w="572" w:type="dxa"/>
            <w:tcBorders/>
            <w:shd w:fill="auto" w:val="clear"/>
            <w:tcMar>
              <w:top w:w="0" w:type="dxa"/>
              <w:left w:w="0" w:type="dxa"/>
              <w:bottom w:w="0" w:type="dxa"/>
              <w:right w:w="0" w:type="dxa"/>
            </w:tcMar>
            <w:vAlign w:val="center"/>
          </w:tcPr>
          <w:p>
            <w:pPr>
              <w:pStyle w:val="TableContents"/>
              <w:spacing w:lineRule="auto" w:line="252" w:before="0" w:after="20"/>
              <w:ind w:left="0" w:right="0" w:hanging="0"/>
              <w:jc w:val="right"/>
              <w:rPr>
                <w:rFonts w:ascii="Times New Roman" w:hAnsi="Times New Roman"/>
                <w:b w:val="false"/>
                <w:sz w:val="20"/>
              </w:rPr>
            </w:pPr>
            <w:r>
              <w:rPr>
                <w:rFonts w:ascii="Times New Roman" w:hAnsi="Times New Roman"/>
                <w:b w:val="false"/>
                <w:sz w:val="20"/>
              </w:rPr>
              <w:t>92</w:t>
            </w:r>
          </w:p>
        </w:tc>
      </w:tr>
      <w:tr>
        <w:trPr/>
        <w:tc>
          <w:tcPr>
            <w:tcW w:w="9633" w:type="dxa"/>
            <w:gridSpan w:val="2"/>
            <w:tcBorders/>
            <w:shd w:fill="auto" w:val="clear"/>
            <w:vAlign w:val="center"/>
          </w:tcPr>
          <w:p>
            <w:pPr>
              <w:pStyle w:val="TableContents"/>
              <w:spacing w:lineRule="auto" w:line="252" w:before="0" w:after="0"/>
              <w:ind w:left="0" w:right="0" w:hanging="0"/>
              <w:jc w:val="left"/>
              <w:rPr/>
            </w:pPr>
            <w:hyperlink w:anchor="tx180355_20">
              <w:r>
                <w:rPr>
                  <w:rStyle w:val="InternetLink"/>
                  <w:rFonts w:ascii="Times New Roman" w:hAnsi="Times New Roman"/>
                  <w:b w:val="false"/>
                  <w:sz w:val="20"/>
                  <w:u w:val="single"/>
                </w:rPr>
                <w:t>Signatures</w:t>
              </w:r>
            </w:hyperlink>
          </w:p>
        </w:tc>
        <w:tc>
          <w:tcPr>
            <w:tcW w:w="572" w:type="dxa"/>
            <w:tcBorders/>
            <w:shd w:fill="auto" w:val="clear"/>
            <w:tcMar>
              <w:top w:w="0" w:type="dxa"/>
              <w:left w:w="0" w:type="dxa"/>
              <w:bottom w:w="0" w:type="dxa"/>
              <w:right w:w="0" w:type="dxa"/>
            </w:tcMar>
            <w:vAlign w:val="center"/>
          </w:tcPr>
          <w:p>
            <w:pPr>
              <w:pStyle w:val="TableContents"/>
              <w:spacing w:lineRule="auto" w:line="252" w:before="0" w:after="20"/>
              <w:ind w:left="0" w:right="0" w:hanging="0"/>
              <w:jc w:val="right"/>
              <w:rPr>
                <w:rFonts w:ascii="Times New Roman" w:hAnsi="Times New Roman"/>
                <w:b w:val="false"/>
                <w:sz w:val="20"/>
              </w:rPr>
            </w:pPr>
            <w:r>
              <w:rPr>
                <w:rFonts w:ascii="Times New Roman" w:hAnsi="Times New Roman"/>
                <w:b w:val="false"/>
                <w:sz w:val="20"/>
              </w:rPr>
              <w:t>93</w:t>
            </w:r>
          </w:p>
        </w:tc>
      </w:tr>
    </w:tbl>
    <w:p>
      <w:pPr>
        <w:pStyle w:val="TextBody"/>
        <w:spacing w:lineRule="auto" w:line="273" w:before="360" w:after="0"/>
        <w:jc w:val="left"/>
        <w:rPr/>
      </w:pPr>
      <w:r>
        <w:rPr/>
        <w:t> </w:t>
      </w:r>
    </w:p>
    <w:p>
      <w:pPr>
        <w:pStyle w:val="TextBody"/>
        <w:spacing w:lineRule="auto" w:line="273" w:before="0" w:after="0"/>
        <w:jc w:val="center"/>
        <w:rPr>
          <w:rFonts w:ascii="Times New Roman" w:hAnsi="Times New Roman"/>
          <w:b w:val="false"/>
          <w:sz w:val="20"/>
        </w:rPr>
      </w:pPr>
      <w:r>
        <w:rPr>
          <w:rFonts w:ascii="Times New Roman" w:hAnsi="Times New Roman"/>
          <w:b w:val="false"/>
          <w:sz w:val="20"/>
        </w:rPr>
        <w:t>3</w:t>
      </w:r>
    </w:p>
    <w:p>
      <w:pPr>
        <w:pStyle w:val="HorizontalLine"/>
        <w:rPr/>
      </w:pPr>
      <w:r>
        <w:rPr/>
      </w:r>
    </w:p>
    <w:p>
      <w:pPr>
        <w:pStyle w:val="TextBody"/>
        <w:spacing w:lineRule="auto" w:line="273" w:before="0" w:after="0"/>
        <w:jc w:val="left"/>
        <w:rPr/>
      </w:pPr>
      <w:r>
        <w:rPr/>
        <w:t> </w:t>
      </w:r>
    </w:p>
    <w:p>
      <w:pPr>
        <w:pStyle w:val="TextBody"/>
        <w:spacing w:lineRule="auto" w:line="273" w:before="0" w:after="0"/>
        <w:jc w:val="center"/>
        <w:rPr>
          <w:rFonts w:ascii="Times New Roman" w:hAnsi="Times New Roman"/>
          <w:sz w:val="20"/>
        </w:rPr>
      </w:pPr>
      <w:bookmarkStart w:id="2" w:name="tx180355_1"/>
      <w:bookmarkEnd w:id="2"/>
      <w:r>
        <w:rPr>
          <w:rFonts w:ascii="Times New Roman" w:hAnsi="Times New Roman"/>
          <w:b/>
          <w:caps/>
          <w:sz w:val="20"/>
        </w:rPr>
        <w:t>PART I-FINANCIAL INFORMATION</w:t>
      </w:r>
      <w:r>
        <w:rPr>
          <w:rFonts w:ascii="Times New Roman" w:hAnsi="Times New Roman"/>
          <w:caps/>
          <w:sz w:val="20"/>
        </w:rPr>
        <w:t xml:space="preserve"> </w:t>
      </w:r>
    </w:p>
    <w:p>
      <w:pPr>
        <w:pStyle w:val="TextBody"/>
        <w:spacing w:lineRule="auto" w:line="273" w:before="240" w:after="0"/>
        <w:jc w:val="center"/>
        <w:rPr>
          <w:rFonts w:ascii="Times New Roman" w:hAnsi="Times New Roman"/>
          <w:b/>
          <w:sz w:val="20"/>
        </w:rPr>
      </w:pPr>
      <w:bookmarkStart w:id="3" w:name="tx180355_2"/>
      <w:bookmarkStart w:id="4" w:name="tx180355_3"/>
      <w:bookmarkEnd w:id="3"/>
      <w:bookmarkEnd w:id="4"/>
      <w:r>
        <w:rPr>
          <w:rFonts w:ascii="Times New Roman" w:hAnsi="Times New Roman"/>
          <w:b/>
          <w:sz w:val="20"/>
        </w:rPr>
        <w:t>Day One Biopharmaceuticals, Inc.</w:t>
      </w:r>
    </w:p>
    <w:p>
      <w:pPr>
        <w:pStyle w:val="TextBody"/>
        <w:spacing w:lineRule="auto" w:line="273" w:before="0" w:after="0"/>
        <w:jc w:val="center"/>
        <w:rPr>
          <w:rFonts w:ascii="Times New Roman" w:hAnsi="Times New Roman"/>
          <w:sz w:val="20"/>
        </w:rPr>
      </w:pPr>
      <w:r>
        <w:rPr>
          <w:rFonts w:ascii="Times New Roman" w:hAnsi="Times New Roman"/>
          <w:b/>
          <w:sz w:val="20"/>
        </w:rPr>
        <w:t>Condensed Consolidated Balance Sheets</w:t>
      </w:r>
      <w:r>
        <w:rPr>
          <w:rFonts w:ascii="Times New Roman" w:hAnsi="Times New Roman"/>
          <w:sz w:val="20"/>
        </w:rPr>
        <w:t xml:space="preserve"> </w:t>
      </w:r>
    </w:p>
    <w:p>
      <w:pPr>
        <w:pStyle w:val="TextBody"/>
        <w:spacing w:lineRule="auto" w:line="273" w:before="0" w:after="0"/>
        <w:jc w:val="center"/>
        <w:rPr>
          <w:rFonts w:ascii="Times New Roman" w:hAnsi="Times New Roman"/>
          <w:sz w:val="20"/>
        </w:rPr>
      </w:pPr>
      <w:r>
        <w:rPr>
          <w:rFonts w:ascii="Times New Roman" w:hAnsi="Times New Roman"/>
          <w:b/>
          <w:sz w:val="20"/>
        </w:rPr>
        <w:t>(in thousands, except share amounts)</w:t>
      </w:r>
      <w:r>
        <w:rPr>
          <w:rFonts w:ascii="Times New Roman" w:hAnsi="Times New Roman"/>
          <w:sz w:val="20"/>
        </w:rPr>
        <w:t xml:space="preserve"> </w:t>
      </w:r>
    </w:p>
    <w:p>
      <w:pPr>
        <w:pStyle w:val="TextBody"/>
        <w:spacing w:lineRule="auto" w:line="273" w:before="0" w:after="0"/>
        <w:jc w:val="center"/>
        <w:rPr>
          <w:rFonts w:ascii="Times New Roman" w:hAnsi="Times New Roman"/>
          <w:sz w:val="20"/>
        </w:rPr>
      </w:pPr>
      <w:r>
        <w:rPr>
          <w:rFonts w:ascii="Times New Roman" w:hAnsi="Times New Roman"/>
          <w:b/>
          <w:sz w:val="20"/>
        </w:rPr>
        <w:t>(unaudited)</w:t>
      </w:r>
      <w:r>
        <w:rPr>
          <w:rFonts w:ascii="Times New Roman" w:hAnsi="Times New Roman"/>
          <w:sz w:val="20"/>
        </w:rPr>
        <w:t xml:space="preserve"> </w:t>
      </w:r>
    </w:p>
    <w:p>
      <w:pPr>
        <w:pStyle w:val="TextBody"/>
        <w:spacing w:lineRule="auto" w:line="273" w:before="0" w:after="0"/>
        <w:jc w:val="left"/>
        <w:rPr/>
      </w:pPr>
      <w:r>
        <w:rPr/>
        <w:t> </w:t>
      </w:r>
    </w:p>
    <w:tbl>
      <w:tblPr>
        <w:tblW w:w="9552" w:type="dxa"/>
        <w:jc w:val="left"/>
        <w:tblInd w:w="0" w:type="dxa"/>
        <w:tblCellMar>
          <w:top w:w="28" w:type="dxa"/>
          <w:left w:w="28" w:type="dxa"/>
          <w:bottom w:w="28" w:type="dxa"/>
          <w:right w:w="28" w:type="dxa"/>
        </w:tblCellMar>
      </w:tblPr>
      <w:tblGrid>
        <w:gridCol w:w="6661"/>
        <w:gridCol w:w="146"/>
        <w:gridCol w:w="196"/>
        <w:gridCol w:w="751"/>
        <w:gridCol w:w="166"/>
        <w:gridCol w:w="146"/>
        <w:gridCol w:w="226"/>
        <w:gridCol w:w="869"/>
        <w:gridCol w:w="391"/>
      </w:tblGrid>
      <w:tr>
        <w:trPr/>
        <w:tc>
          <w:tcPr>
            <w:tcW w:w="6661"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196" w:type="dxa"/>
            <w:tcBorders/>
            <w:shd w:fill="auto" w:val="clear"/>
            <w:vAlign w:val="center"/>
          </w:tcPr>
          <w:p>
            <w:pPr>
              <w:pStyle w:val="TableContents"/>
              <w:spacing w:before="0" w:after="283"/>
              <w:rPr>
                <w:sz w:val="4"/>
                <w:szCs w:val="4"/>
              </w:rPr>
            </w:pPr>
            <w:r>
              <w:rPr>
                <w:sz w:val="4"/>
                <w:szCs w:val="4"/>
              </w:rPr>
            </w:r>
          </w:p>
        </w:tc>
        <w:tc>
          <w:tcPr>
            <w:tcW w:w="751" w:type="dxa"/>
            <w:tcBorders/>
            <w:shd w:fill="auto" w:val="clear"/>
            <w:vAlign w:val="center"/>
          </w:tcPr>
          <w:p>
            <w:pPr>
              <w:pStyle w:val="TableContents"/>
              <w:spacing w:before="0" w:after="283"/>
              <w:rPr>
                <w:sz w:val="4"/>
                <w:szCs w:val="4"/>
              </w:rPr>
            </w:pPr>
            <w:r>
              <w:rPr>
                <w:sz w:val="4"/>
                <w:szCs w:val="4"/>
              </w:rPr>
            </w:r>
          </w:p>
        </w:tc>
        <w:tc>
          <w:tcPr>
            <w:tcW w:w="16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226" w:type="dxa"/>
            <w:tcBorders/>
            <w:shd w:fill="auto" w:val="clear"/>
            <w:vAlign w:val="center"/>
          </w:tcPr>
          <w:p>
            <w:pPr>
              <w:pStyle w:val="TableContents"/>
              <w:spacing w:before="0" w:after="283"/>
              <w:rPr>
                <w:sz w:val="4"/>
                <w:szCs w:val="4"/>
              </w:rPr>
            </w:pPr>
            <w:r>
              <w:rPr>
                <w:sz w:val="4"/>
                <w:szCs w:val="4"/>
              </w:rPr>
            </w:r>
          </w:p>
        </w:tc>
        <w:tc>
          <w:tcPr>
            <w:tcW w:w="869" w:type="dxa"/>
            <w:tcBorders/>
            <w:shd w:fill="auto" w:val="clear"/>
            <w:vAlign w:val="center"/>
          </w:tcPr>
          <w:p>
            <w:pPr>
              <w:pStyle w:val="TableContents"/>
              <w:spacing w:before="0" w:after="283"/>
              <w:rPr>
                <w:sz w:val="4"/>
                <w:szCs w:val="4"/>
              </w:rPr>
            </w:pPr>
            <w:r>
              <w:rPr>
                <w:sz w:val="4"/>
                <w:szCs w:val="4"/>
              </w:rPr>
            </w:r>
          </w:p>
        </w:tc>
        <w:tc>
          <w:tcPr>
            <w:tcW w:w="391" w:type="dxa"/>
            <w:tcBorders/>
            <w:shd w:fill="auto" w:val="clear"/>
            <w:vAlign w:val="center"/>
          </w:tcPr>
          <w:p>
            <w:pPr>
              <w:pStyle w:val="TableContents"/>
              <w:spacing w:before="0" w:after="283"/>
              <w:rPr>
                <w:sz w:val="4"/>
                <w:szCs w:val="4"/>
              </w:rPr>
            </w:pPr>
            <w:r>
              <w:rPr>
                <w:sz w:val="4"/>
                <w:szCs w:val="4"/>
              </w:rPr>
            </w:r>
          </w:p>
        </w:tc>
      </w:tr>
      <w:tr>
        <w:trPr/>
        <w:tc>
          <w:tcPr>
            <w:tcW w:w="6661" w:type="dxa"/>
            <w:tcBorders/>
            <w:shd w:fill="auto" w:val="clear"/>
            <w:vAlign w:val="center"/>
          </w:tcPr>
          <w:p>
            <w:pPr>
              <w:pStyle w:val="TableContents"/>
              <w:spacing w:lineRule="auto" w:line="252" w:before="0" w:after="0"/>
              <w:ind w:left="0" w:right="0" w:hanging="0"/>
              <w:jc w:val="center"/>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947" w:type="dxa"/>
            <w:gridSpan w:val="2"/>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center"/>
              <w:rPr>
                <w:rFonts w:ascii="Times New Roman" w:hAnsi="Times New Roman"/>
                <w:b/>
                <w:sz w:val="16"/>
              </w:rPr>
            </w:pPr>
            <w:r>
              <w:rPr>
                <w:rFonts w:ascii="Times New Roman" w:hAnsi="Times New Roman"/>
                <w:b/>
                <w:sz w:val="16"/>
              </w:rPr>
              <w:t>March 31,</w:t>
              <w:br/>
              <w:t>2022</w:t>
            </w:r>
          </w:p>
        </w:tc>
        <w:tc>
          <w:tcPr>
            <w:tcW w:w="166"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center"/>
              <w:rPr/>
            </w:pPr>
            <w:r>
              <w:rPr/>
              <w:t> </w:t>
            </w:r>
          </w:p>
        </w:tc>
        <w:tc>
          <w:tcPr>
            <w:tcW w:w="146" w:type="dxa"/>
            <w:tcBorders/>
            <w:shd w:fill="auto" w:val="clear"/>
            <w:vAlign w:val="center"/>
          </w:tcPr>
          <w:p>
            <w:pPr>
              <w:pStyle w:val="TableContents"/>
              <w:spacing w:lineRule="auto" w:line="252" w:before="0" w:after="0"/>
              <w:ind w:left="0" w:right="0" w:hanging="0"/>
              <w:jc w:val="center"/>
              <w:rPr/>
            </w:pPr>
            <w:r>
              <w:rPr/>
              <w:t> </w:t>
            </w:r>
          </w:p>
        </w:tc>
        <w:tc>
          <w:tcPr>
            <w:tcW w:w="1095" w:type="dxa"/>
            <w:gridSpan w:val="2"/>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center"/>
              <w:rPr>
                <w:rFonts w:ascii="Times New Roman" w:hAnsi="Times New Roman"/>
                <w:b/>
                <w:sz w:val="16"/>
              </w:rPr>
            </w:pPr>
            <w:r>
              <w:rPr>
                <w:rFonts w:ascii="Times New Roman" w:hAnsi="Times New Roman"/>
                <w:b/>
                <w:sz w:val="16"/>
              </w:rPr>
              <w:t>December 31,</w:t>
              <w:br/>
              <w:t>2021</w:t>
            </w:r>
          </w:p>
        </w:tc>
        <w:tc>
          <w:tcPr>
            <w:tcW w:w="391"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center"/>
              <w:rPr/>
            </w:pPr>
            <w:r>
              <w:rPr/>
              <w:t> </w:t>
            </w:r>
          </w:p>
        </w:tc>
      </w:tr>
      <w:tr>
        <w:trPr/>
        <w:tc>
          <w:tcPr>
            <w:tcW w:w="6661" w:type="dxa"/>
            <w:tcBorders/>
            <w:shd w:fill="auto" w:val="clear"/>
            <w:vAlign w:val="center"/>
          </w:tcPr>
          <w:p>
            <w:pPr>
              <w:pStyle w:val="TableContents"/>
              <w:spacing w:lineRule="auto" w:line="252" w:before="0" w:after="0"/>
              <w:ind w:left="0" w:right="0" w:hanging="0"/>
              <w:jc w:val="left"/>
              <w:rPr>
                <w:rFonts w:ascii="Times New Roman" w:hAnsi="Times New Roman"/>
                <w:b/>
                <w:sz w:val="16"/>
              </w:rPr>
            </w:pPr>
            <w:r>
              <w:rPr>
                <w:rFonts w:ascii="Times New Roman" w:hAnsi="Times New Roman"/>
                <w:b/>
                <w:sz w:val="16"/>
              </w:rPr>
              <w:t>Assets</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947" w:type="dxa"/>
            <w:gridSpan w:val="2"/>
            <w:tcBorders/>
            <w:shd w:fill="auto" w:val="clear"/>
            <w:vAlign w:val="center"/>
          </w:tcPr>
          <w:p>
            <w:pPr>
              <w:pStyle w:val="TableContents"/>
              <w:spacing w:lineRule="auto" w:line="252" w:before="0" w:after="0"/>
              <w:ind w:left="0" w:right="0" w:hanging="0"/>
              <w:jc w:val="right"/>
              <w:rPr/>
            </w:pPr>
            <w:r>
              <w:rPr/>
              <w:t> </w:t>
            </w:r>
          </w:p>
        </w:tc>
        <w:tc>
          <w:tcPr>
            <w:tcW w:w="166" w:type="dxa"/>
            <w:tcBorders/>
            <w:shd w:fill="auto" w:val="clear"/>
            <w:vAlign w:val="center"/>
          </w:tcPr>
          <w:p>
            <w:pPr>
              <w:pStyle w:val="TableContents"/>
              <w:spacing w:lineRule="auto" w:line="252" w:before="0" w:after="0"/>
              <w:ind w:left="0" w:right="0" w:hanging="0"/>
              <w:jc w:val="righ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095" w:type="dxa"/>
            <w:gridSpan w:val="2"/>
            <w:tcBorders/>
            <w:shd w:fill="auto" w:val="clear"/>
            <w:vAlign w:val="center"/>
          </w:tcPr>
          <w:p>
            <w:pPr>
              <w:pStyle w:val="TableContents"/>
              <w:spacing w:lineRule="auto" w:line="252" w:before="0" w:after="0"/>
              <w:ind w:left="0" w:right="0" w:hanging="0"/>
              <w:jc w:val="right"/>
              <w:rPr/>
            </w:pPr>
            <w:r>
              <w:rPr/>
              <w:t> </w:t>
            </w:r>
          </w:p>
        </w:tc>
        <w:tc>
          <w:tcPr>
            <w:tcW w:w="391" w:type="dxa"/>
            <w:tcBorders/>
            <w:shd w:fill="auto" w:val="clear"/>
            <w:vAlign w:val="center"/>
          </w:tcPr>
          <w:p>
            <w:pPr>
              <w:pStyle w:val="TableContents"/>
              <w:spacing w:lineRule="auto" w:line="252" w:before="0" w:after="0"/>
              <w:ind w:left="0" w:right="0" w:hanging="0"/>
              <w:jc w:val="right"/>
              <w:rPr/>
            </w:pPr>
            <w:r>
              <w:rPr/>
              <w:t> </w:t>
            </w:r>
          </w:p>
        </w:tc>
      </w:tr>
      <w:tr>
        <w:trPr/>
        <w:tc>
          <w:tcPr>
            <w:tcW w:w="6661" w:type="dxa"/>
            <w:tcBorders/>
            <w:shd w:fill="auto" w:val="clear"/>
            <w:vAlign w:val="center"/>
          </w:tcPr>
          <w:p>
            <w:pPr>
              <w:pStyle w:val="TableContents"/>
              <w:spacing w:lineRule="auto" w:line="252" w:before="0" w:after="0"/>
              <w:ind w:left="0" w:right="0" w:hanging="0"/>
              <w:jc w:val="left"/>
              <w:rPr>
                <w:rFonts w:ascii="Times New Roman" w:hAnsi="Times New Roman"/>
                <w:b/>
                <w:sz w:val="16"/>
              </w:rPr>
            </w:pPr>
            <w:r>
              <w:rPr>
                <w:rFonts w:ascii="Times New Roman" w:hAnsi="Times New Roman"/>
                <w:b/>
                <w:sz w:val="16"/>
              </w:rPr>
              <w:t>Current assets:</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947" w:type="dxa"/>
            <w:gridSpan w:val="2"/>
            <w:tcBorders/>
            <w:shd w:fill="auto" w:val="clear"/>
            <w:vAlign w:val="center"/>
          </w:tcPr>
          <w:p>
            <w:pPr>
              <w:pStyle w:val="TableContents"/>
              <w:spacing w:lineRule="auto" w:line="252" w:before="0" w:after="0"/>
              <w:ind w:left="0" w:right="0" w:hanging="0"/>
              <w:jc w:val="center"/>
              <w:rPr/>
            </w:pPr>
            <w:r>
              <w:rPr/>
              <w:t> </w:t>
            </w:r>
          </w:p>
        </w:tc>
        <w:tc>
          <w:tcPr>
            <w:tcW w:w="166" w:type="dxa"/>
            <w:tcBorders/>
            <w:shd w:fill="auto" w:val="clear"/>
            <w:vAlign w:val="center"/>
          </w:tcPr>
          <w:p>
            <w:pPr>
              <w:pStyle w:val="TableContents"/>
              <w:spacing w:lineRule="auto" w:line="252" w:before="0" w:after="0"/>
              <w:ind w:left="0" w:right="0" w:hanging="0"/>
              <w:jc w:val="center"/>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095" w:type="dxa"/>
            <w:gridSpan w:val="2"/>
            <w:tcBorders/>
            <w:shd w:fill="auto" w:val="clear"/>
            <w:vAlign w:val="center"/>
          </w:tcPr>
          <w:p>
            <w:pPr>
              <w:pStyle w:val="TableContents"/>
              <w:spacing w:lineRule="auto" w:line="252" w:before="0" w:after="0"/>
              <w:ind w:left="0" w:right="0" w:hanging="0"/>
              <w:jc w:val="center"/>
              <w:rPr/>
            </w:pPr>
            <w:r>
              <w:rPr/>
              <w:t> </w:t>
            </w:r>
          </w:p>
        </w:tc>
        <w:tc>
          <w:tcPr>
            <w:tcW w:w="391" w:type="dxa"/>
            <w:tcBorders/>
            <w:shd w:fill="auto" w:val="clear"/>
            <w:vAlign w:val="center"/>
          </w:tcPr>
          <w:p>
            <w:pPr>
              <w:pStyle w:val="TableContents"/>
              <w:spacing w:lineRule="auto" w:line="252" w:before="0" w:after="0"/>
              <w:ind w:left="0" w:right="0" w:firstLine="200"/>
              <w:jc w:val="center"/>
              <w:rPr/>
            </w:pPr>
            <w:r>
              <w:rPr/>
              <w:t> </w:t>
            </w:r>
          </w:p>
        </w:tc>
      </w:tr>
      <w:tr>
        <w:trPr/>
        <w:tc>
          <w:tcPr>
            <w:tcW w:w="6661" w:type="dxa"/>
            <w:tcBorders/>
            <w:shd w:fill="auto" w:val="clear"/>
            <w:vAlign w:val="center"/>
          </w:tcPr>
          <w:p>
            <w:pPr>
              <w:pStyle w:val="TableContents"/>
              <w:spacing w:lineRule="auto" w:line="252" w:before="0" w:after="0"/>
              <w:ind w:left="200" w:right="0" w:hanging="0"/>
              <w:jc w:val="left"/>
              <w:rPr>
                <w:rFonts w:ascii="Times New Roman" w:hAnsi="Times New Roman"/>
                <w:b w:val="false"/>
                <w:sz w:val="16"/>
              </w:rPr>
            </w:pPr>
            <w:r>
              <w:rPr>
                <w:rFonts w:ascii="Times New Roman" w:hAnsi="Times New Roman"/>
                <w:b w:val="false"/>
                <w:sz w:val="16"/>
              </w:rPr>
              <w:t>Cash and cash equivalents</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96" w:type="dxa"/>
            <w:tcBorders/>
            <w:shd w:fill="auto" w:val="clear"/>
            <w:vAlign w:val="center"/>
          </w:tcPr>
          <w:p>
            <w:pPr>
              <w:pStyle w:val="TableContents"/>
              <w:spacing w:lineRule="auto" w:line="252" w:before="0" w:after="0"/>
              <w:ind w:left="0" w:right="0" w:hanging="0"/>
              <w:jc w:val="left"/>
              <w:rPr>
                <w:rFonts w:ascii="Times New Roman" w:hAnsi="Times New Roman"/>
                <w:b w:val="false"/>
                <w:sz w:val="16"/>
              </w:rPr>
            </w:pPr>
            <w:r>
              <w:rPr>
                <w:rFonts w:ascii="Times New Roman" w:hAnsi="Times New Roman"/>
                <w:b w:val="false"/>
                <w:sz w:val="16"/>
              </w:rPr>
              <w:t>$</w:t>
            </w:r>
          </w:p>
        </w:tc>
        <w:tc>
          <w:tcPr>
            <w:tcW w:w="751" w:type="dxa"/>
            <w:tcBorders/>
            <w:shd w:fill="auto" w:val="clear"/>
            <w:vAlign w:val="center"/>
          </w:tcPr>
          <w:p>
            <w:pPr>
              <w:pStyle w:val="TableContents"/>
              <w:spacing w:lineRule="auto" w:line="252" w:before="0" w:after="0"/>
              <w:ind w:left="0" w:right="0" w:hanging="0"/>
              <w:jc w:val="right"/>
              <w:rPr>
                <w:rFonts w:ascii="Times New Roman" w:hAnsi="Times New Roman"/>
                <w:b w:val="false"/>
                <w:sz w:val="16"/>
              </w:rPr>
            </w:pPr>
            <w:r>
              <w:rPr>
                <w:rFonts w:ascii="Times New Roman" w:hAnsi="Times New Roman"/>
                <w:b w:val="false"/>
                <w:sz w:val="16"/>
              </w:rPr>
              <w:t>262,731</w:t>
            </w:r>
          </w:p>
        </w:tc>
        <w:tc>
          <w:tcPr>
            <w:tcW w:w="166" w:type="dxa"/>
            <w:tcBorders/>
            <w:shd w:fill="auto" w:val="cle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226" w:type="dxa"/>
            <w:tcBorders/>
            <w:shd w:fill="auto" w:val="clear"/>
            <w:vAlign w:val="center"/>
          </w:tcPr>
          <w:p>
            <w:pPr>
              <w:pStyle w:val="TableContents"/>
              <w:spacing w:lineRule="auto" w:line="252" w:before="0" w:after="0"/>
              <w:ind w:left="0" w:right="0" w:hanging="0"/>
              <w:jc w:val="left"/>
              <w:rPr>
                <w:rFonts w:ascii="Times New Roman" w:hAnsi="Times New Roman"/>
                <w:b w:val="false"/>
                <w:sz w:val="16"/>
              </w:rPr>
            </w:pPr>
            <w:r>
              <w:rPr>
                <w:rFonts w:ascii="Times New Roman" w:hAnsi="Times New Roman"/>
                <w:b w:val="false"/>
                <w:sz w:val="16"/>
              </w:rPr>
              <w:t>$</w:t>
            </w:r>
          </w:p>
        </w:tc>
        <w:tc>
          <w:tcPr>
            <w:tcW w:w="869" w:type="dxa"/>
            <w:tcBorders/>
            <w:shd w:fill="auto" w:val="clear"/>
            <w:vAlign w:val="center"/>
          </w:tcPr>
          <w:p>
            <w:pPr>
              <w:pStyle w:val="TableContents"/>
              <w:spacing w:lineRule="auto" w:line="252" w:before="0" w:after="0"/>
              <w:ind w:left="0" w:right="0" w:hanging="0"/>
              <w:jc w:val="right"/>
              <w:rPr>
                <w:rFonts w:ascii="Times New Roman" w:hAnsi="Times New Roman"/>
                <w:b w:val="false"/>
                <w:sz w:val="16"/>
              </w:rPr>
            </w:pPr>
            <w:r>
              <w:rPr>
                <w:rFonts w:ascii="Times New Roman" w:hAnsi="Times New Roman"/>
                <w:b w:val="false"/>
                <w:sz w:val="16"/>
              </w:rPr>
              <w:t>284,309</w:t>
            </w:r>
          </w:p>
        </w:tc>
        <w:tc>
          <w:tcPr>
            <w:tcW w:w="391" w:type="dxa"/>
            <w:tcBorders/>
            <w:shd w:fill="auto" w:val="clear"/>
            <w:vAlign w:val="center"/>
          </w:tcPr>
          <w:p>
            <w:pPr>
              <w:pStyle w:val="TableContents"/>
              <w:spacing w:lineRule="auto" w:line="252" w:before="0" w:after="0"/>
              <w:ind w:left="0" w:right="0" w:firstLine="200"/>
              <w:jc w:val="left"/>
              <w:rPr/>
            </w:pPr>
            <w:r>
              <w:rPr/>
              <w:t> </w:t>
            </w:r>
          </w:p>
        </w:tc>
      </w:tr>
      <w:tr>
        <w:trPr/>
        <w:tc>
          <w:tcPr>
            <w:tcW w:w="6661" w:type="dxa"/>
            <w:tcBorders/>
            <w:shd w:fill="auto" w:val="clear"/>
            <w:vAlign w:val="center"/>
          </w:tcPr>
          <w:p>
            <w:pPr>
              <w:pStyle w:val="TableContents"/>
              <w:spacing w:lineRule="auto" w:line="252" w:before="0" w:after="0"/>
              <w:ind w:left="200" w:right="0" w:hanging="0"/>
              <w:jc w:val="left"/>
              <w:rPr>
                <w:rFonts w:ascii="Times New Roman" w:hAnsi="Times New Roman"/>
                <w:b w:val="false"/>
                <w:sz w:val="16"/>
              </w:rPr>
            </w:pPr>
            <w:r>
              <w:rPr>
                <w:rFonts w:ascii="Times New Roman" w:hAnsi="Times New Roman"/>
                <w:b w:val="false"/>
                <w:sz w:val="16"/>
              </w:rPr>
              <w:t>Prepaid expenses and other current assets</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96"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c>
          <w:tcPr>
            <w:tcW w:w="751"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right"/>
              <w:rPr>
                <w:rFonts w:ascii="Times New Roman" w:hAnsi="Times New Roman"/>
                <w:b w:val="false"/>
                <w:sz w:val="16"/>
              </w:rPr>
            </w:pPr>
            <w:r>
              <w:rPr>
                <w:rFonts w:ascii="Times New Roman" w:hAnsi="Times New Roman"/>
                <w:b w:val="false"/>
                <w:sz w:val="16"/>
              </w:rPr>
              <w:t>4,637</w:t>
            </w:r>
          </w:p>
        </w:tc>
        <w:tc>
          <w:tcPr>
            <w:tcW w:w="166"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226"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c>
          <w:tcPr>
            <w:tcW w:w="869"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right"/>
              <w:rPr>
                <w:rFonts w:ascii="Times New Roman" w:hAnsi="Times New Roman"/>
                <w:b w:val="false"/>
                <w:sz w:val="16"/>
              </w:rPr>
            </w:pPr>
            <w:r>
              <w:rPr>
                <w:rFonts w:ascii="Times New Roman" w:hAnsi="Times New Roman"/>
                <w:b w:val="false"/>
                <w:sz w:val="16"/>
              </w:rPr>
              <w:t>5,059</w:t>
            </w:r>
          </w:p>
        </w:tc>
        <w:tc>
          <w:tcPr>
            <w:tcW w:w="391"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firstLine="200"/>
              <w:jc w:val="left"/>
              <w:rPr/>
            </w:pPr>
            <w:r>
              <w:rPr/>
              <w:t> </w:t>
            </w:r>
          </w:p>
        </w:tc>
      </w:tr>
      <w:tr>
        <w:trPr/>
        <w:tc>
          <w:tcPr>
            <w:tcW w:w="6661" w:type="dxa"/>
            <w:tcBorders/>
            <w:shd w:fill="auto" w:val="clear"/>
            <w:vAlign w:val="center"/>
          </w:tcPr>
          <w:p>
            <w:pPr>
              <w:pStyle w:val="TableContents"/>
              <w:spacing w:lineRule="auto" w:line="252" w:before="0" w:after="0"/>
              <w:ind w:left="200" w:right="0" w:hanging="0"/>
              <w:jc w:val="left"/>
              <w:rPr>
                <w:rFonts w:ascii="Times New Roman" w:hAnsi="Times New Roman"/>
                <w:b/>
                <w:sz w:val="16"/>
              </w:rPr>
            </w:pPr>
            <w:r>
              <w:rPr>
                <w:rFonts w:ascii="Times New Roman" w:hAnsi="Times New Roman"/>
                <w:b/>
                <w:sz w:val="16"/>
              </w:rPr>
              <w:t>Total current assets</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96"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c>
          <w:tcPr>
            <w:tcW w:w="751"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right"/>
              <w:rPr>
                <w:rFonts w:ascii="Times New Roman" w:hAnsi="Times New Roman"/>
                <w:b w:val="false"/>
                <w:sz w:val="16"/>
              </w:rPr>
            </w:pPr>
            <w:r>
              <w:rPr>
                <w:rFonts w:ascii="Times New Roman" w:hAnsi="Times New Roman"/>
                <w:b w:val="false"/>
                <w:sz w:val="16"/>
              </w:rPr>
              <w:t>267,368</w:t>
            </w:r>
          </w:p>
        </w:tc>
        <w:tc>
          <w:tcPr>
            <w:tcW w:w="166"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226"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c>
          <w:tcPr>
            <w:tcW w:w="869"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right"/>
              <w:rPr>
                <w:rFonts w:ascii="Times New Roman" w:hAnsi="Times New Roman"/>
                <w:b w:val="false"/>
                <w:sz w:val="16"/>
              </w:rPr>
            </w:pPr>
            <w:r>
              <w:rPr>
                <w:rFonts w:ascii="Times New Roman" w:hAnsi="Times New Roman"/>
                <w:b w:val="false"/>
                <w:sz w:val="16"/>
              </w:rPr>
              <w:t>289,368</w:t>
            </w:r>
          </w:p>
        </w:tc>
        <w:tc>
          <w:tcPr>
            <w:tcW w:w="391"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firstLine="200"/>
              <w:jc w:val="left"/>
              <w:rPr/>
            </w:pPr>
            <w:r>
              <w:rPr/>
              <w:t> </w:t>
            </w:r>
          </w:p>
        </w:tc>
      </w:tr>
      <w:tr>
        <w:trPr/>
        <w:tc>
          <w:tcPr>
            <w:tcW w:w="6661" w:type="dxa"/>
            <w:tcBorders/>
            <w:shd w:fill="auto" w:val="clear"/>
            <w:vAlign w:val="center"/>
          </w:tcPr>
          <w:p>
            <w:pPr>
              <w:pStyle w:val="TableContents"/>
              <w:spacing w:lineRule="auto" w:line="252" w:before="0" w:after="0"/>
              <w:ind w:left="200" w:right="0" w:hanging="0"/>
              <w:jc w:val="left"/>
              <w:rPr>
                <w:rFonts w:ascii="Times New Roman" w:hAnsi="Times New Roman"/>
                <w:b w:val="false"/>
                <w:sz w:val="16"/>
              </w:rPr>
            </w:pPr>
            <w:r>
              <w:rPr>
                <w:rFonts w:ascii="Times New Roman" w:hAnsi="Times New Roman"/>
                <w:b w:val="false"/>
                <w:sz w:val="16"/>
              </w:rPr>
              <w:t>Property and equipment, net</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96" w:type="dxa"/>
            <w:tcBorders/>
            <w:shd w:fill="auto" w:val="clear"/>
            <w:vAlign w:val="center"/>
          </w:tcPr>
          <w:p>
            <w:pPr>
              <w:pStyle w:val="TableContents"/>
              <w:spacing w:lineRule="auto" w:line="252" w:before="0" w:after="0"/>
              <w:ind w:left="0" w:right="0" w:hanging="0"/>
              <w:jc w:val="left"/>
              <w:rPr/>
            </w:pPr>
            <w:r>
              <w:rPr/>
              <w:t> </w:t>
            </w:r>
          </w:p>
        </w:tc>
        <w:tc>
          <w:tcPr>
            <w:tcW w:w="751" w:type="dxa"/>
            <w:tcBorders/>
            <w:shd w:fill="auto" w:val="clear"/>
            <w:vAlign w:val="center"/>
          </w:tcPr>
          <w:p>
            <w:pPr>
              <w:pStyle w:val="TableContents"/>
              <w:spacing w:lineRule="auto" w:line="252" w:before="0" w:after="0"/>
              <w:ind w:left="0" w:right="0" w:hanging="0"/>
              <w:jc w:val="right"/>
              <w:rPr>
                <w:rFonts w:ascii="Times New Roman" w:hAnsi="Times New Roman"/>
                <w:b w:val="false"/>
                <w:sz w:val="16"/>
              </w:rPr>
            </w:pPr>
            <w:r>
              <w:rPr>
                <w:rFonts w:ascii="Times New Roman" w:hAnsi="Times New Roman"/>
                <w:b w:val="false"/>
                <w:sz w:val="16"/>
              </w:rPr>
              <w:t>66</w:t>
            </w:r>
          </w:p>
        </w:tc>
        <w:tc>
          <w:tcPr>
            <w:tcW w:w="166" w:type="dxa"/>
            <w:tcBorders/>
            <w:shd w:fill="auto" w:val="cle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226" w:type="dxa"/>
            <w:tcBorders/>
            <w:shd w:fill="auto" w:val="clear"/>
            <w:vAlign w:val="center"/>
          </w:tcPr>
          <w:p>
            <w:pPr>
              <w:pStyle w:val="TableContents"/>
              <w:spacing w:lineRule="auto" w:line="252" w:before="0" w:after="0"/>
              <w:ind w:left="0" w:right="0" w:hanging="0"/>
              <w:jc w:val="left"/>
              <w:rPr/>
            </w:pPr>
            <w:r>
              <w:rPr/>
              <w:t> </w:t>
            </w:r>
          </w:p>
        </w:tc>
        <w:tc>
          <w:tcPr>
            <w:tcW w:w="869" w:type="dxa"/>
            <w:tcBorders/>
            <w:shd w:fill="auto" w:val="clear"/>
            <w:vAlign w:val="center"/>
          </w:tcPr>
          <w:p>
            <w:pPr>
              <w:pStyle w:val="TableContents"/>
              <w:spacing w:lineRule="auto" w:line="252" w:before="0" w:after="0"/>
              <w:ind w:left="0" w:right="0" w:hanging="0"/>
              <w:jc w:val="right"/>
              <w:rPr>
                <w:rFonts w:ascii="Times New Roman" w:hAnsi="Times New Roman"/>
                <w:b w:val="false"/>
                <w:sz w:val="16"/>
              </w:rPr>
            </w:pPr>
            <w:r>
              <w:rPr>
                <w:rFonts w:ascii="Times New Roman" w:hAnsi="Times New Roman"/>
                <w:b w:val="false"/>
                <w:sz w:val="16"/>
              </w:rPr>
              <w:t>57</w:t>
            </w:r>
          </w:p>
        </w:tc>
        <w:tc>
          <w:tcPr>
            <w:tcW w:w="391" w:type="dxa"/>
            <w:tcBorders/>
            <w:shd w:fill="auto" w:val="clear"/>
            <w:vAlign w:val="center"/>
          </w:tcPr>
          <w:p>
            <w:pPr>
              <w:pStyle w:val="TableContents"/>
              <w:spacing w:lineRule="auto" w:line="252" w:before="0" w:after="0"/>
              <w:ind w:left="0" w:right="0" w:firstLine="200"/>
              <w:jc w:val="left"/>
              <w:rPr/>
            </w:pPr>
            <w:r>
              <w:rPr/>
              <w:t> </w:t>
            </w:r>
          </w:p>
        </w:tc>
      </w:tr>
      <w:tr>
        <w:trPr/>
        <w:tc>
          <w:tcPr>
            <w:tcW w:w="6661" w:type="dxa"/>
            <w:tcBorders/>
            <w:shd w:fill="auto" w:val="clear"/>
            <w:vAlign w:val="center"/>
          </w:tcPr>
          <w:p>
            <w:pPr>
              <w:pStyle w:val="TableContents"/>
              <w:spacing w:lineRule="auto" w:line="252" w:before="0" w:after="0"/>
              <w:ind w:left="200" w:right="0" w:hanging="0"/>
              <w:jc w:val="left"/>
              <w:rPr>
                <w:rFonts w:ascii="Times New Roman" w:hAnsi="Times New Roman"/>
                <w:b w:val="false"/>
                <w:sz w:val="16"/>
              </w:rPr>
            </w:pPr>
            <w:r>
              <w:rPr>
                <w:rFonts w:ascii="Times New Roman" w:hAnsi="Times New Roman"/>
                <w:b w:val="false"/>
                <w:sz w:val="16"/>
              </w:rPr>
              <w:t>Operating lease right-of-use asset</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96" w:type="dxa"/>
            <w:tcBorders/>
            <w:shd w:fill="auto" w:val="clear"/>
            <w:vAlign w:val="center"/>
          </w:tcPr>
          <w:p>
            <w:pPr>
              <w:pStyle w:val="TableContents"/>
              <w:spacing w:lineRule="auto" w:line="252" w:before="0" w:after="0"/>
              <w:ind w:left="0" w:right="0" w:hanging="0"/>
              <w:jc w:val="left"/>
              <w:rPr/>
            </w:pPr>
            <w:r>
              <w:rPr/>
              <w:t> </w:t>
            </w:r>
          </w:p>
        </w:tc>
        <w:tc>
          <w:tcPr>
            <w:tcW w:w="751" w:type="dxa"/>
            <w:tcBorders/>
            <w:shd w:fill="auto" w:val="clear"/>
            <w:vAlign w:val="center"/>
          </w:tcPr>
          <w:p>
            <w:pPr>
              <w:pStyle w:val="TableContents"/>
              <w:spacing w:lineRule="auto" w:line="252" w:before="0" w:after="0"/>
              <w:ind w:left="0" w:right="0" w:hanging="0"/>
              <w:jc w:val="right"/>
              <w:rPr>
                <w:rFonts w:ascii="Times New Roman" w:hAnsi="Times New Roman"/>
                <w:b w:val="false"/>
                <w:sz w:val="16"/>
              </w:rPr>
            </w:pPr>
            <w:r>
              <w:rPr>
                <w:rFonts w:ascii="Times New Roman" w:hAnsi="Times New Roman"/>
                <w:b w:val="false"/>
                <w:sz w:val="16"/>
              </w:rPr>
              <w:t>180</w:t>
            </w:r>
          </w:p>
        </w:tc>
        <w:tc>
          <w:tcPr>
            <w:tcW w:w="166" w:type="dxa"/>
            <w:tcBorders/>
            <w:shd w:fill="auto" w:val="cle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226" w:type="dxa"/>
            <w:tcBorders/>
            <w:shd w:fill="auto" w:val="clear"/>
            <w:vAlign w:val="center"/>
          </w:tcPr>
          <w:p>
            <w:pPr>
              <w:pStyle w:val="TableContents"/>
              <w:spacing w:lineRule="auto" w:line="252" w:before="0" w:after="0"/>
              <w:ind w:left="0" w:right="0" w:hanging="0"/>
              <w:jc w:val="left"/>
              <w:rPr/>
            </w:pPr>
            <w:r>
              <w:rPr/>
              <w:t> </w:t>
            </w:r>
          </w:p>
        </w:tc>
        <w:tc>
          <w:tcPr>
            <w:tcW w:w="869" w:type="dxa"/>
            <w:tcBorders/>
            <w:shd w:fill="auto" w:val="clear"/>
            <w:vAlign w:val="center"/>
          </w:tcPr>
          <w:p>
            <w:pPr>
              <w:pStyle w:val="TableContents"/>
              <w:spacing w:lineRule="auto" w:line="252" w:before="0" w:after="0"/>
              <w:ind w:left="0" w:right="0" w:hanging="0"/>
              <w:jc w:val="right"/>
              <w:rPr>
                <w:rFonts w:ascii="Times New Roman" w:hAnsi="Times New Roman"/>
                <w:b w:val="false"/>
                <w:sz w:val="16"/>
              </w:rPr>
            </w:pPr>
            <w:r>
              <w:rPr>
                <w:rFonts w:ascii="Times New Roman" w:hAnsi="Times New Roman"/>
                <w:b w:val="false"/>
                <w:sz w:val="16"/>
              </w:rPr>
              <w:t>227</w:t>
            </w:r>
          </w:p>
        </w:tc>
        <w:tc>
          <w:tcPr>
            <w:tcW w:w="391" w:type="dxa"/>
            <w:tcBorders/>
            <w:shd w:fill="auto" w:val="clear"/>
            <w:vAlign w:val="center"/>
          </w:tcPr>
          <w:p>
            <w:pPr>
              <w:pStyle w:val="TableContents"/>
              <w:spacing w:lineRule="auto" w:line="252" w:before="0" w:after="0"/>
              <w:ind w:left="0" w:right="0" w:firstLine="200"/>
              <w:jc w:val="left"/>
              <w:rPr/>
            </w:pPr>
            <w:r>
              <w:rPr/>
              <w:t> </w:t>
            </w:r>
          </w:p>
        </w:tc>
      </w:tr>
      <w:tr>
        <w:trPr/>
        <w:tc>
          <w:tcPr>
            <w:tcW w:w="6661" w:type="dxa"/>
            <w:tcBorders/>
            <w:shd w:fill="auto" w:val="clear"/>
            <w:vAlign w:val="center"/>
          </w:tcPr>
          <w:p>
            <w:pPr>
              <w:pStyle w:val="TableContents"/>
              <w:spacing w:lineRule="auto" w:line="252" w:before="0" w:after="0"/>
              <w:ind w:left="200" w:right="0" w:hanging="0"/>
              <w:jc w:val="left"/>
              <w:rPr>
                <w:rFonts w:ascii="Times New Roman" w:hAnsi="Times New Roman"/>
                <w:b w:val="false"/>
                <w:sz w:val="16"/>
              </w:rPr>
            </w:pPr>
            <w:r>
              <w:rPr>
                <w:rFonts w:ascii="Times New Roman" w:hAnsi="Times New Roman"/>
                <w:b w:val="false"/>
                <w:sz w:val="16"/>
              </w:rPr>
              <w:t>Deposits and other long-term assets</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96"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c>
          <w:tcPr>
            <w:tcW w:w="751"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right"/>
              <w:rPr>
                <w:rFonts w:ascii="Times New Roman" w:hAnsi="Times New Roman"/>
                <w:b w:val="false"/>
                <w:sz w:val="16"/>
              </w:rPr>
            </w:pPr>
            <w:r>
              <w:rPr>
                <w:rFonts w:ascii="Times New Roman" w:hAnsi="Times New Roman"/>
                <w:b w:val="false"/>
                <w:sz w:val="16"/>
              </w:rPr>
              <w:t>165</w:t>
            </w:r>
          </w:p>
        </w:tc>
        <w:tc>
          <w:tcPr>
            <w:tcW w:w="166"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226"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c>
          <w:tcPr>
            <w:tcW w:w="869"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right"/>
              <w:rPr>
                <w:rFonts w:ascii="Times New Roman" w:hAnsi="Times New Roman"/>
                <w:b w:val="false"/>
                <w:sz w:val="16"/>
              </w:rPr>
            </w:pPr>
            <w:r>
              <w:rPr>
                <w:rFonts w:ascii="Times New Roman" w:hAnsi="Times New Roman"/>
                <w:b w:val="false"/>
                <w:sz w:val="16"/>
              </w:rPr>
              <w:t>169</w:t>
            </w:r>
          </w:p>
        </w:tc>
        <w:tc>
          <w:tcPr>
            <w:tcW w:w="391"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firstLine="200"/>
              <w:jc w:val="left"/>
              <w:rPr/>
            </w:pPr>
            <w:r>
              <w:rPr/>
              <w:t> </w:t>
            </w:r>
          </w:p>
        </w:tc>
      </w:tr>
      <w:tr>
        <w:trPr/>
        <w:tc>
          <w:tcPr>
            <w:tcW w:w="6661" w:type="dxa"/>
            <w:tcBorders/>
            <w:shd w:fill="auto" w:val="clear"/>
            <w:vAlign w:val="center"/>
          </w:tcPr>
          <w:p>
            <w:pPr>
              <w:pStyle w:val="TableContents"/>
              <w:spacing w:lineRule="auto" w:line="252" w:before="0" w:after="0"/>
              <w:ind w:left="200" w:right="0" w:hanging="0"/>
              <w:jc w:val="left"/>
              <w:rPr>
                <w:rFonts w:ascii="Times New Roman" w:hAnsi="Times New Roman"/>
                <w:b/>
                <w:sz w:val="16"/>
              </w:rPr>
            </w:pPr>
            <w:r>
              <w:rPr>
                <w:rFonts w:ascii="Times New Roman" w:hAnsi="Times New Roman"/>
                <w:b/>
                <w:sz w:val="16"/>
              </w:rPr>
              <w:t>Total assets</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96" w:type="dxa"/>
            <w:tcBorders>
              <w:bottom w:val="double" w:sz="6"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c>
          <w:tcPr>
            <w:tcW w:w="751" w:type="dxa"/>
            <w:tcBorders>
              <w:bottom w:val="double" w:sz="6" w:space="0" w:color="000000"/>
            </w:tcBorders>
            <w:shd w:fill="auto" w:val="clear"/>
            <w:tcMar>
              <w:top w:w="0" w:type="dxa"/>
              <w:left w:w="0" w:type="dxa"/>
              <w:right w:w="0" w:type="dxa"/>
            </w:tcMar>
            <w:vAlign w:val="center"/>
          </w:tcPr>
          <w:p>
            <w:pPr>
              <w:pStyle w:val="TableContents"/>
              <w:spacing w:lineRule="auto" w:line="252" w:before="0" w:after="0"/>
              <w:ind w:left="0" w:right="0" w:hanging="0"/>
              <w:jc w:val="right"/>
              <w:rPr>
                <w:rFonts w:ascii="Times New Roman" w:hAnsi="Times New Roman"/>
                <w:b w:val="false"/>
                <w:sz w:val="16"/>
              </w:rPr>
            </w:pPr>
            <w:r>
              <w:rPr>
                <w:rFonts w:ascii="Times New Roman" w:hAnsi="Times New Roman"/>
                <w:b w:val="false"/>
                <w:sz w:val="16"/>
              </w:rPr>
              <w:t>267,779</w:t>
            </w:r>
          </w:p>
        </w:tc>
        <w:tc>
          <w:tcPr>
            <w:tcW w:w="166" w:type="dxa"/>
            <w:tcBorders>
              <w:bottom w:val="double" w:sz="6"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226" w:type="dxa"/>
            <w:tcBorders>
              <w:bottom w:val="double" w:sz="6"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c>
          <w:tcPr>
            <w:tcW w:w="869" w:type="dxa"/>
            <w:tcBorders>
              <w:bottom w:val="double" w:sz="6" w:space="0" w:color="000000"/>
            </w:tcBorders>
            <w:shd w:fill="auto" w:val="clear"/>
            <w:tcMar>
              <w:top w:w="0" w:type="dxa"/>
              <w:left w:w="0" w:type="dxa"/>
              <w:right w:w="0" w:type="dxa"/>
            </w:tcMar>
            <w:vAlign w:val="center"/>
          </w:tcPr>
          <w:p>
            <w:pPr>
              <w:pStyle w:val="TableContents"/>
              <w:spacing w:lineRule="auto" w:line="252" w:before="0" w:after="0"/>
              <w:ind w:left="0" w:right="0" w:hanging="0"/>
              <w:jc w:val="right"/>
              <w:rPr>
                <w:rFonts w:ascii="Times New Roman" w:hAnsi="Times New Roman"/>
                <w:b w:val="false"/>
                <w:sz w:val="16"/>
              </w:rPr>
            </w:pPr>
            <w:r>
              <w:rPr>
                <w:rFonts w:ascii="Times New Roman" w:hAnsi="Times New Roman"/>
                <w:b w:val="false"/>
                <w:sz w:val="16"/>
              </w:rPr>
              <w:t>289,821</w:t>
            </w:r>
          </w:p>
        </w:tc>
        <w:tc>
          <w:tcPr>
            <w:tcW w:w="391" w:type="dxa"/>
            <w:tcBorders>
              <w:bottom w:val="double" w:sz="6"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r>
      <w:tr>
        <w:trPr/>
        <w:tc>
          <w:tcPr>
            <w:tcW w:w="6661" w:type="dxa"/>
            <w:tcBorders/>
            <w:shd w:fill="auto" w:val="clear"/>
            <w:vAlign w:val="center"/>
          </w:tcPr>
          <w:p>
            <w:pPr>
              <w:pStyle w:val="TableContents"/>
              <w:spacing w:lineRule="auto" w:line="252" w:before="0" w:after="0"/>
              <w:ind w:left="0" w:right="0" w:hanging="0"/>
              <w:jc w:val="left"/>
              <w:rPr>
                <w:rFonts w:ascii="Times New Roman" w:hAnsi="Times New Roman"/>
                <w:b/>
                <w:sz w:val="16"/>
              </w:rPr>
            </w:pPr>
            <w:r>
              <w:rPr>
                <w:rFonts w:ascii="Times New Roman" w:hAnsi="Times New Roman"/>
                <w:b/>
                <w:sz w:val="16"/>
              </w:rPr>
              <w:t>Liabilities and stockholders’ equity</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947" w:type="dxa"/>
            <w:gridSpan w:val="2"/>
            <w:tcBorders/>
            <w:shd w:fill="auto" w:val="clear"/>
            <w:vAlign w:val="center"/>
          </w:tcPr>
          <w:p>
            <w:pPr>
              <w:pStyle w:val="TableContents"/>
              <w:spacing w:lineRule="auto" w:line="252" w:before="0" w:after="0"/>
              <w:ind w:left="0" w:right="0" w:hanging="0"/>
              <w:jc w:val="right"/>
              <w:rPr/>
            </w:pPr>
            <w:r>
              <w:rPr/>
              <w:t> </w:t>
            </w:r>
          </w:p>
        </w:tc>
        <w:tc>
          <w:tcPr>
            <w:tcW w:w="166" w:type="dxa"/>
            <w:tcBorders/>
            <w:shd w:fill="auto" w:val="clear"/>
            <w:vAlign w:val="center"/>
          </w:tcPr>
          <w:p>
            <w:pPr>
              <w:pStyle w:val="TableContents"/>
              <w:spacing w:lineRule="auto" w:line="252" w:before="0" w:after="0"/>
              <w:ind w:left="0" w:right="0" w:hanging="0"/>
              <w:jc w:val="righ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095" w:type="dxa"/>
            <w:gridSpan w:val="2"/>
            <w:tcBorders/>
            <w:shd w:fill="auto" w:val="clear"/>
            <w:vAlign w:val="center"/>
          </w:tcPr>
          <w:p>
            <w:pPr>
              <w:pStyle w:val="TableContents"/>
              <w:spacing w:lineRule="auto" w:line="252" w:before="0" w:after="0"/>
              <w:ind w:left="0" w:right="0" w:hanging="0"/>
              <w:jc w:val="right"/>
              <w:rPr/>
            </w:pPr>
            <w:r>
              <w:rPr/>
              <w:t> </w:t>
            </w:r>
          </w:p>
        </w:tc>
        <w:tc>
          <w:tcPr>
            <w:tcW w:w="391" w:type="dxa"/>
            <w:tcBorders/>
            <w:shd w:fill="auto" w:val="clear"/>
            <w:vAlign w:val="center"/>
          </w:tcPr>
          <w:p>
            <w:pPr>
              <w:pStyle w:val="TableContents"/>
              <w:spacing w:lineRule="auto" w:line="252" w:before="0" w:after="0"/>
              <w:ind w:left="0" w:right="0" w:hanging="0"/>
              <w:jc w:val="right"/>
              <w:rPr/>
            </w:pPr>
            <w:r>
              <w:rPr/>
              <w:t> </w:t>
            </w:r>
          </w:p>
        </w:tc>
      </w:tr>
      <w:tr>
        <w:trPr/>
        <w:tc>
          <w:tcPr>
            <w:tcW w:w="6661" w:type="dxa"/>
            <w:tcBorders/>
            <w:shd w:fill="auto" w:val="clear"/>
            <w:vAlign w:val="center"/>
          </w:tcPr>
          <w:p>
            <w:pPr>
              <w:pStyle w:val="TableContents"/>
              <w:spacing w:lineRule="auto" w:line="252" w:before="0" w:after="0"/>
              <w:ind w:left="0" w:right="0" w:hanging="0"/>
              <w:jc w:val="left"/>
              <w:rPr>
                <w:rFonts w:ascii="Times New Roman" w:hAnsi="Times New Roman"/>
                <w:b/>
                <w:sz w:val="16"/>
              </w:rPr>
            </w:pPr>
            <w:r>
              <w:rPr>
                <w:rFonts w:ascii="Times New Roman" w:hAnsi="Times New Roman"/>
                <w:b/>
                <w:sz w:val="16"/>
              </w:rPr>
              <w:t>Current liabilities:</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947" w:type="dxa"/>
            <w:gridSpan w:val="2"/>
            <w:tcBorders/>
            <w:shd w:fill="auto" w:val="clear"/>
            <w:vAlign w:val="center"/>
          </w:tcPr>
          <w:p>
            <w:pPr>
              <w:pStyle w:val="TableContents"/>
              <w:spacing w:lineRule="auto" w:line="252" w:before="0" w:after="0"/>
              <w:ind w:left="0" w:right="0" w:hanging="0"/>
              <w:jc w:val="right"/>
              <w:rPr/>
            </w:pPr>
            <w:r>
              <w:rPr/>
              <w:t> </w:t>
            </w:r>
          </w:p>
        </w:tc>
        <w:tc>
          <w:tcPr>
            <w:tcW w:w="166" w:type="dxa"/>
            <w:tcBorders/>
            <w:shd w:fill="auto" w:val="clear"/>
            <w:vAlign w:val="center"/>
          </w:tcPr>
          <w:p>
            <w:pPr>
              <w:pStyle w:val="TableContents"/>
              <w:spacing w:lineRule="auto" w:line="252" w:before="0" w:after="0"/>
              <w:ind w:left="0" w:right="0" w:hanging="0"/>
              <w:jc w:val="righ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095" w:type="dxa"/>
            <w:gridSpan w:val="2"/>
            <w:tcBorders/>
            <w:shd w:fill="auto" w:val="clear"/>
            <w:vAlign w:val="center"/>
          </w:tcPr>
          <w:p>
            <w:pPr>
              <w:pStyle w:val="TableContents"/>
              <w:spacing w:lineRule="auto" w:line="252" w:before="0" w:after="0"/>
              <w:ind w:left="0" w:right="0" w:hanging="0"/>
              <w:jc w:val="right"/>
              <w:rPr/>
            </w:pPr>
            <w:r>
              <w:rPr/>
              <w:t> </w:t>
            </w:r>
          </w:p>
        </w:tc>
        <w:tc>
          <w:tcPr>
            <w:tcW w:w="391" w:type="dxa"/>
            <w:tcBorders/>
            <w:shd w:fill="auto" w:val="clear"/>
            <w:vAlign w:val="center"/>
          </w:tcPr>
          <w:p>
            <w:pPr>
              <w:pStyle w:val="TableContents"/>
              <w:spacing w:lineRule="auto" w:line="252" w:before="0" w:after="0"/>
              <w:ind w:left="0" w:right="0" w:firstLine="200"/>
              <w:jc w:val="right"/>
              <w:rPr/>
            </w:pPr>
            <w:r>
              <w:rPr/>
              <w:t> </w:t>
            </w:r>
          </w:p>
        </w:tc>
      </w:tr>
      <w:tr>
        <w:trPr/>
        <w:tc>
          <w:tcPr>
            <w:tcW w:w="6661" w:type="dxa"/>
            <w:tcBorders/>
            <w:shd w:fill="auto" w:val="clear"/>
            <w:vAlign w:val="center"/>
          </w:tcPr>
          <w:p>
            <w:pPr>
              <w:pStyle w:val="TableContents"/>
              <w:spacing w:lineRule="auto" w:line="252" w:before="0" w:after="0"/>
              <w:ind w:left="200" w:right="0" w:hanging="0"/>
              <w:jc w:val="left"/>
              <w:rPr>
                <w:rFonts w:ascii="Times New Roman" w:hAnsi="Times New Roman"/>
                <w:b w:val="false"/>
                <w:sz w:val="16"/>
              </w:rPr>
            </w:pPr>
            <w:r>
              <w:rPr>
                <w:rFonts w:ascii="Times New Roman" w:hAnsi="Times New Roman"/>
                <w:b w:val="false"/>
                <w:sz w:val="16"/>
              </w:rPr>
              <w:t>Accounts payable</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96" w:type="dxa"/>
            <w:tcBorders/>
            <w:shd w:fill="auto" w:val="clear"/>
            <w:vAlign w:val="center"/>
          </w:tcPr>
          <w:p>
            <w:pPr>
              <w:pStyle w:val="TableContents"/>
              <w:spacing w:lineRule="auto" w:line="252" w:before="0" w:after="0"/>
              <w:ind w:left="0" w:right="0" w:hanging="0"/>
              <w:jc w:val="left"/>
              <w:rPr>
                <w:rFonts w:ascii="Times New Roman" w:hAnsi="Times New Roman"/>
                <w:b w:val="false"/>
                <w:sz w:val="16"/>
              </w:rPr>
            </w:pPr>
            <w:r>
              <w:rPr>
                <w:rFonts w:ascii="Times New Roman" w:hAnsi="Times New Roman"/>
                <w:b w:val="false"/>
                <w:sz w:val="16"/>
              </w:rPr>
              <w:t>$</w:t>
            </w:r>
          </w:p>
        </w:tc>
        <w:tc>
          <w:tcPr>
            <w:tcW w:w="751" w:type="dxa"/>
            <w:tcBorders/>
            <w:shd w:fill="auto" w:val="clear"/>
            <w:vAlign w:val="center"/>
          </w:tcPr>
          <w:p>
            <w:pPr>
              <w:pStyle w:val="TableContents"/>
              <w:spacing w:lineRule="auto" w:line="252" w:before="0" w:after="0"/>
              <w:ind w:left="0" w:right="0" w:hanging="0"/>
              <w:jc w:val="right"/>
              <w:rPr>
                <w:rFonts w:ascii="Times New Roman" w:hAnsi="Times New Roman"/>
                <w:b w:val="false"/>
                <w:sz w:val="16"/>
              </w:rPr>
            </w:pPr>
            <w:r>
              <w:rPr>
                <w:rFonts w:ascii="Times New Roman" w:hAnsi="Times New Roman"/>
                <w:b w:val="false"/>
                <w:sz w:val="16"/>
              </w:rPr>
              <w:t>701</w:t>
            </w:r>
          </w:p>
        </w:tc>
        <w:tc>
          <w:tcPr>
            <w:tcW w:w="166" w:type="dxa"/>
            <w:tcBorders/>
            <w:shd w:fill="auto" w:val="cle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226" w:type="dxa"/>
            <w:tcBorders/>
            <w:shd w:fill="auto" w:val="clear"/>
            <w:vAlign w:val="center"/>
          </w:tcPr>
          <w:p>
            <w:pPr>
              <w:pStyle w:val="TableContents"/>
              <w:spacing w:lineRule="auto" w:line="252" w:before="0" w:after="0"/>
              <w:ind w:left="0" w:right="0" w:hanging="0"/>
              <w:jc w:val="left"/>
              <w:rPr>
                <w:rFonts w:ascii="Times New Roman" w:hAnsi="Times New Roman"/>
                <w:b w:val="false"/>
                <w:sz w:val="16"/>
              </w:rPr>
            </w:pPr>
            <w:r>
              <w:rPr>
                <w:rFonts w:ascii="Times New Roman" w:hAnsi="Times New Roman"/>
                <w:b w:val="false"/>
                <w:sz w:val="16"/>
              </w:rPr>
              <w:t>$</w:t>
            </w:r>
          </w:p>
        </w:tc>
        <w:tc>
          <w:tcPr>
            <w:tcW w:w="869" w:type="dxa"/>
            <w:tcBorders/>
            <w:shd w:fill="auto" w:val="clear"/>
            <w:vAlign w:val="center"/>
          </w:tcPr>
          <w:p>
            <w:pPr>
              <w:pStyle w:val="TableContents"/>
              <w:spacing w:lineRule="auto" w:line="252" w:before="0" w:after="0"/>
              <w:ind w:left="0" w:right="0" w:hanging="0"/>
              <w:jc w:val="right"/>
              <w:rPr>
                <w:rFonts w:ascii="Times New Roman" w:hAnsi="Times New Roman"/>
                <w:b w:val="false"/>
                <w:sz w:val="16"/>
              </w:rPr>
            </w:pPr>
            <w:r>
              <w:rPr>
                <w:rFonts w:ascii="Times New Roman" w:hAnsi="Times New Roman"/>
                <w:b w:val="false"/>
                <w:sz w:val="16"/>
              </w:rPr>
              <w:t>1,744</w:t>
            </w:r>
          </w:p>
        </w:tc>
        <w:tc>
          <w:tcPr>
            <w:tcW w:w="391" w:type="dxa"/>
            <w:tcBorders/>
            <w:shd w:fill="auto" w:val="clear"/>
            <w:vAlign w:val="center"/>
          </w:tcPr>
          <w:p>
            <w:pPr>
              <w:pStyle w:val="TableContents"/>
              <w:spacing w:lineRule="auto" w:line="252" w:before="0" w:after="0"/>
              <w:ind w:left="0" w:right="0" w:firstLine="200"/>
              <w:jc w:val="left"/>
              <w:rPr/>
            </w:pPr>
            <w:r>
              <w:rPr/>
              <w:t> </w:t>
            </w:r>
          </w:p>
        </w:tc>
      </w:tr>
      <w:tr>
        <w:trPr/>
        <w:tc>
          <w:tcPr>
            <w:tcW w:w="6661" w:type="dxa"/>
            <w:tcBorders/>
            <w:shd w:fill="auto" w:val="clear"/>
            <w:vAlign w:val="center"/>
          </w:tcPr>
          <w:p>
            <w:pPr>
              <w:pStyle w:val="TableContents"/>
              <w:spacing w:lineRule="auto" w:line="252" w:before="0" w:after="0"/>
              <w:ind w:left="200" w:right="0" w:hanging="0"/>
              <w:jc w:val="left"/>
              <w:rPr>
                <w:rFonts w:ascii="Times New Roman" w:hAnsi="Times New Roman"/>
                <w:b w:val="false"/>
                <w:sz w:val="16"/>
              </w:rPr>
            </w:pPr>
            <w:r>
              <w:rPr>
                <w:rFonts w:ascii="Times New Roman" w:hAnsi="Times New Roman"/>
                <w:b w:val="false"/>
                <w:sz w:val="16"/>
              </w:rPr>
              <w:t>Accrued expenses and other current liabilities</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96" w:type="dxa"/>
            <w:tcBorders/>
            <w:shd w:fill="auto" w:val="clear"/>
            <w:vAlign w:val="center"/>
          </w:tcPr>
          <w:p>
            <w:pPr>
              <w:pStyle w:val="TableContents"/>
              <w:spacing w:lineRule="auto" w:line="252" w:before="0" w:after="0"/>
              <w:ind w:left="0" w:right="0" w:hanging="0"/>
              <w:jc w:val="left"/>
              <w:rPr/>
            </w:pPr>
            <w:r>
              <w:rPr/>
              <w:t> </w:t>
            </w:r>
          </w:p>
        </w:tc>
        <w:tc>
          <w:tcPr>
            <w:tcW w:w="751" w:type="dxa"/>
            <w:tcBorders/>
            <w:shd w:fill="auto" w:val="clear"/>
            <w:vAlign w:val="center"/>
          </w:tcPr>
          <w:p>
            <w:pPr>
              <w:pStyle w:val="TableContents"/>
              <w:spacing w:lineRule="auto" w:line="252" w:before="0" w:after="0"/>
              <w:ind w:left="0" w:right="0" w:hanging="0"/>
              <w:jc w:val="right"/>
              <w:rPr>
                <w:rFonts w:ascii="Times New Roman" w:hAnsi="Times New Roman"/>
                <w:b w:val="false"/>
                <w:sz w:val="16"/>
              </w:rPr>
            </w:pPr>
            <w:r>
              <w:rPr>
                <w:rFonts w:ascii="Times New Roman" w:hAnsi="Times New Roman"/>
                <w:b w:val="false"/>
                <w:sz w:val="16"/>
              </w:rPr>
              <w:t>7,304</w:t>
            </w:r>
          </w:p>
        </w:tc>
        <w:tc>
          <w:tcPr>
            <w:tcW w:w="166" w:type="dxa"/>
            <w:tcBorders/>
            <w:shd w:fill="auto" w:val="cle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226" w:type="dxa"/>
            <w:tcBorders/>
            <w:shd w:fill="auto" w:val="clear"/>
            <w:vAlign w:val="center"/>
          </w:tcPr>
          <w:p>
            <w:pPr>
              <w:pStyle w:val="TableContents"/>
              <w:spacing w:lineRule="auto" w:line="252" w:before="0" w:after="0"/>
              <w:ind w:left="0" w:right="0" w:hanging="0"/>
              <w:jc w:val="left"/>
              <w:rPr/>
            </w:pPr>
            <w:r>
              <w:rPr/>
              <w:t> </w:t>
            </w:r>
          </w:p>
        </w:tc>
        <w:tc>
          <w:tcPr>
            <w:tcW w:w="869" w:type="dxa"/>
            <w:tcBorders/>
            <w:shd w:fill="auto" w:val="clear"/>
            <w:vAlign w:val="center"/>
          </w:tcPr>
          <w:p>
            <w:pPr>
              <w:pStyle w:val="TableContents"/>
              <w:spacing w:lineRule="auto" w:line="252" w:before="0" w:after="0"/>
              <w:ind w:left="0" w:right="0" w:hanging="0"/>
              <w:jc w:val="right"/>
              <w:rPr>
                <w:rFonts w:ascii="Times New Roman" w:hAnsi="Times New Roman"/>
                <w:b w:val="false"/>
                <w:sz w:val="16"/>
              </w:rPr>
            </w:pPr>
            <w:r>
              <w:rPr>
                <w:rFonts w:ascii="Times New Roman" w:hAnsi="Times New Roman"/>
                <w:b w:val="false"/>
                <w:sz w:val="16"/>
              </w:rPr>
              <w:t>6,709</w:t>
            </w:r>
          </w:p>
        </w:tc>
        <w:tc>
          <w:tcPr>
            <w:tcW w:w="391" w:type="dxa"/>
            <w:tcBorders/>
            <w:shd w:fill="auto" w:val="clear"/>
            <w:vAlign w:val="center"/>
          </w:tcPr>
          <w:p>
            <w:pPr>
              <w:pStyle w:val="TableContents"/>
              <w:spacing w:lineRule="auto" w:line="252" w:before="0" w:after="0"/>
              <w:ind w:left="0" w:right="0" w:firstLine="200"/>
              <w:jc w:val="left"/>
              <w:rPr/>
            </w:pPr>
            <w:r>
              <w:rPr/>
              <w:t> </w:t>
            </w:r>
          </w:p>
        </w:tc>
      </w:tr>
      <w:tr>
        <w:trPr/>
        <w:tc>
          <w:tcPr>
            <w:tcW w:w="6661" w:type="dxa"/>
            <w:tcBorders/>
            <w:shd w:fill="auto" w:val="clear"/>
            <w:vAlign w:val="center"/>
          </w:tcPr>
          <w:p>
            <w:pPr>
              <w:pStyle w:val="TableContents"/>
              <w:spacing w:lineRule="auto" w:line="252" w:before="0" w:after="0"/>
              <w:ind w:left="200" w:right="0" w:hanging="0"/>
              <w:jc w:val="left"/>
              <w:rPr>
                <w:rFonts w:ascii="Times New Roman" w:hAnsi="Times New Roman"/>
                <w:b w:val="false"/>
                <w:sz w:val="16"/>
              </w:rPr>
            </w:pPr>
            <w:r>
              <w:rPr>
                <w:rFonts w:ascii="Times New Roman" w:hAnsi="Times New Roman"/>
                <w:b w:val="false"/>
                <w:sz w:val="16"/>
              </w:rPr>
              <w:t>Current portion of operating lease liabilities</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96"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c>
          <w:tcPr>
            <w:tcW w:w="751"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right"/>
              <w:rPr>
                <w:rFonts w:ascii="Times New Roman" w:hAnsi="Times New Roman"/>
                <w:b w:val="false"/>
                <w:sz w:val="16"/>
              </w:rPr>
            </w:pPr>
            <w:r>
              <w:rPr>
                <w:rFonts w:ascii="Times New Roman" w:hAnsi="Times New Roman"/>
                <w:b w:val="false"/>
                <w:sz w:val="16"/>
              </w:rPr>
              <w:t>171</w:t>
            </w:r>
          </w:p>
        </w:tc>
        <w:tc>
          <w:tcPr>
            <w:tcW w:w="166"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226"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c>
          <w:tcPr>
            <w:tcW w:w="869"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right"/>
              <w:rPr>
                <w:rFonts w:ascii="Times New Roman" w:hAnsi="Times New Roman"/>
                <w:b w:val="false"/>
                <w:sz w:val="16"/>
              </w:rPr>
            </w:pPr>
            <w:r>
              <w:rPr>
                <w:rFonts w:ascii="Times New Roman" w:hAnsi="Times New Roman"/>
                <w:b w:val="false"/>
                <w:sz w:val="16"/>
              </w:rPr>
              <w:t>204</w:t>
            </w:r>
          </w:p>
        </w:tc>
        <w:tc>
          <w:tcPr>
            <w:tcW w:w="391"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firstLine="200"/>
              <w:jc w:val="left"/>
              <w:rPr/>
            </w:pPr>
            <w:r>
              <w:rPr/>
              <w:t> </w:t>
            </w:r>
          </w:p>
        </w:tc>
      </w:tr>
      <w:tr>
        <w:trPr/>
        <w:tc>
          <w:tcPr>
            <w:tcW w:w="6661" w:type="dxa"/>
            <w:tcBorders/>
            <w:shd w:fill="auto" w:val="clear"/>
            <w:vAlign w:val="center"/>
          </w:tcPr>
          <w:p>
            <w:pPr>
              <w:pStyle w:val="TableContents"/>
              <w:spacing w:lineRule="auto" w:line="252" w:before="0" w:after="0"/>
              <w:ind w:left="200" w:right="0" w:hanging="0"/>
              <w:jc w:val="left"/>
              <w:rPr>
                <w:rFonts w:ascii="Times New Roman" w:hAnsi="Times New Roman"/>
                <w:b/>
                <w:sz w:val="16"/>
              </w:rPr>
            </w:pPr>
            <w:r>
              <w:rPr>
                <w:rFonts w:ascii="Times New Roman" w:hAnsi="Times New Roman"/>
                <w:b/>
                <w:sz w:val="16"/>
              </w:rPr>
              <w:t>Total current liabilities</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96"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c>
          <w:tcPr>
            <w:tcW w:w="751"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right"/>
              <w:rPr>
                <w:rFonts w:ascii="Times New Roman" w:hAnsi="Times New Roman"/>
                <w:b w:val="false"/>
                <w:sz w:val="16"/>
              </w:rPr>
            </w:pPr>
            <w:r>
              <w:rPr>
                <w:rFonts w:ascii="Times New Roman" w:hAnsi="Times New Roman"/>
                <w:b w:val="false"/>
                <w:sz w:val="16"/>
              </w:rPr>
              <w:t>8,176</w:t>
            </w:r>
          </w:p>
        </w:tc>
        <w:tc>
          <w:tcPr>
            <w:tcW w:w="166"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226"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c>
          <w:tcPr>
            <w:tcW w:w="869"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right"/>
              <w:rPr>
                <w:rFonts w:ascii="Times New Roman" w:hAnsi="Times New Roman"/>
                <w:b w:val="false"/>
                <w:sz w:val="16"/>
              </w:rPr>
            </w:pPr>
            <w:r>
              <w:rPr>
                <w:rFonts w:ascii="Times New Roman" w:hAnsi="Times New Roman"/>
                <w:b w:val="false"/>
                <w:sz w:val="16"/>
              </w:rPr>
              <w:t>8,657</w:t>
            </w:r>
          </w:p>
        </w:tc>
        <w:tc>
          <w:tcPr>
            <w:tcW w:w="391"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r>
      <w:tr>
        <w:trPr/>
        <w:tc>
          <w:tcPr>
            <w:tcW w:w="6661" w:type="dxa"/>
            <w:tcBorders/>
            <w:shd w:fill="auto" w:val="clear"/>
            <w:vAlign w:val="center"/>
          </w:tcPr>
          <w:p>
            <w:pPr>
              <w:pStyle w:val="TableContents"/>
              <w:spacing w:lineRule="auto" w:line="252" w:before="0" w:after="0"/>
              <w:ind w:left="0" w:right="0" w:hanging="0"/>
              <w:jc w:val="left"/>
              <w:rPr>
                <w:rFonts w:ascii="Times New Roman" w:hAnsi="Times New Roman"/>
                <w:b w:val="false"/>
                <w:sz w:val="16"/>
              </w:rPr>
            </w:pPr>
            <w:r>
              <w:rPr>
                <w:rFonts w:ascii="Times New Roman" w:hAnsi="Times New Roman"/>
                <w:b w:val="false"/>
                <w:sz w:val="16"/>
              </w:rPr>
              <w:t>Operating lease liabilities, long-term</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96"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c>
          <w:tcPr>
            <w:tcW w:w="751"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right"/>
              <w:rPr/>
            </w:pPr>
            <w:r>
              <w:rPr/>
              <w:t>—</w:t>
            </w:r>
          </w:p>
        </w:tc>
        <w:tc>
          <w:tcPr>
            <w:tcW w:w="166"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226"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c>
          <w:tcPr>
            <w:tcW w:w="869"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right"/>
              <w:rPr>
                <w:rFonts w:ascii="Times New Roman" w:hAnsi="Times New Roman"/>
                <w:b w:val="false"/>
                <w:sz w:val="16"/>
              </w:rPr>
            </w:pPr>
            <w:r>
              <w:rPr>
                <w:rFonts w:ascii="Times New Roman" w:hAnsi="Times New Roman"/>
                <w:b w:val="false"/>
                <w:sz w:val="16"/>
              </w:rPr>
              <w:t>16</w:t>
            </w:r>
          </w:p>
        </w:tc>
        <w:tc>
          <w:tcPr>
            <w:tcW w:w="391"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firstLine="200"/>
              <w:jc w:val="left"/>
              <w:rPr/>
            </w:pPr>
            <w:r>
              <w:rPr/>
              <w:t> </w:t>
            </w:r>
          </w:p>
        </w:tc>
      </w:tr>
      <w:tr>
        <w:trPr/>
        <w:tc>
          <w:tcPr>
            <w:tcW w:w="6661" w:type="dxa"/>
            <w:tcBorders/>
            <w:shd w:fill="auto" w:val="clear"/>
            <w:vAlign w:val="center"/>
          </w:tcPr>
          <w:p>
            <w:pPr>
              <w:pStyle w:val="TableContents"/>
              <w:spacing w:lineRule="auto" w:line="252" w:before="0" w:after="0"/>
              <w:ind w:left="200" w:right="0" w:hanging="0"/>
              <w:jc w:val="left"/>
              <w:rPr>
                <w:rFonts w:ascii="Times New Roman" w:hAnsi="Times New Roman"/>
                <w:b/>
                <w:sz w:val="16"/>
              </w:rPr>
            </w:pPr>
            <w:r>
              <w:rPr>
                <w:rFonts w:ascii="Times New Roman" w:hAnsi="Times New Roman"/>
                <w:b/>
                <w:sz w:val="16"/>
              </w:rPr>
              <w:t>Total liabilities</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96"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c>
          <w:tcPr>
            <w:tcW w:w="751"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right"/>
              <w:rPr>
                <w:rFonts w:ascii="Times New Roman" w:hAnsi="Times New Roman"/>
                <w:b w:val="false"/>
                <w:sz w:val="16"/>
              </w:rPr>
            </w:pPr>
            <w:r>
              <w:rPr>
                <w:rFonts w:ascii="Times New Roman" w:hAnsi="Times New Roman"/>
                <w:b w:val="false"/>
                <w:sz w:val="16"/>
              </w:rPr>
              <w:t>8,176</w:t>
            </w:r>
          </w:p>
        </w:tc>
        <w:tc>
          <w:tcPr>
            <w:tcW w:w="166"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226"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c>
          <w:tcPr>
            <w:tcW w:w="869"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right"/>
              <w:rPr>
                <w:rFonts w:ascii="Times New Roman" w:hAnsi="Times New Roman"/>
                <w:b w:val="false"/>
                <w:sz w:val="16"/>
              </w:rPr>
            </w:pPr>
            <w:r>
              <w:rPr>
                <w:rFonts w:ascii="Times New Roman" w:hAnsi="Times New Roman"/>
                <w:b w:val="false"/>
                <w:sz w:val="16"/>
              </w:rPr>
              <w:t>8,673</w:t>
            </w:r>
          </w:p>
        </w:tc>
        <w:tc>
          <w:tcPr>
            <w:tcW w:w="391"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firstLine="200"/>
              <w:jc w:val="left"/>
              <w:rPr/>
            </w:pPr>
            <w:r>
              <w:rPr/>
              <w:t> </w:t>
            </w:r>
          </w:p>
        </w:tc>
      </w:tr>
      <w:tr>
        <w:trPr/>
        <w:tc>
          <w:tcPr>
            <w:tcW w:w="6661" w:type="dxa"/>
            <w:tcBorders/>
            <w:shd w:fill="auto" w:val="clear"/>
            <w:vAlign w:val="center"/>
          </w:tcPr>
          <w:p>
            <w:pPr>
              <w:pStyle w:val="TableContents"/>
              <w:spacing w:lineRule="auto" w:line="252" w:before="0" w:after="0"/>
              <w:ind w:left="200" w:right="0" w:hanging="0"/>
              <w:jc w:val="left"/>
              <w:rPr>
                <w:rFonts w:ascii="Times New Roman" w:hAnsi="Times New Roman"/>
                <w:b w:val="false"/>
                <w:sz w:val="16"/>
              </w:rPr>
            </w:pPr>
            <w:r>
              <w:rPr>
                <w:rFonts w:ascii="Times New Roman" w:hAnsi="Times New Roman"/>
                <w:b w:val="false"/>
                <w:sz w:val="16"/>
              </w:rPr>
              <w:t>Commitments and contingencies (Note 6)</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947" w:type="dxa"/>
            <w:gridSpan w:val="2"/>
            <w:tcBorders/>
            <w:shd w:fill="auto" w:val="clear"/>
            <w:vAlign w:val="center"/>
          </w:tcPr>
          <w:p>
            <w:pPr>
              <w:pStyle w:val="TableContents"/>
              <w:spacing w:lineRule="auto" w:line="252" w:before="0" w:after="0"/>
              <w:ind w:left="0" w:right="0" w:hanging="0"/>
              <w:jc w:val="right"/>
              <w:rPr/>
            </w:pPr>
            <w:r>
              <w:rPr/>
              <w:t> </w:t>
            </w:r>
          </w:p>
        </w:tc>
        <w:tc>
          <w:tcPr>
            <w:tcW w:w="166" w:type="dxa"/>
            <w:tcBorders/>
            <w:shd w:fill="auto" w:val="clear"/>
            <w:vAlign w:val="center"/>
          </w:tcPr>
          <w:p>
            <w:pPr>
              <w:pStyle w:val="TableContents"/>
              <w:spacing w:lineRule="auto" w:line="252" w:before="0" w:after="0"/>
              <w:ind w:left="0" w:right="0" w:hanging="0"/>
              <w:jc w:val="righ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095" w:type="dxa"/>
            <w:gridSpan w:val="2"/>
            <w:tcBorders/>
            <w:shd w:fill="auto" w:val="clear"/>
            <w:vAlign w:val="center"/>
          </w:tcPr>
          <w:p>
            <w:pPr>
              <w:pStyle w:val="TableContents"/>
              <w:spacing w:lineRule="auto" w:line="252" w:before="0" w:after="0"/>
              <w:ind w:left="0" w:right="0" w:hanging="0"/>
              <w:jc w:val="right"/>
              <w:rPr/>
            </w:pPr>
            <w:r>
              <w:rPr/>
              <w:t> </w:t>
            </w:r>
          </w:p>
        </w:tc>
        <w:tc>
          <w:tcPr>
            <w:tcW w:w="391" w:type="dxa"/>
            <w:tcBorders/>
            <w:shd w:fill="auto" w:val="clear"/>
            <w:vAlign w:val="center"/>
          </w:tcPr>
          <w:p>
            <w:pPr>
              <w:pStyle w:val="TableContents"/>
              <w:spacing w:lineRule="auto" w:line="252" w:before="0" w:after="0"/>
              <w:ind w:left="0" w:right="0" w:hanging="0"/>
              <w:jc w:val="right"/>
              <w:rPr/>
            </w:pPr>
            <w:r>
              <w:rPr/>
              <w:t> </w:t>
            </w:r>
          </w:p>
        </w:tc>
      </w:tr>
      <w:tr>
        <w:trPr/>
        <w:tc>
          <w:tcPr>
            <w:tcW w:w="6661" w:type="dxa"/>
            <w:tcBorders/>
            <w:shd w:fill="auto" w:val="clear"/>
            <w:vAlign w:val="center"/>
          </w:tcPr>
          <w:p>
            <w:pPr>
              <w:pStyle w:val="TableContents"/>
              <w:spacing w:lineRule="auto" w:line="252" w:before="0" w:after="0"/>
              <w:ind w:left="0" w:right="0" w:hanging="0"/>
              <w:jc w:val="left"/>
              <w:rPr>
                <w:rFonts w:ascii="Times New Roman" w:hAnsi="Times New Roman"/>
                <w:b/>
                <w:sz w:val="16"/>
              </w:rPr>
            </w:pPr>
            <w:r>
              <w:rPr>
                <w:rFonts w:ascii="Times New Roman" w:hAnsi="Times New Roman"/>
                <w:b/>
                <w:sz w:val="16"/>
              </w:rPr>
              <w:t>Stockholders’ equity</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947" w:type="dxa"/>
            <w:gridSpan w:val="2"/>
            <w:tcBorders/>
            <w:shd w:fill="auto" w:val="clear"/>
            <w:vAlign w:val="center"/>
          </w:tcPr>
          <w:p>
            <w:pPr>
              <w:pStyle w:val="TableContents"/>
              <w:spacing w:lineRule="auto" w:line="252" w:before="0" w:after="0"/>
              <w:ind w:left="0" w:right="0" w:hanging="0"/>
              <w:jc w:val="right"/>
              <w:rPr/>
            </w:pPr>
            <w:r>
              <w:rPr/>
              <w:t> </w:t>
            </w:r>
          </w:p>
        </w:tc>
        <w:tc>
          <w:tcPr>
            <w:tcW w:w="166" w:type="dxa"/>
            <w:tcBorders/>
            <w:shd w:fill="auto" w:val="clear"/>
            <w:vAlign w:val="center"/>
          </w:tcPr>
          <w:p>
            <w:pPr>
              <w:pStyle w:val="TableContents"/>
              <w:spacing w:lineRule="auto" w:line="252" w:before="0" w:after="0"/>
              <w:ind w:left="0" w:right="0" w:hanging="0"/>
              <w:jc w:val="righ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095" w:type="dxa"/>
            <w:gridSpan w:val="2"/>
            <w:tcBorders/>
            <w:shd w:fill="auto" w:val="clear"/>
            <w:vAlign w:val="center"/>
          </w:tcPr>
          <w:p>
            <w:pPr>
              <w:pStyle w:val="TableContents"/>
              <w:spacing w:lineRule="auto" w:line="252" w:before="0" w:after="0"/>
              <w:ind w:left="0" w:right="0" w:hanging="0"/>
              <w:jc w:val="right"/>
              <w:rPr/>
            </w:pPr>
            <w:r>
              <w:rPr/>
              <w:t> </w:t>
            </w:r>
          </w:p>
        </w:tc>
        <w:tc>
          <w:tcPr>
            <w:tcW w:w="391" w:type="dxa"/>
            <w:tcBorders/>
            <w:shd w:fill="auto" w:val="clear"/>
            <w:vAlign w:val="center"/>
          </w:tcPr>
          <w:p>
            <w:pPr>
              <w:pStyle w:val="TableContents"/>
              <w:spacing w:lineRule="auto" w:line="252" w:before="0" w:after="0"/>
              <w:ind w:left="0" w:right="0" w:firstLine="200"/>
              <w:jc w:val="right"/>
              <w:rPr/>
            </w:pPr>
            <w:r>
              <w:rPr/>
              <w:t> </w:t>
            </w:r>
          </w:p>
        </w:tc>
      </w:tr>
      <w:tr>
        <w:trPr/>
        <w:tc>
          <w:tcPr>
            <w:tcW w:w="6661" w:type="dxa"/>
            <w:tcBorders/>
            <w:shd w:fill="auto" w:val="clear"/>
            <w:vAlign w:val="center"/>
          </w:tcPr>
          <w:p>
            <w:pPr>
              <w:pStyle w:val="TableContents"/>
              <w:spacing w:lineRule="auto" w:line="252" w:before="0" w:after="0"/>
              <w:ind w:left="200" w:right="0" w:hanging="0"/>
              <w:jc w:val="left"/>
              <w:rPr>
                <w:rFonts w:ascii="Times New Roman" w:hAnsi="Times New Roman"/>
                <w:sz w:val="20"/>
              </w:rPr>
            </w:pPr>
            <w:r>
              <w:rPr>
                <w:rFonts w:ascii="Times New Roman" w:hAnsi="Times New Roman"/>
                <w:b w:val="false"/>
                <w:sz w:val="16"/>
              </w:rPr>
              <w:t>Common stock, $0.0001</w:t>
            </w:r>
            <w:r>
              <w:rPr>
                <w:rFonts w:ascii="Times New Roman" w:hAnsi="Times New Roman"/>
                <w:sz w:val="20"/>
              </w:rPr>
              <w:t> </w:t>
            </w:r>
            <w:r>
              <w:rPr>
                <w:rFonts w:ascii="Times New Roman" w:hAnsi="Times New Roman"/>
                <w:b w:val="false"/>
                <w:sz w:val="16"/>
              </w:rPr>
              <w:t>par value; 500,000,000</w:t>
            </w:r>
            <w:r>
              <w:rPr>
                <w:rFonts w:ascii="Times New Roman" w:hAnsi="Times New Roman"/>
                <w:sz w:val="20"/>
              </w:rPr>
              <w:t> </w:t>
            </w:r>
            <w:r>
              <w:rPr>
                <w:rFonts w:ascii="Times New Roman" w:hAnsi="Times New Roman"/>
                <w:b w:val="false"/>
                <w:sz w:val="16"/>
              </w:rPr>
              <w:t xml:space="preserve">shares authorized as of March 31, 2022 and </w:t>
              <w:br/>
              <w:t>   December 31, 2021; 61,911,929</w:t>
            </w:r>
            <w:r>
              <w:rPr>
                <w:rFonts w:ascii="Times New Roman" w:hAnsi="Times New Roman"/>
                <w:sz w:val="20"/>
              </w:rPr>
              <w:t> </w:t>
            </w:r>
            <w:r>
              <w:rPr>
                <w:rFonts w:ascii="Times New Roman" w:hAnsi="Times New Roman"/>
                <w:b w:val="false"/>
                <w:sz w:val="16"/>
              </w:rPr>
              <w:t>and 61,952,292</w:t>
            </w:r>
            <w:r>
              <w:rPr>
                <w:rFonts w:ascii="Times New Roman" w:hAnsi="Times New Roman"/>
                <w:sz w:val="20"/>
              </w:rPr>
              <w:t> </w:t>
            </w:r>
            <w:r>
              <w:rPr>
                <w:rFonts w:ascii="Times New Roman" w:hAnsi="Times New Roman"/>
                <w:b w:val="false"/>
                <w:sz w:val="16"/>
              </w:rPr>
              <w:t xml:space="preserve">shares issued and outstanding as of </w:t>
              <w:br/>
              <w:t>   March 31, 2022 and December 31, 2021, respectively</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96" w:type="dxa"/>
            <w:tcBorders/>
            <w:shd w:fill="auto" w:val="clear"/>
            <w:vAlign w:val="center"/>
          </w:tcPr>
          <w:p>
            <w:pPr>
              <w:pStyle w:val="TableContents"/>
              <w:spacing w:lineRule="auto" w:line="252" w:before="0" w:after="0"/>
              <w:ind w:left="0" w:right="0" w:hanging="0"/>
              <w:jc w:val="left"/>
              <w:rPr/>
            </w:pPr>
            <w:r>
              <w:rPr/>
              <w:t> </w:t>
            </w:r>
          </w:p>
        </w:tc>
        <w:tc>
          <w:tcPr>
            <w:tcW w:w="751" w:type="dxa"/>
            <w:tcBorders/>
            <w:shd w:fill="auto" w:val="clear"/>
            <w:vAlign w:val="center"/>
          </w:tcPr>
          <w:p>
            <w:pPr>
              <w:pStyle w:val="TableContents"/>
              <w:spacing w:lineRule="auto" w:line="252" w:before="0" w:after="0"/>
              <w:ind w:left="0" w:right="0" w:hanging="0"/>
              <w:jc w:val="right"/>
              <w:rPr>
                <w:rFonts w:ascii="Times New Roman" w:hAnsi="Times New Roman"/>
                <w:b w:val="false"/>
                <w:sz w:val="16"/>
              </w:rPr>
            </w:pPr>
            <w:r>
              <w:rPr>
                <w:rFonts w:ascii="Times New Roman" w:hAnsi="Times New Roman"/>
                <w:b w:val="false"/>
                <w:sz w:val="16"/>
              </w:rPr>
              <w:t>6</w:t>
            </w:r>
          </w:p>
        </w:tc>
        <w:tc>
          <w:tcPr>
            <w:tcW w:w="166" w:type="dxa"/>
            <w:tcBorders/>
            <w:shd w:fill="auto" w:val="cle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226" w:type="dxa"/>
            <w:tcBorders/>
            <w:shd w:fill="auto" w:val="clear"/>
            <w:vAlign w:val="center"/>
          </w:tcPr>
          <w:p>
            <w:pPr>
              <w:pStyle w:val="TableContents"/>
              <w:spacing w:lineRule="auto" w:line="252" w:before="0" w:after="0"/>
              <w:ind w:left="0" w:right="0" w:hanging="0"/>
              <w:jc w:val="left"/>
              <w:rPr/>
            </w:pPr>
            <w:r>
              <w:rPr/>
              <w:t> </w:t>
            </w:r>
          </w:p>
        </w:tc>
        <w:tc>
          <w:tcPr>
            <w:tcW w:w="869" w:type="dxa"/>
            <w:tcBorders/>
            <w:shd w:fill="auto" w:val="clear"/>
            <w:vAlign w:val="center"/>
          </w:tcPr>
          <w:p>
            <w:pPr>
              <w:pStyle w:val="TableContents"/>
              <w:spacing w:lineRule="auto" w:line="252" w:before="0" w:after="0"/>
              <w:ind w:left="0" w:right="0" w:hanging="0"/>
              <w:jc w:val="right"/>
              <w:rPr>
                <w:rFonts w:ascii="Times New Roman" w:hAnsi="Times New Roman"/>
                <w:b w:val="false"/>
                <w:sz w:val="16"/>
              </w:rPr>
            </w:pPr>
            <w:r>
              <w:rPr>
                <w:rFonts w:ascii="Times New Roman" w:hAnsi="Times New Roman"/>
                <w:b w:val="false"/>
                <w:sz w:val="16"/>
              </w:rPr>
              <w:t>6</w:t>
            </w:r>
          </w:p>
        </w:tc>
        <w:tc>
          <w:tcPr>
            <w:tcW w:w="391" w:type="dxa"/>
            <w:tcBorders/>
            <w:shd w:fill="auto" w:val="clear"/>
            <w:vAlign w:val="center"/>
          </w:tcPr>
          <w:p>
            <w:pPr>
              <w:pStyle w:val="TableContents"/>
              <w:spacing w:lineRule="auto" w:line="252" w:before="0" w:after="0"/>
              <w:ind w:left="0" w:right="0" w:firstLine="200"/>
              <w:jc w:val="left"/>
              <w:rPr/>
            </w:pPr>
            <w:r>
              <w:rPr/>
              <w:t> </w:t>
            </w:r>
          </w:p>
        </w:tc>
      </w:tr>
      <w:tr>
        <w:trPr/>
        <w:tc>
          <w:tcPr>
            <w:tcW w:w="6661" w:type="dxa"/>
            <w:tcBorders/>
            <w:shd w:fill="auto" w:val="clear"/>
            <w:vAlign w:val="center"/>
          </w:tcPr>
          <w:p>
            <w:pPr>
              <w:pStyle w:val="TableContents"/>
              <w:spacing w:lineRule="auto" w:line="252" w:before="0" w:after="0"/>
              <w:ind w:left="200" w:right="0" w:hanging="0"/>
              <w:jc w:val="left"/>
              <w:rPr>
                <w:rFonts w:ascii="Times New Roman" w:hAnsi="Times New Roman"/>
                <w:b w:val="false"/>
                <w:sz w:val="16"/>
              </w:rPr>
            </w:pPr>
            <w:r>
              <w:rPr>
                <w:rFonts w:ascii="Times New Roman" w:hAnsi="Times New Roman"/>
                <w:b w:val="false"/>
                <w:sz w:val="16"/>
              </w:rPr>
              <w:t>Additional paid-in-capital</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96" w:type="dxa"/>
            <w:tcBorders/>
            <w:shd w:fill="auto" w:val="clear"/>
            <w:vAlign w:val="center"/>
          </w:tcPr>
          <w:p>
            <w:pPr>
              <w:pStyle w:val="TableContents"/>
              <w:spacing w:lineRule="auto" w:line="252" w:before="0" w:after="0"/>
              <w:ind w:left="0" w:right="0" w:hanging="0"/>
              <w:jc w:val="left"/>
              <w:rPr/>
            </w:pPr>
            <w:r>
              <w:rPr/>
              <w:t> </w:t>
            </w:r>
          </w:p>
        </w:tc>
        <w:tc>
          <w:tcPr>
            <w:tcW w:w="751" w:type="dxa"/>
            <w:tcBorders/>
            <w:shd w:fill="auto" w:val="clear"/>
            <w:vAlign w:val="center"/>
          </w:tcPr>
          <w:p>
            <w:pPr>
              <w:pStyle w:val="TableContents"/>
              <w:spacing w:lineRule="auto" w:line="252" w:before="0" w:after="0"/>
              <w:ind w:left="0" w:right="0" w:hanging="0"/>
              <w:jc w:val="right"/>
              <w:rPr>
                <w:rFonts w:ascii="Times New Roman" w:hAnsi="Times New Roman"/>
                <w:b w:val="false"/>
                <w:sz w:val="16"/>
              </w:rPr>
            </w:pPr>
            <w:r>
              <w:rPr>
                <w:rFonts w:ascii="Times New Roman" w:hAnsi="Times New Roman"/>
                <w:b w:val="false"/>
                <w:sz w:val="16"/>
              </w:rPr>
              <w:t>414,831</w:t>
            </w:r>
          </w:p>
        </w:tc>
        <w:tc>
          <w:tcPr>
            <w:tcW w:w="166" w:type="dxa"/>
            <w:tcBorders/>
            <w:shd w:fill="auto" w:val="cle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226" w:type="dxa"/>
            <w:tcBorders/>
            <w:shd w:fill="auto" w:val="clear"/>
            <w:vAlign w:val="center"/>
          </w:tcPr>
          <w:p>
            <w:pPr>
              <w:pStyle w:val="TableContents"/>
              <w:spacing w:lineRule="auto" w:line="252" w:before="0" w:after="0"/>
              <w:ind w:left="0" w:right="0" w:hanging="0"/>
              <w:jc w:val="left"/>
              <w:rPr/>
            </w:pPr>
            <w:r>
              <w:rPr/>
              <w:t> </w:t>
            </w:r>
          </w:p>
        </w:tc>
        <w:tc>
          <w:tcPr>
            <w:tcW w:w="869" w:type="dxa"/>
            <w:tcBorders/>
            <w:shd w:fill="auto" w:val="clear"/>
            <w:vAlign w:val="center"/>
          </w:tcPr>
          <w:p>
            <w:pPr>
              <w:pStyle w:val="TableContents"/>
              <w:spacing w:lineRule="auto" w:line="252" w:before="0" w:after="0"/>
              <w:ind w:left="0" w:right="0" w:hanging="0"/>
              <w:jc w:val="right"/>
              <w:rPr>
                <w:rFonts w:ascii="Times New Roman" w:hAnsi="Times New Roman"/>
                <w:b w:val="false"/>
                <w:sz w:val="16"/>
              </w:rPr>
            </w:pPr>
            <w:r>
              <w:rPr>
                <w:rFonts w:ascii="Times New Roman" w:hAnsi="Times New Roman"/>
                <w:b w:val="false"/>
                <w:sz w:val="16"/>
              </w:rPr>
              <w:t>408,629</w:t>
            </w:r>
          </w:p>
        </w:tc>
        <w:tc>
          <w:tcPr>
            <w:tcW w:w="391" w:type="dxa"/>
            <w:tcBorders/>
            <w:shd w:fill="auto" w:val="clear"/>
            <w:vAlign w:val="center"/>
          </w:tcPr>
          <w:p>
            <w:pPr>
              <w:pStyle w:val="TableContents"/>
              <w:spacing w:lineRule="auto" w:line="252" w:before="0" w:after="0"/>
              <w:ind w:left="0" w:right="0" w:firstLine="200"/>
              <w:jc w:val="left"/>
              <w:rPr/>
            </w:pPr>
            <w:r>
              <w:rPr/>
              <w:t> </w:t>
            </w:r>
          </w:p>
        </w:tc>
      </w:tr>
      <w:tr>
        <w:trPr/>
        <w:tc>
          <w:tcPr>
            <w:tcW w:w="6661" w:type="dxa"/>
            <w:tcBorders/>
            <w:shd w:fill="auto" w:val="clear"/>
            <w:vAlign w:val="center"/>
          </w:tcPr>
          <w:p>
            <w:pPr>
              <w:pStyle w:val="TableContents"/>
              <w:spacing w:lineRule="auto" w:line="252" w:before="0" w:after="0"/>
              <w:ind w:left="200" w:right="0" w:hanging="0"/>
              <w:jc w:val="left"/>
              <w:rPr>
                <w:rFonts w:ascii="Times New Roman" w:hAnsi="Times New Roman"/>
                <w:b w:val="false"/>
                <w:sz w:val="16"/>
              </w:rPr>
            </w:pPr>
            <w:r>
              <w:rPr>
                <w:rFonts w:ascii="Times New Roman" w:hAnsi="Times New Roman"/>
                <w:b w:val="false"/>
                <w:sz w:val="16"/>
              </w:rPr>
              <w:t>Accumulated deficit</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96"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c>
          <w:tcPr>
            <w:tcW w:w="751"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right"/>
              <w:rPr>
                <w:rFonts w:ascii="Times New Roman" w:hAnsi="Times New Roman"/>
                <w:b w:val="false"/>
                <w:sz w:val="16"/>
              </w:rPr>
            </w:pPr>
            <w:r>
              <w:rPr>
                <w:rFonts w:ascii="Times New Roman" w:hAnsi="Times New Roman"/>
                <w:b w:val="false"/>
                <w:sz w:val="16"/>
              </w:rPr>
              <w:t>(155,234</w:t>
            </w:r>
          </w:p>
        </w:tc>
        <w:tc>
          <w:tcPr>
            <w:tcW w:w="166"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rFonts w:ascii="Times New Roman" w:hAnsi="Times New Roman"/>
                <w:b w:val="false"/>
                <w:sz w:val="16"/>
              </w:rPr>
            </w:pPr>
            <w:r>
              <w:rPr>
                <w:rFonts w:ascii="Times New Roman" w:hAnsi="Times New Roman"/>
                <w:b w:val="false"/>
                <w:sz w:val="16"/>
              </w:rPr>
              <w:t>)</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226"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c>
          <w:tcPr>
            <w:tcW w:w="869"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right"/>
              <w:rPr>
                <w:rFonts w:ascii="Times New Roman" w:hAnsi="Times New Roman"/>
                <w:b w:val="false"/>
                <w:sz w:val="16"/>
              </w:rPr>
            </w:pPr>
            <w:r>
              <w:rPr>
                <w:rFonts w:ascii="Times New Roman" w:hAnsi="Times New Roman"/>
                <w:b w:val="false"/>
                <w:sz w:val="16"/>
              </w:rPr>
              <w:t>(127,487</w:t>
            </w:r>
          </w:p>
        </w:tc>
        <w:tc>
          <w:tcPr>
            <w:tcW w:w="391"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rFonts w:ascii="Times New Roman" w:hAnsi="Times New Roman"/>
                <w:b w:val="false"/>
                <w:sz w:val="16"/>
              </w:rPr>
            </w:pPr>
            <w:r>
              <w:rPr>
                <w:rFonts w:ascii="Times New Roman" w:hAnsi="Times New Roman"/>
                <w:b w:val="false"/>
                <w:sz w:val="16"/>
              </w:rPr>
              <w:t>)</w:t>
            </w:r>
          </w:p>
        </w:tc>
      </w:tr>
      <w:tr>
        <w:trPr/>
        <w:tc>
          <w:tcPr>
            <w:tcW w:w="6661" w:type="dxa"/>
            <w:tcBorders/>
            <w:shd w:fill="auto" w:val="clear"/>
            <w:vAlign w:val="center"/>
          </w:tcPr>
          <w:p>
            <w:pPr>
              <w:pStyle w:val="TableContents"/>
              <w:spacing w:lineRule="auto" w:line="252" w:before="0" w:after="0"/>
              <w:ind w:left="0" w:right="0" w:hanging="0"/>
              <w:jc w:val="left"/>
              <w:rPr>
                <w:rFonts w:ascii="Times New Roman" w:hAnsi="Times New Roman"/>
                <w:b/>
                <w:sz w:val="16"/>
              </w:rPr>
            </w:pPr>
            <w:r>
              <w:rPr>
                <w:rFonts w:ascii="Times New Roman" w:hAnsi="Times New Roman"/>
                <w:b/>
                <w:sz w:val="16"/>
              </w:rPr>
              <w:t>Total stockholders’ equity</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96"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c>
          <w:tcPr>
            <w:tcW w:w="751"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right"/>
              <w:rPr>
                <w:rFonts w:ascii="Times New Roman" w:hAnsi="Times New Roman"/>
                <w:b w:val="false"/>
                <w:sz w:val="16"/>
              </w:rPr>
            </w:pPr>
            <w:r>
              <w:rPr>
                <w:rFonts w:ascii="Times New Roman" w:hAnsi="Times New Roman"/>
                <w:b w:val="false"/>
                <w:sz w:val="16"/>
              </w:rPr>
              <w:t>259,603</w:t>
            </w:r>
          </w:p>
        </w:tc>
        <w:tc>
          <w:tcPr>
            <w:tcW w:w="166"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226"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c>
          <w:tcPr>
            <w:tcW w:w="869"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right"/>
              <w:rPr>
                <w:rFonts w:ascii="Times New Roman" w:hAnsi="Times New Roman"/>
                <w:b w:val="false"/>
                <w:sz w:val="16"/>
              </w:rPr>
            </w:pPr>
            <w:r>
              <w:rPr>
                <w:rFonts w:ascii="Times New Roman" w:hAnsi="Times New Roman"/>
                <w:b w:val="false"/>
                <w:sz w:val="16"/>
              </w:rPr>
              <w:t>281,148</w:t>
            </w:r>
          </w:p>
        </w:tc>
        <w:tc>
          <w:tcPr>
            <w:tcW w:w="391"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r>
      <w:tr>
        <w:trPr/>
        <w:tc>
          <w:tcPr>
            <w:tcW w:w="6661" w:type="dxa"/>
            <w:tcBorders/>
            <w:shd w:fill="auto" w:val="clear"/>
            <w:vAlign w:val="center"/>
          </w:tcPr>
          <w:p>
            <w:pPr>
              <w:pStyle w:val="TableContents"/>
              <w:spacing w:lineRule="auto" w:line="252" w:before="0" w:after="0"/>
              <w:ind w:left="0" w:right="0" w:hanging="0"/>
              <w:jc w:val="left"/>
              <w:rPr>
                <w:rFonts w:ascii="Times New Roman" w:hAnsi="Times New Roman"/>
                <w:b/>
                <w:sz w:val="16"/>
              </w:rPr>
            </w:pPr>
            <w:r>
              <w:rPr>
                <w:rFonts w:ascii="Times New Roman" w:hAnsi="Times New Roman"/>
                <w:b/>
                <w:sz w:val="16"/>
              </w:rPr>
              <w:t>Total liabilities and stockholders' equity</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96" w:type="dxa"/>
            <w:tcBorders>
              <w:bottom w:val="double" w:sz="6"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rFonts w:ascii="Times New Roman" w:hAnsi="Times New Roman"/>
                <w:b w:val="false"/>
                <w:sz w:val="16"/>
              </w:rPr>
            </w:pPr>
            <w:r>
              <w:rPr>
                <w:rFonts w:ascii="Times New Roman" w:hAnsi="Times New Roman"/>
                <w:b w:val="false"/>
                <w:sz w:val="16"/>
              </w:rPr>
              <w:t>$</w:t>
            </w:r>
          </w:p>
        </w:tc>
        <w:tc>
          <w:tcPr>
            <w:tcW w:w="751" w:type="dxa"/>
            <w:tcBorders>
              <w:bottom w:val="double" w:sz="6" w:space="0" w:color="000000"/>
            </w:tcBorders>
            <w:shd w:fill="auto" w:val="clear"/>
            <w:tcMar>
              <w:top w:w="0" w:type="dxa"/>
              <w:left w:w="0" w:type="dxa"/>
              <w:right w:w="0" w:type="dxa"/>
            </w:tcMar>
            <w:vAlign w:val="center"/>
          </w:tcPr>
          <w:p>
            <w:pPr>
              <w:pStyle w:val="TableContents"/>
              <w:spacing w:lineRule="auto" w:line="252" w:before="0" w:after="0"/>
              <w:ind w:left="0" w:right="0" w:hanging="0"/>
              <w:jc w:val="right"/>
              <w:rPr>
                <w:rFonts w:ascii="Times New Roman" w:hAnsi="Times New Roman"/>
                <w:b w:val="false"/>
                <w:sz w:val="16"/>
              </w:rPr>
            </w:pPr>
            <w:r>
              <w:rPr>
                <w:rFonts w:ascii="Times New Roman" w:hAnsi="Times New Roman"/>
                <w:b w:val="false"/>
                <w:sz w:val="16"/>
              </w:rPr>
              <w:t>267,779</w:t>
            </w:r>
          </w:p>
        </w:tc>
        <w:tc>
          <w:tcPr>
            <w:tcW w:w="166" w:type="dxa"/>
            <w:tcBorders>
              <w:bottom w:val="double" w:sz="6"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226" w:type="dxa"/>
            <w:tcBorders>
              <w:bottom w:val="double" w:sz="6"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rFonts w:ascii="Times New Roman" w:hAnsi="Times New Roman"/>
                <w:b w:val="false"/>
                <w:sz w:val="16"/>
              </w:rPr>
            </w:pPr>
            <w:r>
              <w:rPr>
                <w:rFonts w:ascii="Times New Roman" w:hAnsi="Times New Roman"/>
                <w:b w:val="false"/>
                <w:sz w:val="16"/>
              </w:rPr>
              <w:t>$</w:t>
            </w:r>
          </w:p>
        </w:tc>
        <w:tc>
          <w:tcPr>
            <w:tcW w:w="869" w:type="dxa"/>
            <w:tcBorders>
              <w:bottom w:val="double" w:sz="6" w:space="0" w:color="000000"/>
            </w:tcBorders>
            <w:shd w:fill="auto" w:val="clear"/>
            <w:tcMar>
              <w:top w:w="0" w:type="dxa"/>
              <w:left w:w="0" w:type="dxa"/>
              <w:right w:w="0" w:type="dxa"/>
            </w:tcMar>
            <w:vAlign w:val="center"/>
          </w:tcPr>
          <w:p>
            <w:pPr>
              <w:pStyle w:val="TableContents"/>
              <w:spacing w:lineRule="auto" w:line="252" w:before="0" w:after="0"/>
              <w:ind w:left="0" w:right="0" w:hanging="0"/>
              <w:jc w:val="right"/>
              <w:rPr>
                <w:rFonts w:ascii="Times New Roman" w:hAnsi="Times New Roman"/>
                <w:b w:val="false"/>
                <w:sz w:val="16"/>
              </w:rPr>
            </w:pPr>
            <w:r>
              <w:rPr>
                <w:rFonts w:ascii="Times New Roman" w:hAnsi="Times New Roman"/>
                <w:b w:val="false"/>
                <w:sz w:val="16"/>
              </w:rPr>
              <w:t>289,821</w:t>
            </w:r>
          </w:p>
        </w:tc>
        <w:tc>
          <w:tcPr>
            <w:tcW w:w="391" w:type="dxa"/>
            <w:tcBorders>
              <w:bottom w:val="double" w:sz="6"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r>
    </w:tbl>
    <w:p>
      <w:pPr>
        <w:pStyle w:val="TextBody"/>
        <w:spacing w:lineRule="auto" w:line="273" w:before="0" w:after="0"/>
        <w:jc w:val="left"/>
        <w:rPr/>
      </w:pPr>
      <w:r>
        <w:rPr/>
        <w:t> </w:t>
      </w:r>
    </w:p>
    <w:p>
      <w:pPr>
        <w:pStyle w:val="TextBody"/>
        <w:spacing w:lineRule="auto" w:line="273" w:before="0" w:after="0"/>
        <w:jc w:val="center"/>
        <w:rPr>
          <w:rFonts w:ascii="Times New Roman" w:hAnsi="Times New Roman"/>
          <w:sz w:val="20"/>
        </w:rPr>
      </w:pPr>
      <w:r>
        <w:rPr>
          <w:rFonts w:ascii="Times New Roman" w:hAnsi="Times New Roman"/>
          <w:b w:val="false"/>
          <w:i/>
          <w:sz w:val="20"/>
        </w:rPr>
        <w:t>See accompanying notes to the condensed consolidated financial statements.</w:t>
      </w:r>
      <w:r>
        <w:rPr>
          <w:rFonts w:ascii="Times New Roman" w:hAnsi="Times New Roman"/>
          <w:sz w:val="20"/>
        </w:rPr>
        <w:t xml:space="preserve"> </w:t>
      </w:r>
    </w:p>
    <w:p>
      <w:pPr>
        <w:pStyle w:val="TextBody"/>
        <w:spacing w:lineRule="auto" w:line="273" w:before="360" w:after="0"/>
        <w:jc w:val="left"/>
        <w:rPr/>
      </w:pPr>
      <w:r>
        <w:rPr/>
        <w:t> </w:t>
      </w:r>
    </w:p>
    <w:p>
      <w:pPr>
        <w:pStyle w:val="TextBody"/>
        <w:spacing w:lineRule="auto" w:line="273" w:before="0" w:after="0"/>
        <w:jc w:val="center"/>
        <w:rPr>
          <w:rFonts w:ascii="Times New Roman" w:hAnsi="Times New Roman"/>
          <w:b w:val="false"/>
          <w:sz w:val="20"/>
        </w:rPr>
      </w:pPr>
      <w:r>
        <w:rPr>
          <w:rFonts w:ascii="Times New Roman" w:hAnsi="Times New Roman"/>
          <w:b w:val="false"/>
          <w:sz w:val="20"/>
        </w:rPr>
        <w:t>4</w:t>
      </w:r>
    </w:p>
    <w:p>
      <w:pPr>
        <w:pStyle w:val="HorizontalLine"/>
        <w:rPr/>
      </w:pPr>
      <w:r>
        <w:rPr/>
      </w:r>
    </w:p>
    <w:p>
      <w:pPr>
        <w:pStyle w:val="TextBody"/>
        <w:spacing w:lineRule="auto" w:line="273" w:before="0" w:after="0"/>
        <w:jc w:val="left"/>
        <w:rPr/>
      </w:pPr>
      <w:r>
        <w:rPr/>
        <w:t> </w:t>
      </w:r>
    </w:p>
    <w:p>
      <w:pPr>
        <w:pStyle w:val="TextBody"/>
        <w:spacing w:lineRule="auto" w:line="273" w:before="0" w:after="0"/>
        <w:jc w:val="center"/>
        <w:rPr>
          <w:rFonts w:ascii="Times New Roman" w:hAnsi="Times New Roman"/>
          <w:b/>
          <w:sz w:val="20"/>
        </w:rPr>
      </w:pPr>
      <w:bookmarkStart w:id="5" w:name="tx180355_4"/>
      <w:bookmarkEnd w:id="5"/>
      <w:r>
        <w:rPr>
          <w:rFonts w:ascii="Times New Roman" w:hAnsi="Times New Roman"/>
          <w:b/>
          <w:sz w:val="20"/>
        </w:rPr>
        <w:t>Day One Biopharmaceuticals, Inc.</w:t>
      </w:r>
    </w:p>
    <w:p>
      <w:pPr>
        <w:pStyle w:val="TextBody"/>
        <w:spacing w:lineRule="auto" w:line="273" w:before="0" w:after="0"/>
        <w:jc w:val="center"/>
        <w:rPr>
          <w:rFonts w:ascii="Times New Roman" w:hAnsi="Times New Roman"/>
          <w:sz w:val="20"/>
        </w:rPr>
      </w:pPr>
      <w:r>
        <w:rPr>
          <w:rFonts w:ascii="Times New Roman" w:hAnsi="Times New Roman"/>
          <w:b/>
          <w:sz w:val="20"/>
        </w:rPr>
        <w:t>Condensed Consolidated Statements of Operations and Comprehensive Loss</w:t>
      </w:r>
      <w:r>
        <w:rPr>
          <w:rFonts w:ascii="Times New Roman" w:hAnsi="Times New Roman"/>
          <w:sz w:val="20"/>
        </w:rPr>
        <w:t xml:space="preserve"> </w:t>
      </w:r>
    </w:p>
    <w:p>
      <w:pPr>
        <w:pStyle w:val="TextBody"/>
        <w:spacing w:lineRule="auto" w:line="273" w:before="0" w:after="0"/>
        <w:jc w:val="center"/>
        <w:rPr>
          <w:rFonts w:ascii="Times New Roman" w:hAnsi="Times New Roman"/>
          <w:sz w:val="20"/>
        </w:rPr>
      </w:pPr>
      <w:r>
        <w:rPr>
          <w:rFonts w:ascii="Times New Roman" w:hAnsi="Times New Roman"/>
          <w:b w:val="false"/>
          <w:sz w:val="20"/>
        </w:rPr>
        <w:t>(</w:t>
      </w:r>
      <w:r>
        <w:rPr>
          <w:rFonts w:ascii="Times New Roman" w:hAnsi="Times New Roman"/>
          <w:b/>
          <w:sz w:val="20"/>
        </w:rPr>
        <w:t>in thousands, except share and per share amounts)</w:t>
      </w:r>
      <w:r>
        <w:rPr>
          <w:rFonts w:ascii="Times New Roman" w:hAnsi="Times New Roman"/>
          <w:sz w:val="20"/>
        </w:rPr>
        <w:t xml:space="preserve"> </w:t>
      </w:r>
    </w:p>
    <w:p>
      <w:pPr>
        <w:pStyle w:val="TextBody"/>
        <w:spacing w:lineRule="auto" w:line="273" w:before="0" w:after="0"/>
        <w:jc w:val="center"/>
        <w:rPr>
          <w:rFonts w:ascii="Times New Roman" w:hAnsi="Times New Roman"/>
          <w:b/>
          <w:sz w:val="20"/>
        </w:rPr>
      </w:pPr>
      <w:r>
        <w:rPr>
          <w:rFonts w:ascii="Times New Roman" w:hAnsi="Times New Roman"/>
          <w:b/>
          <w:sz w:val="20"/>
        </w:rPr>
        <w:t>(unaudited)</w:t>
      </w:r>
    </w:p>
    <w:p>
      <w:pPr>
        <w:pStyle w:val="TextBody"/>
        <w:spacing w:lineRule="auto" w:line="273" w:before="0" w:after="0"/>
        <w:jc w:val="center"/>
        <w:rPr/>
      </w:pPr>
      <w:r>
        <w:rPr/>
        <w:t> </w:t>
      </w:r>
    </w:p>
    <w:tbl>
      <w:tblPr>
        <w:tblW w:w="8764" w:type="dxa"/>
        <w:jc w:val="left"/>
        <w:tblInd w:w="0" w:type="dxa"/>
        <w:tblCellMar>
          <w:top w:w="28" w:type="dxa"/>
          <w:left w:w="28" w:type="dxa"/>
          <w:bottom w:w="28" w:type="dxa"/>
          <w:right w:w="28" w:type="dxa"/>
        </w:tblCellMar>
      </w:tblPr>
      <w:tblGrid>
        <w:gridCol w:w="5326"/>
        <w:gridCol w:w="146"/>
        <w:gridCol w:w="211"/>
        <w:gridCol w:w="1036"/>
        <w:gridCol w:w="166"/>
        <w:gridCol w:w="146"/>
        <w:gridCol w:w="211"/>
        <w:gridCol w:w="931"/>
        <w:gridCol w:w="591"/>
      </w:tblGrid>
      <w:tr>
        <w:trPr/>
        <w:tc>
          <w:tcPr>
            <w:tcW w:w="532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1036" w:type="dxa"/>
            <w:tcBorders/>
            <w:shd w:fill="auto" w:val="clear"/>
            <w:vAlign w:val="center"/>
          </w:tcPr>
          <w:p>
            <w:pPr>
              <w:pStyle w:val="TableContents"/>
              <w:spacing w:before="0" w:after="283"/>
              <w:rPr>
                <w:sz w:val="4"/>
                <w:szCs w:val="4"/>
              </w:rPr>
            </w:pPr>
            <w:r>
              <w:rPr>
                <w:sz w:val="4"/>
                <w:szCs w:val="4"/>
              </w:rPr>
            </w:r>
          </w:p>
        </w:tc>
        <w:tc>
          <w:tcPr>
            <w:tcW w:w="16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931" w:type="dxa"/>
            <w:tcBorders/>
            <w:shd w:fill="auto" w:val="clear"/>
            <w:vAlign w:val="center"/>
          </w:tcPr>
          <w:p>
            <w:pPr>
              <w:pStyle w:val="TableContents"/>
              <w:spacing w:before="0" w:after="283"/>
              <w:rPr>
                <w:sz w:val="4"/>
                <w:szCs w:val="4"/>
              </w:rPr>
            </w:pPr>
            <w:r>
              <w:rPr>
                <w:sz w:val="4"/>
                <w:szCs w:val="4"/>
              </w:rPr>
            </w:r>
          </w:p>
        </w:tc>
        <w:tc>
          <w:tcPr>
            <w:tcW w:w="591" w:type="dxa"/>
            <w:tcBorders/>
            <w:shd w:fill="auto" w:val="clear"/>
            <w:vAlign w:val="center"/>
          </w:tcPr>
          <w:p>
            <w:pPr>
              <w:pStyle w:val="TableContents"/>
              <w:spacing w:before="0" w:after="283"/>
              <w:rPr>
                <w:sz w:val="4"/>
                <w:szCs w:val="4"/>
              </w:rPr>
            </w:pPr>
            <w:r>
              <w:rPr>
                <w:sz w:val="4"/>
                <w:szCs w:val="4"/>
              </w:rPr>
            </w:r>
          </w:p>
        </w:tc>
      </w:tr>
      <w:tr>
        <w:trPr/>
        <w:tc>
          <w:tcPr>
            <w:tcW w:w="5326" w:type="dxa"/>
            <w:tcBorders/>
            <w:shd w:fill="auto" w:val="clear"/>
            <w:vAlign w:val="center"/>
          </w:tcPr>
          <w:p>
            <w:pPr>
              <w:pStyle w:val="TableContents"/>
              <w:spacing w:lineRule="auto" w:line="252" w:before="0" w:after="0"/>
              <w:ind w:left="0" w:right="0" w:hanging="0"/>
              <w:jc w:val="center"/>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2701" w:type="dxa"/>
            <w:gridSpan w:val="6"/>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center"/>
              <w:rPr>
                <w:rFonts w:ascii="Times New Roman" w:hAnsi="Times New Roman"/>
                <w:b/>
                <w:sz w:val="16"/>
              </w:rPr>
            </w:pPr>
            <w:r>
              <w:rPr>
                <w:rFonts w:ascii="Times New Roman" w:hAnsi="Times New Roman"/>
                <w:b/>
                <w:sz w:val="16"/>
              </w:rPr>
              <w:t>Three Months Ended</w:t>
              <w:br/>
              <w:t>March 31,</w:t>
            </w:r>
          </w:p>
        </w:tc>
        <w:tc>
          <w:tcPr>
            <w:tcW w:w="591"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center"/>
              <w:rPr/>
            </w:pPr>
            <w:r>
              <w:rPr/>
              <w:t> </w:t>
            </w:r>
          </w:p>
        </w:tc>
      </w:tr>
      <w:tr>
        <w:trPr/>
        <w:tc>
          <w:tcPr>
            <w:tcW w:w="5326" w:type="dxa"/>
            <w:tcBorders/>
            <w:shd w:fill="auto" w:val="clear"/>
            <w:vAlign w:val="center"/>
          </w:tcPr>
          <w:p>
            <w:pPr>
              <w:pStyle w:val="TableContents"/>
              <w:spacing w:lineRule="auto" w:line="252" w:before="0" w:after="0"/>
              <w:ind w:left="0" w:right="0" w:hanging="0"/>
              <w:jc w:val="center"/>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247" w:type="dxa"/>
            <w:gridSpan w:val="2"/>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center"/>
              <w:rPr>
                <w:rFonts w:ascii="Times New Roman" w:hAnsi="Times New Roman"/>
                <w:b/>
                <w:sz w:val="16"/>
              </w:rPr>
            </w:pPr>
            <w:r>
              <w:rPr>
                <w:rFonts w:ascii="Times New Roman" w:hAnsi="Times New Roman"/>
                <w:b/>
                <w:sz w:val="16"/>
              </w:rPr>
              <w:t>2022</w:t>
            </w:r>
          </w:p>
        </w:tc>
        <w:tc>
          <w:tcPr>
            <w:tcW w:w="166"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center"/>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142" w:type="dxa"/>
            <w:gridSpan w:val="2"/>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center"/>
              <w:rPr>
                <w:rFonts w:ascii="Times New Roman" w:hAnsi="Times New Roman"/>
                <w:b/>
                <w:sz w:val="16"/>
              </w:rPr>
            </w:pPr>
            <w:r>
              <w:rPr>
                <w:rFonts w:ascii="Times New Roman" w:hAnsi="Times New Roman"/>
                <w:b/>
                <w:sz w:val="16"/>
              </w:rPr>
              <w:t>2021</w:t>
            </w:r>
          </w:p>
        </w:tc>
        <w:tc>
          <w:tcPr>
            <w:tcW w:w="591"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center"/>
              <w:rPr/>
            </w:pPr>
            <w:r>
              <w:rPr/>
              <w:t> </w:t>
            </w:r>
          </w:p>
        </w:tc>
      </w:tr>
      <w:tr>
        <w:trPr/>
        <w:tc>
          <w:tcPr>
            <w:tcW w:w="5326" w:type="dxa"/>
            <w:tcBorders/>
            <w:shd w:fill="auto" w:val="clear"/>
            <w:vAlign w:val="center"/>
          </w:tcPr>
          <w:p>
            <w:pPr>
              <w:pStyle w:val="TableContents"/>
              <w:spacing w:lineRule="auto" w:line="252" w:before="0" w:after="0"/>
              <w:ind w:left="0" w:right="0" w:hanging="0"/>
              <w:jc w:val="left"/>
              <w:rPr>
                <w:rFonts w:ascii="Times New Roman" w:hAnsi="Times New Roman"/>
                <w:b/>
                <w:sz w:val="20"/>
              </w:rPr>
            </w:pPr>
            <w:r>
              <w:rPr>
                <w:rFonts w:ascii="Times New Roman" w:hAnsi="Times New Roman"/>
                <w:b/>
                <w:sz w:val="20"/>
              </w:rPr>
              <w:t>Operating expenses:</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247" w:type="dxa"/>
            <w:gridSpan w:val="2"/>
            <w:tcBorders/>
            <w:shd w:fill="auto" w:val="clear"/>
            <w:vAlign w:val="center"/>
          </w:tcPr>
          <w:p>
            <w:pPr>
              <w:pStyle w:val="TableContents"/>
              <w:spacing w:lineRule="auto" w:line="252" w:before="0" w:after="0"/>
              <w:ind w:left="0" w:right="0" w:hanging="0"/>
              <w:jc w:val="right"/>
              <w:rPr/>
            </w:pPr>
            <w:r>
              <w:rPr/>
              <w:t> </w:t>
            </w:r>
          </w:p>
        </w:tc>
        <w:tc>
          <w:tcPr>
            <w:tcW w:w="166" w:type="dxa"/>
            <w:tcBorders/>
            <w:shd w:fill="auto" w:val="clear"/>
            <w:vAlign w:val="center"/>
          </w:tcPr>
          <w:p>
            <w:pPr>
              <w:pStyle w:val="TableContents"/>
              <w:spacing w:lineRule="auto" w:line="252" w:before="0" w:after="0"/>
              <w:ind w:left="0" w:right="0" w:hanging="0"/>
              <w:jc w:val="righ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142" w:type="dxa"/>
            <w:gridSpan w:val="2"/>
            <w:tcBorders/>
            <w:shd w:fill="auto" w:val="clear"/>
            <w:vAlign w:val="center"/>
          </w:tcPr>
          <w:p>
            <w:pPr>
              <w:pStyle w:val="TableContents"/>
              <w:spacing w:lineRule="auto" w:line="252" w:before="0" w:after="0"/>
              <w:ind w:left="0" w:right="0" w:hanging="0"/>
              <w:jc w:val="right"/>
              <w:rPr/>
            </w:pPr>
            <w:r>
              <w:rPr/>
              <w:t> </w:t>
            </w:r>
          </w:p>
        </w:tc>
        <w:tc>
          <w:tcPr>
            <w:tcW w:w="591" w:type="dxa"/>
            <w:tcBorders/>
            <w:shd w:fill="auto" w:val="clear"/>
            <w:vAlign w:val="center"/>
          </w:tcPr>
          <w:p>
            <w:pPr>
              <w:pStyle w:val="TableContents"/>
              <w:spacing w:lineRule="auto" w:line="252" w:before="0" w:after="0"/>
              <w:ind w:left="0" w:right="0" w:firstLine="200"/>
              <w:jc w:val="right"/>
              <w:rPr/>
            </w:pPr>
            <w:r>
              <w:rPr/>
              <w:t> </w:t>
            </w:r>
          </w:p>
        </w:tc>
      </w:tr>
      <w:tr>
        <w:trPr/>
        <w:tc>
          <w:tcPr>
            <w:tcW w:w="5326" w:type="dxa"/>
            <w:tcBorders/>
            <w:shd w:fill="auto" w:val="clear"/>
            <w:vAlign w:val="center"/>
          </w:tcPr>
          <w:p>
            <w:pPr>
              <w:pStyle w:val="TableContents"/>
              <w:spacing w:lineRule="auto" w:line="252" w:before="0" w:after="0"/>
              <w:ind w:left="200" w:right="0" w:hanging="0"/>
              <w:jc w:val="left"/>
              <w:rPr>
                <w:rFonts w:ascii="Times New Roman" w:hAnsi="Times New Roman"/>
                <w:b w:val="false"/>
                <w:sz w:val="20"/>
              </w:rPr>
            </w:pPr>
            <w:r>
              <w:rPr>
                <w:rFonts w:ascii="Times New Roman" w:hAnsi="Times New Roman"/>
                <w:b w:val="false"/>
                <w:sz w:val="20"/>
              </w:rPr>
              <w:t>Research and development</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211" w:type="dxa"/>
            <w:tcBorders/>
            <w:shd w:fill="auto" w:val="clear"/>
            <w:vAlign w:val="center"/>
          </w:tcPr>
          <w:p>
            <w:pPr>
              <w:pStyle w:val="TableContents"/>
              <w:spacing w:lineRule="auto" w:line="252" w:before="0" w:after="0"/>
              <w:ind w:left="0" w:right="0" w:hanging="0"/>
              <w:jc w:val="left"/>
              <w:rPr>
                <w:rFonts w:ascii="Times New Roman" w:hAnsi="Times New Roman"/>
                <w:b w:val="false"/>
                <w:sz w:val="20"/>
              </w:rPr>
            </w:pPr>
            <w:r>
              <w:rPr>
                <w:rFonts w:ascii="Times New Roman" w:hAnsi="Times New Roman"/>
                <w:b w:val="false"/>
                <w:sz w:val="20"/>
              </w:rPr>
              <w:t>$</w:t>
            </w:r>
          </w:p>
        </w:tc>
        <w:tc>
          <w:tcPr>
            <w:tcW w:w="1036" w:type="dxa"/>
            <w:tcBorders/>
            <w:shd w:fill="auto" w:val="clear"/>
            <w:vAlign w:val="center"/>
          </w:tcPr>
          <w:p>
            <w:pPr>
              <w:pStyle w:val="TableContents"/>
              <w:spacing w:lineRule="auto" w:line="252" w:before="0" w:after="0"/>
              <w:ind w:left="0" w:right="0" w:hanging="0"/>
              <w:jc w:val="right"/>
              <w:rPr>
                <w:rFonts w:ascii="Times New Roman" w:hAnsi="Times New Roman"/>
                <w:b w:val="false"/>
                <w:sz w:val="20"/>
              </w:rPr>
            </w:pPr>
            <w:r>
              <w:rPr>
                <w:rFonts w:ascii="Times New Roman" w:hAnsi="Times New Roman"/>
                <w:b w:val="false"/>
                <w:sz w:val="20"/>
              </w:rPr>
              <w:t>15,003</w:t>
            </w:r>
          </w:p>
        </w:tc>
        <w:tc>
          <w:tcPr>
            <w:tcW w:w="166" w:type="dxa"/>
            <w:tcBorders/>
            <w:shd w:fill="auto" w:val="cle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211" w:type="dxa"/>
            <w:tcBorders/>
            <w:shd w:fill="auto" w:val="clear"/>
            <w:vAlign w:val="center"/>
          </w:tcPr>
          <w:p>
            <w:pPr>
              <w:pStyle w:val="TableContents"/>
              <w:spacing w:lineRule="auto" w:line="252" w:before="0" w:after="0"/>
              <w:ind w:left="0" w:right="0" w:hanging="0"/>
              <w:jc w:val="left"/>
              <w:rPr>
                <w:rFonts w:ascii="Times New Roman" w:hAnsi="Times New Roman"/>
                <w:b w:val="false"/>
                <w:sz w:val="20"/>
              </w:rPr>
            </w:pPr>
            <w:r>
              <w:rPr>
                <w:rFonts w:ascii="Times New Roman" w:hAnsi="Times New Roman"/>
                <w:b w:val="false"/>
                <w:sz w:val="20"/>
              </w:rPr>
              <w:t>$</w:t>
            </w:r>
          </w:p>
        </w:tc>
        <w:tc>
          <w:tcPr>
            <w:tcW w:w="931" w:type="dxa"/>
            <w:tcBorders/>
            <w:shd w:fill="auto" w:val="clear"/>
            <w:vAlign w:val="center"/>
          </w:tcPr>
          <w:p>
            <w:pPr>
              <w:pStyle w:val="TableContents"/>
              <w:spacing w:lineRule="auto" w:line="252" w:before="0" w:after="0"/>
              <w:ind w:left="0" w:right="0" w:hanging="0"/>
              <w:jc w:val="right"/>
              <w:rPr>
                <w:rFonts w:ascii="Times New Roman" w:hAnsi="Times New Roman"/>
                <w:b w:val="false"/>
                <w:sz w:val="20"/>
              </w:rPr>
            </w:pPr>
            <w:r>
              <w:rPr>
                <w:rFonts w:ascii="Times New Roman" w:hAnsi="Times New Roman"/>
                <w:b w:val="false"/>
                <w:sz w:val="20"/>
              </w:rPr>
              <w:t>12,632</w:t>
            </w:r>
          </w:p>
        </w:tc>
        <w:tc>
          <w:tcPr>
            <w:tcW w:w="591" w:type="dxa"/>
            <w:tcBorders/>
            <w:shd w:fill="auto" w:val="clear"/>
            <w:vAlign w:val="center"/>
          </w:tcPr>
          <w:p>
            <w:pPr>
              <w:pStyle w:val="TableContents"/>
              <w:spacing w:lineRule="auto" w:line="252" w:before="0" w:after="0"/>
              <w:ind w:left="0" w:right="0" w:firstLine="200"/>
              <w:jc w:val="left"/>
              <w:rPr/>
            </w:pPr>
            <w:r>
              <w:rPr/>
              <w:t> </w:t>
            </w:r>
          </w:p>
        </w:tc>
      </w:tr>
      <w:tr>
        <w:trPr/>
        <w:tc>
          <w:tcPr>
            <w:tcW w:w="5326" w:type="dxa"/>
            <w:tcBorders/>
            <w:shd w:fill="auto" w:val="clear"/>
            <w:vAlign w:val="center"/>
          </w:tcPr>
          <w:p>
            <w:pPr>
              <w:pStyle w:val="TableContents"/>
              <w:spacing w:lineRule="auto" w:line="252" w:before="0" w:after="0"/>
              <w:ind w:left="200" w:right="0" w:hanging="0"/>
              <w:jc w:val="left"/>
              <w:rPr>
                <w:rFonts w:ascii="Times New Roman" w:hAnsi="Times New Roman"/>
                <w:b w:val="false"/>
                <w:sz w:val="20"/>
              </w:rPr>
            </w:pPr>
            <w:r>
              <w:rPr>
                <w:rFonts w:ascii="Times New Roman" w:hAnsi="Times New Roman"/>
                <w:b w:val="false"/>
                <w:sz w:val="20"/>
              </w:rPr>
              <w:t>General and administrative</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211"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c>
          <w:tcPr>
            <w:tcW w:w="1036"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right"/>
              <w:rPr>
                <w:rFonts w:ascii="Times New Roman" w:hAnsi="Times New Roman"/>
                <w:b w:val="false"/>
                <w:sz w:val="20"/>
              </w:rPr>
            </w:pPr>
            <w:r>
              <w:rPr>
                <w:rFonts w:ascii="Times New Roman" w:hAnsi="Times New Roman"/>
                <w:b w:val="false"/>
                <w:sz w:val="20"/>
              </w:rPr>
              <w:t>12,745</w:t>
            </w:r>
          </w:p>
        </w:tc>
        <w:tc>
          <w:tcPr>
            <w:tcW w:w="166"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211"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c>
          <w:tcPr>
            <w:tcW w:w="931"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right"/>
              <w:rPr>
                <w:rFonts w:ascii="Times New Roman" w:hAnsi="Times New Roman"/>
                <w:b w:val="false"/>
                <w:sz w:val="20"/>
              </w:rPr>
            </w:pPr>
            <w:r>
              <w:rPr>
                <w:rFonts w:ascii="Times New Roman" w:hAnsi="Times New Roman"/>
                <w:b w:val="false"/>
                <w:sz w:val="20"/>
              </w:rPr>
              <w:t>3,454</w:t>
            </w:r>
          </w:p>
        </w:tc>
        <w:tc>
          <w:tcPr>
            <w:tcW w:w="591"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firstLine="400"/>
              <w:jc w:val="left"/>
              <w:rPr/>
            </w:pPr>
            <w:r>
              <w:rPr/>
              <w:t> </w:t>
            </w:r>
          </w:p>
        </w:tc>
      </w:tr>
      <w:tr>
        <w:trPr/>
        <w:tc>
          <w:tcPr>
            <w:tcW w:w="5326" w:type="dxa"/>
            <w:tcBorders/>
            <w:shd w:fill="auto" w:val="clear"/>
            <w:vAlign w:val="center"/>
          </w:tcPr>
          <w:p>
            <w:pPr>
              <w:pStyle w:val="TableContents"/>
              <w:spacing w:lineRule="auto" w:line="252" w:before="0" w:after="0"/>
              <w:ind w:left="400" w:right="0" w:hanging="0"/>
              <w:jc w:val="left"/>
              <w:rPr>
                <w:rFonts w:ascii="Times New Roman" w:hAnsi="Times New Roman"/>
                <w:b/>
                <w:sz w:val="20"/>
              </w:rPr>
            </w:pPr>
            <w:r>
              <w:rPr>
                <w:rFonts w:ascii="Times New Roman" w:hAnsi="Times New Roman"/>
                <w:b/>
                <w:sz w:val="20"/>
              </w:rPr>
              <w:t>Total operating expenses</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211"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c>
          <w:tcPr>
            <w:tcW w:w="1036"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right"/>
              <w:rPr>
                <w:rFonts w:ascii="Times New Roman" w:hAnsi="Times New Roman"/>
                <w:b w:val="false"/>
                <w:sz w:val="20"/>
              </w:rPr>
            </w:pPr>
            <w:r>
              <w:rPr>
                <w:rFonts w:ascii="Times New Roman" w:hAnsi="Times New Roman"/>
                <w:b w:val="false"/>
                <w:sz w:val="20"/>
              </w:rPr>
              <w:t>27,748</w:t>
            </w:r>
          </w:p>
        </w:tc>
        <w:tc>
          <w:tcPr>
            <w:tcW w:w="166"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211"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c>
          <w:tcPr>
            <w:tcW w:w="931"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right"/>
              <w:rPr>
                <w:rFonts w:ascii="Times New Roman" w:hAnsi="Times New Roman"/>
                <w:b w:val="false"/>
                <w:sz w:val="20"/>
              </w:rPr>
            </w:pPr>
            <w:r>
              <w:rPr>
                <w:rFonts w:ascii="Times New Roman" w:hAnsi="Times New Roman"/>
                <w:b w:val="false"/>
                <w:sz w:val="20"/>
              </w:rPr>
              <w:t>16,086</w:t>
            </w:r>
          </w:p>
        </w:tc>
        <w:tc>
          <w:tcPr>
            <w:tcW w:w="591"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r>
      <w:tr>
        <w:trPr/>
        <w:tc>
          <w:tcPr>
            <w:tcW w:w="5326" w:type="dxa"/>
            <w:tcBorders/>
            <w:shd w:fill="auto" w:val="clear"/>
            <w:vAlign w:val="center"/>
          </w:tcPr>
          <w:p>
            <w:pPr>
              <w:pStyle w:val="TableContents"/>
              <w:spacing w:lineRule="auto" w:line="252" w:before="0" w:after="0"/>
              <w:ind w:left="0" w:right="0" w:hanging="0"/>
              <w:jc w:val="left"/>
              <w:rPr>
                <w:rFonts w:ascii="Times New Roman" w:hAnsi="Times New Roman"/>
                <w:b/>
                <w:sz w:val="20"/>
              </w:rPr>
            </w:pPr>
            <w:r>
              <w:rPr>
                <w:rFonts w:ascii="Times New Roman" w:hAnsi="Times New Roman"/>
                <w:b/>
                <w:sz w:val="20"/>
              </w:rPr>
              <w:t>Loss from operations</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211"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c>
          <w:tcPr>
            <w:tcW w:w="1036"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right"/>
              <w:rPr>
                <w:rFonts w:ascii="Times New Roman" w:hAnsi="Times New Roman"/>
                <w:b w:val="false"/>
                <w:sz w:val="20"/>
              </w:rPr>
            </w:pPr>
            <w:r>
              <w:rPr>
                <w:rFonts w:ascii="Times New Roman" w:hAnsi="Times New Roman"/>
                <w:b w:val="false"/>
                <w:sz w:val="20"/>
              </w:rPr>
              <w:t>(27,748</w:t>
            </w:r>
          </w:p>
        </w:tc>
        <w:tc>
          <w:tcPr>
            <w:tcW w:w="166"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rFonts w:ascii="Times New Roman" w:hAnsi="Times New Roman"/>
                <w:b w:val="false"/>
                <w:sz w:val="20"/>
              </w:rPr>
            </w:pPr>
            <w:r>
              <w:rPr>
                <w:rFonts w:ascii="Times New Roman" w:hAnsi="Times New Roman"/>
                <w:b w:val="false"/>
                <w:sz w:val="20"/>
              </w:rPr>
              <w:t>)</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211"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c>
          <w:tcPr>
            <w:tcW w:w="931"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right"/>
              <w:rPr>
                <w:rFonts w:ascii="Times New Roman" w:hAnsi="Times New Roman"/>
                <w:b w:val="false"/>
                <w:sz w:val="20"/>
              </w:rPr>
            </w:pPr>
            <w:r>
              <w:rPr>
                <w:rFonts w:ascii="Times New Roman" w:hAnsi="Times New Roman"/>
                <w:b w:val="false"/>
                <w:sz w:val="20"/>
              </w:rPr>
              <w:t>(16,086</w:t>
            </w:r>
          </w:p>
        </w:tc>
        <w:tc>
          <w:tcPr>
            <w:tcW w:w="591"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rFonts w:ascii="Times New Roman" w:hAnsi="Times New Roman"/>
                <w:b w:val="false"/>
                <w:sz w:val="20"/>
              </w:rPr>
            </w:pPr>
            <w:r>
              <w:rPr>
                <w:rFonts w:ascii="Times New Roman" w:hAnsi="Times New Roman"/>
                <w:b w:val="false"/>
                <w:sz w:val="20"/>
              </w:rPr>
              <w:t>)</w:t>
            </w:r>
          </w:p>
        </w:tc>
      </w:tr>
      <w:tr>
        <w:trPr/>
        <w:tc>
          <w:tcPr>
            <w:tcW w:w="5326" w:type="dxa"/>
            <w:tcBorders/>
            <w:shd w:fill="auto" w:val="clear"/>
            <w:vAlign w:val="center"/>
          </w:tcPr>
          <w:p>
            <w:pPr>
              <w:pStyle w:val="TableContents"/>
              <w:spacing w:lineRule="auto" w:line="252" w:before="0" w:after="0"/>
              <w:ind w:left="0" w:right="0" w:hanging="0"/>
              <w:jc w:val="left"/>
              <w:rPr>
                <w:rFonts w:ascii="Times New Roman" w:hAnsi="Times New Roman"/>
                <w:b w:val="false"/>
                <w:sz w:val="20"/>
              </w:rPr>
            </w:pPr>
            <w:r>
              <w:rPr>
                <w:rFonts w:ascii="Times New Roman" w:hAnsi="Times New Roman"/>
                <w:b w:val="false"/>
                <w:sz w:val="20"/>
              </w:rPr>
              <w:t>Interest income (expense), net</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211" w:type="dxa"/>
            <w:tcBorders/>
            <w:shd w:fill="auto" w:val="clear"/>
            <w:vAlign w:val="center"/>
          </w:tcPr>
          <w:p>
            <w:pPr>
              <w:pStyle w:val="TableContents"/>
              <w:spacing w:lineRule="auto" w:line="252" w:before="0" w:after="0"/>
              <w:ind w:left="0" w:right="0" w:hanging="0"/>
              <w:jc w:val="left"/>
              <w:rPr/>
            </w:pPr>
            <w:r>
              <w:rPr/>
              <w:t> </w:t>
            </w:r>
          </w:p>
        </w:tc>
        <w:tc>
          <w:tcPr>
            <w:tcW w:w="1036" w:type="dxa"/>
            <w:tcBorders/>
            <w:shd w:fill="auto" w:val="clear"/>
            <w:vAlign w:val="center"/>
          </w:tcPr>
          <w:p>
            <w:pPr>
              <w:pStyle w:val="TableContents"/>
              <w:spacing w:lineRule="auto" w:line="252" w:before="0" w:after="0"/>
              <w:ind w:left="0" w:right="0" w:hanging="0"/>
              <w:jc w:val="right"/>
              <w:rPr>
                <w:rFonts w:ascii="Times New Roman" w:hAnsi="Times New Roman"/>
                <w:b w:val="false"/>
                <w:sz w:val="20"/>
              </w:rPr>
            </w:pPr>
            <w:r>
              <w:rPr>
                <w:rFonts w:ascii="Times New Roman" w:hAnsi="Times New Roman"/>
                <w:b w:val="false"/>
                <w:sz w:val="20"/>
              </w:rPr>
              <w:t>2</w:t>
            </w:r>
          </w:p>
        </w:tc>
        <w:tc>
          <w:tcPr>
            <w:tcW w:w="166" w:type="dxa"/>
            <w:tcBorders/>
            <w:shd w:fill="auto" w:val="cle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211" w:type="dxa"/>
            <w:tcBorders/>
            <w:shd w:fill="auto" w:val="clear"/>
            <w:vAlign w:val="center"/>
          </w:tcPr>
          <w:p>
            <w:pPr>
              <w:pStyle w:val="TableContents"/>
              <w:spacing w:lineRule="auto" w:line="252" w:before="0" w:after="0"/>
              <w:ind w:left="0" w:right="0" w:hanging="0"/>
              <w:jc w:val="left"/>
              <w:rPr/>
            </w:pPr>
            <w:r>
              <w:rPr/>
              <w:t> </w:t>
            </w:r>
          </w:p>
        </w:tc>
        <w:tc>
          <w:tcPr>
            <w:tcW w:w="931" w:type="dxa"/>
            <w:tcBorders/>
            <w:shd w:fill="auto" w:val="clear"/>
            <w:vAlign w:val="center"/>
          </w:tcPr>
          <w:p>
            <w:pPr>
              <w:pStyle w:val="TableContents"/>
              <w:spacing w:lineRule="auto" w:line="252" w:before="0" w:after="0"/>
              <w:ind w:left="0" w:right="0" w:hanging="0"/>
              <w:jc w:val="right"/>
              <w:rPr>
                <w:rFonts w:ascii="Times New Roman" w:hAnsi="Times New Roman"/>
                <w:b w:val="false"/>
                <w:sz w:val="20"/>
              </w:rPr>
            </w:pPr>
            <w:r>
              <w:rPr>
                <w:rFonts w:ascii="Times New Roman" w:hAnsi="Times New Roman"/>
                <w:b w:val="false"/>
                <w:sz w:val="20"/>
              </w:rPr>
              <w:t>(7</w:t>
            </w:r>
          </w:p>
        </w:tc>
        <w:tc>
          <w:tcPr>
            <w:tcW w:w="591" w:type="dxa"/>
            <w:tcBorders/>
            <w:shd w:fill="auto" w:val="clear"/>
            <w:vAlign w:val="center"/>
          </w:tcPr>
          <w:p>
            <w:pPr>
              <w:pStyle w:val="TableContents"/>
              <w:spacing w:lineRule="auto" w:line="252" w:before="0" w:after="0"/>
              <w:ind w:left="0" w:right="0" w:hanging="0"/>
              <w:jc w:val="left"/>
              <w:rPr>
                <w:rFonts w:ascii="Times New Roman" w:hAnsi="Times New Roman"/>
                <w:b w:val="false"/>
                <w:sz w:val="20"/>
              </w:rPr>
            </w:pPr>
            <w:r>
              <w:rPr>
                <w:rFonts w:ascii="Times New Roman" w:hAnsi="Times New Roman"/>
                <w:b w:val="false"/>
                <w:sz w:val="20"/>
              </w:rPr>
              <w:t>)</w:t>
            </w:r>
          </w:p>
        </w:tc>
      </w:tr>
      <w:tr>
        <w:trPr/>
        <w:tc>
          <w:tcPr>
            <w:tcW w:w="5326" w:type="dxa"/>
            <w:tcBorders/>
            <w:shd w:fill="auto" w:val="clear"/>
            <w:vAlign w:val="center"/>
          </w:tcPr>
          <w:p>
            <w:pPr>
              <w:pStyle w:val="TableContents"/>
              <w:spacing w:lineRule="auto" w:line="252" w:before="0" w:after="0"/>
              <w:ind w:left="0" w:right="0" w:hanging="0"/>
              <w:jc w:val="left"/>
              <w:rPr>
                <w:rFonts w:ascii="Times New Roman" w:hAnsi="Times New Roman"/>
                <w:b w:val="false"/>
                <w:sz w:val="20"/>
              </w:rPr>
            </w:pPr>
            <w:r>
              <w:rPr>
                <w:rFonts w:ascii="Times New Roman" w:hAnsi="Times New Roman"/>
                <w:b w:val="false"/>
                <w:sz w:val="20"/>
              </w:rPr>
              <w:t>Other expense, net</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211"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c>
          <w:tcPr>
            <w:tcW w:w="1036"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right"/>
              <w:rPr>
                <w:rFonts w:ascii="Times New Roman" w:hAnsi="Times New Roman"/>
                <w:b w:val="false"/>
                <w:sz w:val="20"/>
              </w:rPr>
            </w:pPr>
            <w:r>
              <w:rPr>
                <w:rFonts w:ascii="Times New Roman" w:hAnsi="Times New Roman"/>
                <w:b w:val="false"/>
                <w:sz w:val="20"/>
              </w:rPr>
              <w:t>(1</w:t>
            </w:r>
          </w:p>
        </w:tc>
        <w:tc>
          <w:tcPr>
            <w:tcW w:w="166"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rFonts w:ascii="Times New Roman" w:hAnsi="Times New Roman"/>
                <w:b w:val="false"/>
                <w:sz w:val="20"/>
              </w:rPr>
            </w:pPr>
            <w:r>
              <w:rPr>
                <w:rFonts w:ascii="Times New Roman" w:hAnsi="Times New Roman"/>
                <w:b w:val="false"/>
                <w:sz w:val="20"/>
              </w:rPr>
              <w:t>)</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211"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c>
          <w:tcPr>
            <w:tcW w:w="931"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right"/>
              <w:rPr>
                <w:rFonts w:ascii="Times New Roman" w:hAnsi="Times New Roman"/>
                <w:b w:val="false"/>
                <w:sz w:val="20"/>
              </w:rPr>
            </w:pPr>
            <w:r>
              <w:rPr>
                <w:rFonts w:ascii="Times New Roman" w:hAnsi="Times New Roman"/>
                <w:b w:val="false"/>
                <w:sz w:val="20"/>
              </w:rPr>
              <w:t>(8</w:t>
            </w:r>
          </w:p>
        </w:tc>
        <w:tc>
          <w:tcPr>
            <w:tcW w:w="591"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rFonts w:ascii="Times New Roman" w:hAnsi="Times New Roman"/>
                <w:b w:val="false"/>
                <w:sz w:val="20"/>
              </w:rPr>
            </w:pPr>
            <w:r>
              <w:rPr>
                <w:rFonts w:ascii="Times New Roman" w:hAnsi="Times New Roman"/>
                <w:b w:val="false"/>
                <w:sz w:val="20"/>
              </w:rPr>
              <w:t>)</w:t>
            </w:r>
          </w:p>
        </w:tc>
      </w:tr>
      <w:tr>
        <w:trPr/>
        <w:tc>
          <w:tcPr>
            <w:tcW w:w="5326" w:type="dxa"/>
            <w:tcBorders/>
            <w:shd w:fill="auto" w:val="clear"/>
            <w:vAlign w:val="center"/>
          </w:tcPr>
          <w:p>
            <w:pPr>
              <w:pStyle w:val="TableContents"/>
              <w:spacing w:lineRule="auto" w:line="252" w:before="0" w:after="0"/>
              <w:ind w:left="0" w:right="0" w:hanging="0"/>
              <w:jc w:val="left"/>
              <w:rPr>
                <w:rFonts w:ascii="Times New Roman" w:hAnsi="Times New Roman"/>
                <w:b/>
                <w:sz w:val="20"/>
              </w:rPr>
            </w:pPr>
            <w:r>
              <w:rPr>
                <w:rFonts w:ascii="Times New Roman" w:hAnsi="Times New Roman"/>
                <w:b/>
                <w:sz w:val="20"/>
              </w:rPr>
              <w:t>Net loss and comprehensive loss</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211"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c>
          <w:tcPr>
            <w:tcW w:w="1036"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right"/>
              <w:rPr>
                <w:rFonts w:ascii="Times New Roman" w:hAnsi="Times New Roman"/>
                <w:b w:val="false"/>
                <w:sz w:val="20"/>
              </w:rPr>
            </w:pPr>
            <w:r>
              <w:rPr>
                <w:rFonts w:ascii="Times New Roman" w:hAnsi="Times New Roman"/>
                <w:b w:val="false"/>
                <w:sz w:val="20"/>
              </w:rPr>
              <w:t>(27,747</w:t>
            </w:r>
          </w:p>
        </w:tc>
        <w:tc>
          <w:tcPr>
            <w:tcW w:w="166"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rFonts w:ascii="Times New Roman" w:hAnsi="Times New Roman"/>
                <w:b w:val="false"/>
                <w:sz w:val="20"/>
              </w:rPr>
            </w:pPr>
            <w:r>
              <w:rPr>
                <w:rFonts w:ascii="Times New Roman" w:hAnsi="Times New Roman"/>
                <w:b w:val="false"/>
                <w:sz w:val="20"/>
              </w:rPr>
              <w:t>)</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211"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c>
          <w:tcPr>
            <w:tcW w:w="931"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right"/>
              <w:rPr>
                <w:rFonts w:ascii="Times New Roman" w:hAnsi="Times New Roman"/>
                <w:b w:val="false"/>
                <w:sz w:val="20"/>
              </w:rPr>
            </w:pPr>
            <w:r>
              <w:rPr>
                <w:rFonts w:ascii="Times New Roman" w:hAnsi="Times New Roman"/>
                <w:b w:val="false"/>
                <w:sz w:val="20"/>
              </w:rPr>
              <w:t>(16,101</w:t>
            </w:r>
          </w:p>
        </w:tc>
        <w:tc>
          <w:tcPr>
            <w:tcW w:w="591"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rFonts w:ascii="Times New Roman" w:hAnsi="Times New Roman"/>
                <w:b w:val="false"/>
                <w:sz w:val="20"/>
              </w:rPr>
            </w:pPr>
            <w:r>
              <w:rPr>
                <w:rFonts w:ascii="Times New Roman" w:hAnsi="Times New Roman"/>
                <w:b w:val="false"/>
                <w:sz w:val="20"/>
              </w:rPr>
              <w:t>)</w:t>
            </w:r>
          </w:p>
        </w:tc>
      </w:tr>
      <w:tr>
        <w:trPr/>
        <w:tc>
          <w:tcPr>
            <w:tcW w:w="5326" w:type="dxa"/>
            <w:tcBorders/>
            <w:shd w:fill="auto" w:val="clear"/>
            <w:vAlign w:val="center"/>
          </w:tcPr>
          <w:p>
            <w:pPr>
              <w:pStyle w:val="TableContents"/>
              <w:spacing w:lineRule="auto" w:line="252" w:before="0" w:after="0"/>
              <w:ind w:left="0" w:right="0" w:hanging="0"/>
              <w:jc w:val="left"/>
              <w:rPr>
                <w:rFonts w:ascii="Times New Roman" w:hAnsi="Times New Roman"/>
                <w:b w:val="false"/>
                <w:sz w:val="20"/>
              </w:rPr>
            </w:pPr>
            <w:r>
              <w:rPr>
                <w:rFonts w:ascii="Times New Roman" w:hAnsi="Times New Roman"/>
                <w:b w:val="false"/>
                <w:sz w:val="20"/>
              </w:rPr>
              <w:t>Net loss attributable to redeemable convertible noncontrolling</w:t>
              <w:br/>
              <w:t>   interest</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211"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c>
          <w:tcPr>
            <w:tcW w:w="1036"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right"/>
              <w:rPr/>
            </w:pPr>
            <w:r>
              <w:rPr/>
              <w:t>—</w:t>
            </w:r>
          </w:p>
        </w:tc>
        <w:tc>
          <w:tcPr>
            <w:tcW w:w="166"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211"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c>
          <w:tcPr>
            <w:tcW w:w="931"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right"/>
              <w:rPr>
                <w:rFonts w:ascii="Times New Roman" w:hAnsi="Times New Roman"/>
                <w:b w:val="false"/>
                <w:sz w:val="20"/>
              </w:rPr>
            </w:pPr>
            <w:r>
              <w:rPr>
                <w:rFonts w:ascii="Times New Roman" w:hAnsi="Times New Roman"/>
                <w:b w:val="false"/>
                <w:sz w:val="20"/>
              </w:rPr>
              <w:t>(919</w:t>
            </w:r>
          </w:p>
        </w:tc>
        <w:tc>
          <w:tcPr>
            <w:tcW w:w="591"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rFonts w:ascii="Times New Roman" w:hAnsi="Times New Roman"/>
                <w:b w:val="false"/>
                <w:sz w:val="20"/>
              </w:rPr>
            </w:pPr>
            <w:r>
              <w:rPr>
                <w:rFonts w:ascii="Times New Roman" w:hAnsi="Times New Roman"/>
                <w:b w:val="false"/>
                <w:sz w:val="20"/>
              </w:rPr>
              <w:t>)</w:t>
            </w:r>
          </w:p>
        </w:tc>
      </w:tr>
      <w:tr>
        <w:trPr/>
        <w:tc>
          <w:tcPr>
            <w:tcW w:w="5326" w:type="dxa"/>
            <w:tcBorders/>
            <w:shd w:fill="auto" w:val="clear"/>
            <w:vAlign w:val="center"/>
          </w:tcPr>
          <w:p>
            <w:pPr>
              <w:pStyle w:val="TableContents"/>
              <w:spacing w:lineRule="auto" w:line="252" w:before="0" w:after="0"/>
              <w:ind w:left="0" w:right="0" w:hanging="0"/>
              <w:jc w:val="left"/>
              <w:rPr>
                <w:rFonts w:ascii="Times New Roman" w:hAnsi="Times New Roman"/>
                <w:b w:val="false"/>
                <w:sz w:val="20"/>
              </w:rPr>
            </w:pPr>
            <w:r>
              <w:rPr>
                <w:rFonts w:ascii="Times New Roman" w:hAnsi="Times New Roman"/>
                <w:b w:val="false"/>
                <w:sz w:val="20"/>
              </w:rPr>
              <w:t>Net loss attributable to common stockholders/members</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211" w:type="dxa"/>
            <w:tcBorders>
              <w:bottom w:val="double" w:sz="6"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rFonts w:ascii="Times New Roman" w:hAnsi="Times New Roman"/>
                <w:b w:val="false"/>
                <w:sz w:val="20"/>
              </w:rPr>
            </w:pPr>
            <w:r>
              <w:rPr>
                <w:rFonts w:ascii="Times New Roman" w:hAnsi="Times New Roman"/>
                <w:b w:val="false"/>
                <w:sz w:val="20"/>
              </w:rPr>
              <w:t>$</w:t>
            </w:r>
          </w:p>
        </w:tc>
        <w:tc>
          <w:tcPr>
            <w:tcW w:w="1036" w:type="dxa"/>
            <w:tcBorders>
              <w:bottom w:val="double" w:sz="6" w:space="0" w:color="000000"/>
            </w:tcBorders>
            <w:shd w:fill="auto" w:val="clear"/>
            <w:tcMar>
              <w:top w:w="0" w:type="dxa"/>
              <w:left w:w="0" w:type="dxa"/>
              <w:right w:w="0" w:type="dxa"/>
            </w:tcMar>
            <w:vAlign w:val="center"/>
          </w:tcPr>
          <w:p>
            <w:pPr>
              <w:pStyle w:val="TableContents"/>
              <w:spacing w:lineRule="auto" w:line="252" w:before="0" w:after="0"/>
              <w:ind w:left="0" w:right="0" w:hanging="0"/>
              <w:jc w:val="right"/>
              <w:rPr>
                <w:rFonts w:ascii="Times New Roman" w:hAnsi="Times New Roman"/>
                <w:b w:val="false"/>
                <w:sz w:val="20"/>
              </w:rPr>
            </w:pPr>
            <w:r>
              <w:rPr>
                <w:rFonts w:ascii="Times New Roman" w:hAnsi="Times New Roman"/>
                <w:b w:val="false"/>
                <w:sz w:val="20"/>
              </w:rPr>
              <w:t>(27,747</w:t>
            </w:r>
          </w:p>
        </w:tc>
        <w:tc>
          <w:tcPr>
            <w:tcW w:w="166" w:type="dxa"/>
            <w:tcBorders>
              <w:bottom w:val="double" w:sz="6"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rFonts w:ascii="Times New Roman" w:hAnsi="Times New Roman"/>
                <w:b w:val="false"/>
                <w:sz w:val="20"/>
              </w:rPr>
            </w:pPr>
            <w:r>
              <w:rPr>
                <w:rFonts w:ascii="Times New Roman" w:hAnsi="Times New Roman"/>
                <w:b w:val="false"/>
                <w:sz w:val="20"/>
              </w:rPr>
              <w:t>)</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211" w:type="dxa"/>
            <w:tcBorders>
              <w:bottom w:val="double" w:sz="6"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rFonts w:ascii="Times New Roman" w:hAnsi="Times New Roman"/>
                <w:b w:val="false"/>
                <w:sz w:val="20"/>
              </w:rPr>
            </w:pPr>
            <w:r>
              <w:rPr>
                <w:rFonts w:ascii="Times New Roman" w:hAnsi="Times New Roman"/>
                <w:b w:val="false"/>
                <w:sz w:val="20"/>
              </w:rPr>
              <w:t>$</w:t>
            </w:r>
          </w:p>
        </w:tc>
        <w:tc>
          <w:tcPr>
            <w:tcW w:w="931" w:type="dxa"/>
            <w:tcBorders>
              <w:bottom w:val="double" w:sz="6" w:space="0" w:color="000000"/>
            </w:tcBorders>
            <w:shd w:fill="auto" w:val="clear"/>
            <w:tcMar>
              <w:top w:w="0" w:type="dxa"/>
              <w:left w:w="0" w:type="dxa"/>
              <w:right w:w="0" w:type="dxa"/>
            </w:tcMar>
            <w:vAlign w:val="center"/>
          </w:tcPr>
          <w:p>
            <w:pPr>
              <w:pStyle w:val="TableContents"/>
              <w:spacing w:lineRule="auto" w:line="252" w:before="0" w:after="0"/>
              <w:ind w:left="0" w:right="0" w:hanging="0"/>
              <w:jc w:val="right"/>
              <w:rPr>
                <w:rFonts w:ascii="Times New Roman" w:hAnsi="Times New Roman"/>
                <w:b w:val="false"/>
                <w:sz w:val="20"/>
              </w:rPr>
            </w:pPr>
            <w:r>
              <w:rPr>
                <w:rFonts w:ascii="Times New Roman" w:hAnsi="Times New Roman"/>
                <w:b w:val="false"/>
                <w:sz w:val="20"/>
              </w:rPr>
              <w:t>(15,182</w:t>
            </w:r>
          </w:p>
        </w:tc>
        <w:tc>
          <w:tcPr>
            <w:tcW w:w="591" w:type="dxa"/>
            <w:tcBorders>
              <w:bottom w:val="double" w:sz="6"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rFonts w:ascii="Times New Roman" w:hAnsi="Times New Roman"/>
                <w:b w:val="false"/>
                <w:sz w:val="20"/>
              </w:rPr>
            </w:pPr>
            <w:r>
              <w:rPr>
                <w:rFonts w:ascii="Times New Roman" w:hAnsi="Times New Roman"/>
                <w:b w:val="false"/>
                <w:sz w:val="20"/>
              </w:rPr>
              <w:t>)</w:t>
            </w:r>
          </w:p>
        </w:tc>
      </w:tr>
      <w:tr>
        <w:trPr/>
        <w:tc>
          <w:tcPr>
            <w:tcW w:w="5326" w:type="dxa"/>
            <w:tcBorders/>
            <w:shd w:fill="auto" w:val="clear"/>
            <w:vAlign w:val="center"/>
          </w:tcPr>
          <w:p>
            <w:pPr>
              <w:pStyle w:val="TableContents"/>
              <w:spacing w:lineRule="auto" w:line="252" w:before="0" w:after="0"/>
              <w:ind w:left="0" w:right="0" w:hanging="0"/>
              <w:jc w:val="left"/>
              <w:rPr>
                <w:rFonts w:ascii="Times New Roman" w:hAnsi="Times New Roman"/>
                <w:b w:val="false"/>
                <w:sz w:val="20"/>
              </w:rPr>
            </w:pPr>
            <w:r>
              <w:rPr>
                <w:rFonts w:ascii="Times New Roman" w:hAnsi="Times New Roman"/>
                <w:b w:val="false"/>
                <w:sz w:val="20"/>
              </w:rPr>
              <w:t>Net loss per share, basic and diluted</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211" w:type="dxa"/>
            <w:tcBorders>
              <w:bottom w:val="double" w:sz="6"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rFonts w:ascii="Times New Roman" w:hAnsi="Times New Roman"/>
                <w:b w:val="false"/>
                <w:sz w:val="20"/>
              </w:rPr>
            </w:pPr>
            <w:r>
              <w:rPr>
                <w:rFonts w:ascii="Times New Roman" w:hAnsi="Times New Roman"/>
                <w:b w:val="false"/>
                <w:sz w:val="20"/>
              </w:rPr>
              <w:t>$</w:t>
            </w:r>
          </w:p>
        </w:tc>
        <w:tc>
          <w:tcPr>
            <w:tcW w:w="1036" w:type="dxa"/>
            <w:tcBorders>
              <w:bottom w:val="double" w:sz="6" w:space="0" w:color="000000"/>
            </w:tcBorders>
            <w:shd w:fill="auto" w:val="clear"/>
            <w:tcMar>
              <w:top w:w="0" w:type="dxa"/>
              <w:left w:w="0" w:type="dxa"/>
              <w:right w:w="0" w:type="dxa"/>
            </w:tcMar>
            <w:vAlign w:val="center"/>
          </w:tcPr>
          <w:p>
            <w:pPr>
              <w:pStyle w:val="TableContents"/>
              <w:spacing w:lineRule="auto" w:line="252" w:before="0" w:after="0"/>
              <w:ind w:left="0" w:right="0" w:hanging="0"/>
              <w:jc w:val="right"/>
              <w:rPr>
                <w:rFonts w:ascii="Times New Roman" w:hAnsi="Times New Roman"/>
                <w:b w:val="false"/>
                <w:sz w:val="20"/>
              </w:rPr>
            </w:pPr>
            <w:r>
              <w:rPr>
                <w:rFonts w:ascii="Times New Roman" w:hAnsi="Times New Roman"/>
                <w:b w:val="false"/>
                <w:sz w:val="20"/>
              </w:rPr>
              <w:t>(0.48</w:t>
            </w:r>
          </w:p>
        </w:tc>
        <w:tc>
          <w:tcPr>
            <w:tcW w:w="166" w:type="dxa"/>
            <w:tcBorders>
              <w:bottom w:val="double" w:sz="6"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rFonts w:ascii="Times New Roman" w:hAnsi="Times New Roman"/>
                <w:b w:val="false"/>
                <w:sz w:val="20"/>
              </w:rPr>
            </w:pPr>
            <w:r>
              <w:rPr>
                <w:rFonts w:ascii="Times New Roman" w:hAnsi="Times New Roman"/>
                <w:b w:val="false"/>
                <w:sz w:val="20"/>
              </w:rPr>
              <w:t>)</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211" w:type="dxa"/>
            <w:tcBorders>
              <w:bottom w:val="double" w:sz="6"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rFonts w:ascii="Times New Roman" w:hAnsi="Times New Roman"/>
                <w:b w:val="false"/>
                <w:sz w:val="20"/>
              </w:rPr>
            </w:pPr>
            <w:r>
              <w:rPr>
                <w:rFonts w:ascii="Times New Roman" w:hAnsi="Times New Roman"/>
                <w:b w:val="false"/>
                <w:sz w:val="20"/>
              </w:rPr>
              <w:t>$</w:t>
            </w:r>
          </w:p>
        </w:tc>
        <w:tc>
          <w:tcPr>
            <w:tcW w:w="931" w:type="dxa"/>
            <w:tcBorders>
              <w:bottom w:val="double" w:sz="6" w:space="0" w:color="000000"/>
            </w:tcBorders>
            <w:shd w:fill="auto" w:val="clear"/>
            <w:tcMar>
              <w:top w:w="0" w:type="dxa"/>
              <w:left w:w="0" w:type="dxa"/>
              <w:right w:w="0" w:type="dxa"/>
            </w:tcMar>
            <w:vAlign w:val="center"/>
          </w:tcPr>
          <w:p>
            <w:pPr>
              <w:pStyle w:val="TableContents"/>
              <w:spacing w:lineRule="auto" w:line="252" w:before="0" w:after="0"/>
              <w:ind w:left="0" w:right="0" w:hanging="0"/>
              <w:jc w:val="right"/>
              <w:rPr>
                <w:rFonts w:ascii="Times New Roman" w:hAnsi="Times New Roman"/>
                <w:b w:val="false"/>
                <w:sz w:val="20"/>
              </w:rPr>
            </w:pPr>
            <w:r>
              <w:rPr>
                <w:rFonts w:ascii="Times New Roman" w:hAnsi="Times New Roman"/>
                <w:b w:val="false"/>
                <w:sz w:val="20"/>
              </w:rPr>
              <w:t>(2.58</w:t>
            </w:r>
          </w:p>
        </w:tc>
        <w:tc>
          <w:tcPr>
            <w:tcW w:w="591" w:type="dxa"/>
            <w:tcBorders>
              <w:bottom w:val="double" w:sz="6"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rFonts w:ascii="Times New Roman" w:hAnsi="Times New Roman"/>
                <w:b w:val="false"/>
                <w:sz w:val="20"/>
              </w:rPr>
            </w:pPr>
            <w:r>
              <w:rPr>
                <w:rFonts w:ascii="Times New Roman" w:hAnsi="Times New Roman"/>
                <w:b w:val="false"/>
                <w:sz w:val="20"/>
              </w:rPr>
              <w:t>)</w:t>
            </w:r>
          </w:p>
        </w:tc>
      </w:tr>
      <w:tr>
        <w:trPr/>
        <w:tc>
          <w:tcPr>
            <w:tcW w:w="5326" w:type="dxa"/>
            <w:tcBorders/>
            <w:shd w:fill="auto" w:val="clear"/>
            <w:vAlign w:val="center"/>
          </w:tcPr>
          <w:p>
            <w:pPr>
              <w:pStyle w:val="TableContents"/>
              <w:spacing w:lineRule="auto" w:line="252" w:before="0" w:after="0"/>
              <w:ind w:left="0" w:right="0" w:hanging="0"/>
              <w:jc w:val="left"/>
              <w:rPr>
                <w:rFonts w:ascii="Times New Roman" w:hAnsi="Times New Roman"/>
                <w:b w:val="false"/>
                <w:sz w:val="20"/>
              </w:rPr>
            </w:pPr>
            <w:r>
              <w:rPr>
                <w:rFonts w:ascii="Times New Roman" w:hAnsi="Times New Roman"/>
                <w:b w:val="false"/>
                <w:sz w:val="20"/>
              </w:rPr>
              <w:t>Weighted-average number of common shares used in computing</w:t>
              <w:br/>
              <w:t>   net loss per share, basic and diluted</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211" w:type="dxa"/>
            <w:tcBorders>
              <w:bottom w:val="double" w:sz="6"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c>
          <w:tcPr>
            <w:tcW w:w="1036" w:type="dxa"/>
            <w:tcBorders>
              <w:bottom w:val="double" w:sz="6" w:space="0" w:color="000000"/>
            </w:tcBorders>
            <w:shd w:fill="auto" w:val="clear"/>
            <w:tcMar>
              <w:top w:w="0" w:type="dxa"/>
              <w:left w:w="0" w:type="dxa"/>
              <w:right w:w="0" w:type="dxa"/>
            </w:tcMar>
            <w:vAlign w:val="center"/>
          </w:tcPr>
          <w:p>
            <w:pPr>
              <w:pStyle w:val="TableContents"/>
              <w:spacing w:lineRule="auto" w:line="252" w:before="0" w:after="0"/>
              <w:ind w:left="0" w:right="0" w:hanging="0"/>
              <w:jc w:val="right"/>
              <w:rPr>
                <w:rFonts w:ascii="Times New Roman" w:hAnsi="Times New Roman"/>
                <w:b w:val="false"/>
                <w:sz w:val="20"/>
              </w:rPr>
            </w:pPr>
            <w:r>
              <w:rPr>
                <w:rFonts w:ascii="Times New Roman" w:hAnsi="Times New Roman"/>
                <w:b w:val="false"/>
                <w:sz w:val="20"/>
              </w:rPr>
              <w:t>58,382,444</w:t>
            </w:r>
          </w:p>
        </w:tc>
        <w:tc>
          <w:tcPr>
            <w:tcW w:w="166" w:type="dxa"/>
            <w:tcBorders>
              <w:bottom w:val="double" w:sz="6"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211" w:type="dxa"/>
            <w:tcBorders>
              <w:bottom w:val="double" w:sz="6"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c>
          <w:tcPr>
            <w:tcW w:w="931" w:type="dxa"/>
            <w:tcBorders>
              <w:bottom w:val="double" w:sz="6" w:space="0" w:color="000000"/>
            </w:tcBorders>
            <w:shd w:fill="auto" w:val="clear"/>
            <w:tcMar>
              <w:top w:w="0" w:type="dxa"/>
              <w:left w:w="0" w:type="dxa"/>
              <w:right w:w="0" w:type="dxa"/>
            </w:tcMar>
            <w:vAlign w:val="center"/>
          </w:tcPr>
          <w:p>
            <w:pPr>
              <w:pStyle w:val="TableContents"/>
              <w:spacing w:lineRule="auto" w:line="252" w:before="0" w:after="0"/>
              <w:ind w:left="0" w:right="0" w:hanging="0"/>
              <w:jc w:val="right"/>
              <w:rPr>
                <w:rFonts w:ascii="Times New Roman" w:hAnsi="Times New Roman"/>
                <w:b w:val="false"/>
                <w:sz w:val="20"/>
              </w:rPr>
            </w:pPr>
            <w:r>
              <w:rPr>
                <w:rFonts w:ascii="Times New Roman" w:hAnsi="Times New Roman"/>
                <w:b w:val="false"/>
                <w:sz w:val="20"/>
              </w:rPr>
              <w:t>5,892,145</w:t>
            </w:r>
          </w:p>
        </w:tc>
        <w:tc>
          <w:tcPr>
            <w:tcW w:w="591" w:type="dxa"/>
            <w:tcBorders>
              <w:bottom w:val="double" w:sz="6"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r>
    </w:tbl>
    <w:p>
      <w:pPr>
        <w:pStyle w:val="TextBody"/>
        <w:spacing w:lineRule="auto" w:line="273" w:before="0" w:after="0"/>
        <w:jc w:val="center"/>
        <w:rPr/>
      </w:pPr>
      <w:r>
        <w:rPr/>
        <w:t> </w:t>
      </w:r>
    </w:p>
    <w:p>
      <w:pPr>
        <w:pStyle w:val="TextBody"/>
        <w:spacing w:lineRule="auto" w:line="273" w:before="0" w:after="0"/>
        <w:jc w:val="center"/>
        <w:rPr>
          <w:rFonts w:ascii="Times New Roman" w:hAnsi="Times New Roman"/>
          <w:sz w:val="20"/>
        </w:rPr>
      </w:pPr>
      <w:r>
        <w:rPr>
          <w:rFonts w:ascii="Times New Roman" w:hAnsi="Times New Roman"/>
          <w:b w:val="false"/>
          <w:i/>
          <w:sz w:val="20"/>
        </w:rPr>
        <w:t>See accompanying notes to the condensed consolidated financial statements.</w:t>
      </w:r>
      <w:r>
        <w:rPr>
          <w:rFonts w:ascii="Times New Roman" w:hAnsi="Times New Roman"/>
          <w:sz w:val="20"/>
        </w:rPr>
        <w:t xml:space="preserve"> </w:t>
      </w:r>
    </w:p>
    <w:p>
      <w:pPr>
        <w:pStyle w:val="TextBody"/>
        <w:spacing w:lineRule="auto" w:line="273" w:before="0" w:after="0"/>
        <w:jc w:val="center"/>
        <w:rPr>
          <w:rFonts w:ascii="Times New Roman" w:hAnsi="Times New Roman"/>
          <w:b w:val="false"/>
          <w:sz w:val="20"/>
        </w:rPr>
      </w:pPr>
      <w:r>
        <w:rPr>
          <w:rFonts w:ascii="Times New Roman" w:hAnsi="Times New Roman"/>
          <w:b w:val="false"/>
          <w:sz w:val="20"/>
        </w:rPr>
        <w:t>5</w:t>
      </w:r>
    </w:p>
    <w:p>
      <w:pPr>
        <w:pStyle w:val="HorizontalLine"/>
        <w:rPr/>
      </w:pPr>
      <w:r>
        <w:rPr/>
      </w:r>
    </w:p>
    <w:p>
      <w:pPr>
        <w:pStyle w:val="TextBody"/>
        <w:spacing w:lineRule="auto" w:line="273" w:before="0" w:after="0"/>
        <w:jc w:val="left"/>
        <w:rPr/>
      </w:pPr>
      <w:r>
        <w:rPr/>
        <w:t> </w:t>
      </w:r>
    </w:p>
    <w:p>
      <w:pPr>
        <w:pStyle w:val="TextBody"/>
        <w:spacing w:lineRule="auto" w:line="273" w:before="0" w:after="0"/>
        <w:jc w:val="center"/>
        <w:rPr>
          <w:rFonts w:ascii="Times New Roman" w:hAnsi="Times New Roman"/>
          <w:b/>
          <w:sz w:val="20"/>
        </w:rPr>
      </w:pPr>
      <w:bookmarkStart w:id="6" w:name="tx180355_6"/>
      <w:bookmarkEnd w:id="6"/>
      <w:r>
        <w:rPr>
          <w:rFonts w:ascii="Times New Roman" w:hAnsi="Times New Roman"/>
          <w:b/>
          <w:sz w:val="20"/>
        </w:rPr>
        <w:t>Day One Biopharmaceuticals, Inc.</w:t>
      </w:r>
    </w:p>
    <w:p>
      <w:pPr>
        <w:pStyle w:val="TextBody"/>
        <w:spacing w:lineRule="auto" w:line="273" w:before="0" w:after="0"/>
        <w:jc w:val="center"/>
        <w:rPr>
          <w:rFonts w:ascii="Times New Roman" w:hAnsi="Times New Roman"/>
          <w:b/>
          <w:sz w:val="20"/>
        </w:rPr>
      </w:pPr>
      <w:r>
        <w:rPr>
          <w:rFonts w:ascii="Times New Roman" w:hAnsi="Times New Roman"/>
          <w:b/>
          <w:sz w:val="20"/>
        </w:rPr>
        <w:t>Condensed Consolidated Statements of Redeemable Convertible Preferred Shares,</w:t>
      </w:r>
    </w:p>
    <w:p>
      <w:pPr>
        <w:pStyle w:val="TextBody"/>
        <w:spacing w:lineRule="auto" w:line="273" w:before="0" w:after="0"/>
        <w:jc w:val="center"/>
        <w:rPr>
          <w:rFonts w:ascii="Times New Roman" w:hAnsi="Times New Roman"/>
          <w:sz w:val="20"/>
        </w:rPr>
      </w:pPr>
      <w:r>
        <w:rPr>
          <w:rFonts w:ascii="Times New Roman" w:hAnsi="Times New Roman"/>
          <w:b/>
          <w:sz w:val="20"/>
        </w:rPr>
        <w:t>Redeemable Noncontrolling Interest and Stockholders’ Equity/ Members’ (Deficit)</w:t>
      </w:r>
      <w:r>
        <w:rPr>
          <w:rFonts w:ascii="Times New Roman" w:hAnsi="Times New Roman"/>
          <w:sz w:val="20"/>
        </w:rPr>
        <w:t xml:space="preserve"> </w:t>
      </w:r>
    </w:p>
    <w:p>
      <w:pPr>
        <w:pStyle w:val="TextBody"/>
        <w:spacing w:lineRule="auto" w:line="273" w:before="0" w:after="0"/>
        <w:jc w:val="center"/>
        <w:rPr>
          <w:rFonts w:ascii="Times New Roman" w:hAnsi="Times New Roman"/>
          <w:sz w:val="20"/>
        </w:rPr>
      </w:pPr>
      <w:r>
        <w:rPr>
          <w:rFonts w:ascii="Times New Roman" w:hAnsi="Times New Roman"/>
          <w:b/>
          <w:sz w:val="20"/>
        </w:rPr>
        <w:t>(in thousands, except share amounts)</w:t>
      </w:r>
      <w:r>
        <w:rPr>
          <w:rFonts w:ascii="Times New Roman" w:hAnsi="Times New Roman"/>
          <w:sz w:val="20"/>
        </w:rPr>
        <w:t xml:space="preserve"> </w:t>
      </w:r>
    </w:p>
    <w:p>
      <w:pPr>
        <w:pStyle w:val="TextBody"/>
        <w:spacing w:lineRule="auto" w:line="273" w:before="0" w:after="0"/>
        <w:jc w:val="center"/>
        <w:rPr>
          <w:rFonts w:ascii="Times New Roman" w:hAnsi="Times New Roman"/>
          <w:sz w:val="20"/>
        </w:rPr>
      </w:pPr>
      <w:r>
        <w:rPr>
          <w:rFonts w:ascii="Times New Roman" w:hAnsi="Times New Roman"/>
          <w:b/>
          <w:sz w:val="20"/>
        </w:rPr>
        <w:t>(unaudited)</w:t>
      </w:r>
      <w:r>
        <w:rPr>
          <w:rFonts w:ascii="Times New Roman" w:hAnsi="Times New Roman"/>
          <w:sz w:val="20"/>
        </w:rPr>
        <w:t xml:space="preserve"> </w:t>
      </w:r>
    </w:p>
    <w:p>
      <w:pPr>
        <w:pStyle w:val="TextBody"/>
        <w:spacing w:lineRule="auto" w:line="273" w:before="0" w:after="0"/>
        <w:jc w:val="left"/>
        <w:rPr/>
      </w:pPr>
      <w:r>
        <w:rPr/>
        <w:t> </w:t>
      </w:r>
    </w:p>
    <w:tbl>
      <w:tblPr>
        <w:tblW w:w="7012" w:type="dxa"/>
        <w:jc w:val="left"/>
        <w:tblInd w:w="0" w:type="dxa"/>
        <w:tblCellMar>
          <w:top w:w="28" w:type="dxa"/>
          <w:left w:w="28" w:type="dxa"/>
          <w:bottom w:w="28" w:type="dxa"/>
          <w:right w:w="28" w:type="dxa"/>
        </w:tblCellMar>
      </w:tblPr>
      <w:tblGrid>
        <w:gridCol w:w="1921"/>
        <w:gridCol w:w="146"/>
        <w:gridCol w:w="146"/>
        <w:gridCol w:w="646"/>
        <w:gridCol w:w="151"/>
        <w:gridCol w:w="146"/>
        <w:gridCol w:w="170"/>
        <w:gridCol w:w="356"/>
        <w:gridCol w:w="146"/>
        <w:gridCol w:w="146"/>
        <w:gridCol w:w="166"/>
        <w:gridCol w:w="496"/>
        <w:gridCol w:w="146"/>
        <w:gridCol w:w="146"/>
        <w:gridCol w:w="186"/>
        <w:gridCol w:w="610"/>
        <w:gridCol w:w="151"/>
        <w:gridCol w:w="146"/>
        <w:gridCol w:w="199"/>
        <w:gridCol w:w="596"/>
        <w:gridCol w:w="196"/>
      </w:tblGrid>
      <w:tr>
        <w:trPr/>
        <w:tc>
          <w:tcPr>
            <w:tcW w:w="1921"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646" w:type="dxa"/>
            <w:tcBorders/>
            <w:shd w:fill="auto" w:val="clear"/>
            <w:vAlign w:val="center"/>
          </w:tcPr>
          <w:p>
            <w:pPr>
              <w:pStyle w:val="TableContents"/>
              <w:spacing w:before="0" w:after="283"/>
              <w:rPr>
                <w:sz w:val="4"/>
                <w:szCs w:val="4"/>
              </w:rPr>
            </w:pPr>
            <w:r>
              <w:rPr>
                <w:sz w:val="4"/>
                <w:szCs w:val="4"/>
              </w:rPr>
            </w:r>
          </w:p>
        </w:tc>
        <w:tc>
          <w:tcPr>
            <w:tcW w:w="151"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170" w:type="dxa"/>
            <w:tcBorders/>
            <w:shd w:fill="auto" w:val="clear"/>
            <w:vAlign w:val="center"/>
          </w:tcPr>
          <w:p>
            <w:pPr>
              <w:pStyle w:val="TableContents"/>
              <w:spacing w:before="0" w:after="283"/>
              <w:rPr>
                <w:sz w:val="4"/>
                <w:szCs w:val="4"/>
              </w:rPr>
            </w:pPr>
            <w:r>
              <w:rPr>
                <w:sz w:val="4"/>
                <w:szCs w:val="4"/>
              </w:rPr>
            </w:r>
          </w:p>
        </w:tc>
        <w:tc>
          <w:tcPr>
            <w:tcW w:w="35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166" w:type="dxa"/>
            <w:tcBorders/>
            <w:shd w:fill="auto" w:val="clear"/>
            <w:vAlign w:val="center"/>
          </w:tcPr>
          <w:p>
            <w:pPr>
              <w:pStyle w:val="TableContents"/>
              <w:spacing w:before="0" w:after="283"/>
              <w:rPr>
                <w:sz w:val="4"/>
                <w:szCs w:val="4"/>
              </w:rPr>
            </w:pPr>
            <w:r>
              <w:rPr>
                <w:sz w:val="4"/>
                <w:szCs w:val="4"/>
              </w:rPr>
            </w:r>
          </w:p>
        </w:tc>
        <w:tc>
          <w:tcPr>
            <w:tcW w:w="49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186" w:type="dxa"/>
            <w:tcBorders/>
            <w:shd w:fill="auto" w:val="clear"/>
            <w:vAlign w:val="center"/>
          </w:tcPr>
          <w:p>
            <w:pPr>
              <w:pStyle w:val="TableContents"/>
              <w:spacing w:before="0" w:after="283"/>
              <w:rPr>
                <w:sz w:val="4"/>
                <w:szCs w:val="4"/>
              </w:rPr>
            </w:pPr>
            <w:r>
              <w:rPr>
                <w:sz w:val="4"/>
                <w:szCs w:val="4"/>
              </w:rPr>
            </w:r>
          </w:p>
        </w:tc>
        <w:tc>
          <w:tcPr>
            <w:tcW w:w="610" w:type="dxa"/>
            <w:tcBorders/>
            <w:shd w:fill="auto" w:val="clear"/>
            <w:vAlign w:val="center"/>
          </w:tcPr>
          <w:p>
            <w:pPr>
              <w:pStyle w:val="TableContents"/>
              <w:spacing w:before="0" w:after="283"/>
              <w:rPr>
                <w:sz w:val="4"/>
                <w:szCs w:val="4"/>
              </w:rPr>
            </w:pPr>
            <w:r>
              <w:rPr>
                <w:sz w:val="4"/>
                <w:szCs w:val="4"/>
              </w:rPr>
            </w:r>
          </w:p>
        </w:tc>
        <w:tc>
          <w:tcPr>
            <w:tcW w:w="151"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199" w:type="dxa"/>
            <w:tcBorders/>
            <w:shd w:fill="auto" w:val="clear"/>
            <w:vAlign w:val="center"/>
          </w:tcPr>
          <w:p>
            <w:pPr>
              <w:pStyle w:val="TableContents"/>
              <w:spacing w:before="0" w:after="283"/>
              <w:rPr>
                <w:sz w:val="4"/>
                <w:szCs w:val="4"/>
              </w:rPr>
            </w:pPr>
            <w:r>
              <w:rPr>
                <w:sz w:val="4"/>
                <w:szCs w:val="4"/>
              </w:rPr>
            </w:r>
          </w:p>
        </w:tc>
        <w:tc>
          <w:tcPr>
            <w:tcW w:w="596" w:type="dxa"/>
            <w:tcBorders/>
            <w:shd w:fill="auto" w:val="clear"/>
            <w:vAlign w:val="center"/>
          </w:tcPr>
          <w:p>
            <w:pPr>
              <w:pStyle w:val="TableContents"/>
              <w:spacing w:before="0" w:after="283"/>
              <w:rPr>
                <w:sz w:val="4"/>
                <w:szCs w:val="4"/>
              </w:rPr>
            </w:pPr>
            <w:r>
              <w:rPr>
                <w:sz w:val="4"/>
                <w:szCs w:val="4"/>
              </w:rPr>
            </w:r>
          </w:p>
        </w:tc>
        <w:tc>
          <w:tcPr>
            <w:tcW w:w="196" w:type="dxa"/>
            <w:tcBorders/>
            <w:shd w:fill="auto" w:val="clear"/>
            <w:vAlign w:val="center"/>
          </w:tcPr>
          <w:p>
            <w:pPr>
              <w:pStyle w:val="TableContents"/>
              <w:spacing w:before="0" w:after="283"/>
              <w:rPr>
                <w:sz w:val="4"/>
                <w:szCs w:val="4"/>
              </w:rPr>
            </w:pPr>
            <w:r>
              <w:rPr>
                <w:sz w:val="4"/>
                <w:szCs w:val="4"/>
              </w:rPr>
            </w:r>
          </w:p>
        </w:tc>
      </w:tr>
      <w:tr>
        <w:trPr/>
        <w:tc>
          <w:tcPr>
            <w:tcW w:w="1921" w:type="dxa"/>
            <w:tcBorders/>
            <w:shd w:fill="auto" w:val="clear"/>
            <w:vAlign w:val="center"/>
          </w:tcPr>
          <w:p>
            <w:pPr>
              <w:pStyle w:val="TableContents"/>
              <w:spacing w:lineRule="auto" w:line="252" w:before="0" w:after="0"/>
              <w:ind w:left="0" w:right="0" w:hanging="0"/>
              <w:jc w:val="center"/>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615" w:type="dxa"/>
            <w:gridSpan w:val="6"/>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center"/>
              <w:rPr>
                <w:rFonts w:ascii="Times New Roman" w:hAnsi="Times New Roman"/>
                <w:b/>
                <w:sz w:val="12"/>
              </w:rPr>
            </w:pPr>
            <w:r>
              <w:rPr>
                <w:rFonts w:ascii="Times New Roman" w:hAnsi="Times New Roman"/>
                <w:b/>
                <w:sz w:val="12"/>
              </w:rPr>
              <w:t>Common Shares</w:t>
            </w:r>
          </w:p>
        </w:tc>
        <w:tc>
          <w:tcPr>
            <w:tcW w:w="146"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center"/>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662" w:type="dxa"/>
            <w:gridSpan w:val="2"/>
            <w:tcBorders/>
            <w:shd w:fill="auto" w:val="clear"/>
            <w:vAlign w:val="center"/>
          </w:tcPr>
          <w:p>
            <w:pPr>
              <w:pStyle w:val="TableContents"/>
              <w:spacing w:lineRule="auto" w:line="252" w:before="0" w:after="0"/>
              <w:ind w:left="0" w:right="0" w:hanging="0"/>
              <w:jc w:val="center"/>
              <w:rPr>
                <w:rFonts w:ascii="Times New Roman" w:hAnsi="Times New Roman"/>
                <w:b/>
                <w:sz w:val="12"/>
              </w:rPr>
            </w:pPr>
            <w:r>
              <w:rPr>
                <w:rFonts w:ascii="Times New Roman" w:hAnsi="Times New Roman"/>
                <w:b/>
                <w:sz w:val="12"/>
              </w:rPr>
              <w:t>Additional</w:t>
              <w:br/>
              <w:t>Paid-In</w:t>
            </w:r>
          </w:p>
        </w:tc>
        <w:tc>
          <w:tcPr>
            <w:tcW w:w="146" w:type="dxa"/>
            <w:tcBorders/>
            <w:shd w:fill="auto" w:val="clear"/>
            <w:vAlign w:val="center"/>
          </w:tcPr>
          <w:p>
            <w:pPr>
              <w:pStyle w:val="TableContents"/>
              <w:spacing w:lineRule="auto" w:line="252" w:before="0" w:after="0"/>
              <w:ind w:left="0" w:right="0" w:hanging="0"/>
              <w:jc w:val="center"/>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796" w:type="dxa"/>
            <w:gridSpan w:val="2"/>
            <w:tcBorders/>
            <w:shd w:fill="auto" w:val="clear"/>
            <w:vAlign w:val="center"/>
          </w:tcPr>
          <w:p>
            <w:pPr>
              <w:pStyle w:val="TableContents"/>
              <w:spacing w:lineRule="auto" w:line="252" w:before="0" w:after="0"/>
              <w:ind w:left="0" w:right="0" w:hanging="0"/>
              <w:jc w:val="center"/>
              <w:rPr>
                <w:rFonts w:ascii="Times New Roman" w:hAnsi="Times New Roman"/>
                <w:b/>
                <w:sz w:val="12"/>
              </w:rPr>
            </w:pPr>
            <w:r>
              <w:rPr>
                <w:rFonts w:ascii="Times New Roman" w:hAnsi="Times New Roman"/>
                <w:b/>
                <w:sz w:val="12"/>
              </w:rPr>
              <w:t>Accumulated</w:t>
            </w:r>
          </w:p>
        </w:tc>
        <w:tc>
          <w:tcPr>
            <w:tcW w:w="151" w:type="dxa"/>
            <w:tcBorders/>
            <w:shd w:fill="auto" w:val="clear"/>
            <w:vAlign w:val="center"/>
          </w:tcPr>
          <w:p>
            <w:pPr>
              <w:pStyle w:val="TableContents"/>
              <w:spacing w:lineRule="auto" w:line="252" w:before="0" w:after="0"/>
              <w:ind w:left="0" w:right="0" w:hanging="0"/>
              <w:jc w:val="center"/>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795" w:type="dxa"/>
            <w:gridSpan w:val="2"/>
            <w:tcBorders/>
            <w:shd w:fill="auto" w:val="clear"/>
            <w:vAlign w:val="center"/>
          </w:tcPr>
          <w:p>
            <w:pPr>
              <w:pStyle w:val="TableContents"/>
              <w:spacing w:lineRule="auto" w:line="252" w:before="0" w:after="0"/>
              <w:ind w:left="0" w:right="0" w:hanging="0"/>
              <w:jc w:val="center"/>
              <w:rPr>
                <w:rFonts w:ascii="Times New Roman" w:hAnsi="Times New Roman"/>
                <w:b/>
                <w:sz w:val="12"/>
              </w:rPr>
            </w:pPr>
            <w:r>
              <w:rPr>
                <w:rFonts w:ascii="Times New Roman" w:hAnsi="Times New Roman"/>
                <w:b/>
                <w:sz w:val="12"/>
              </w:rPr>
              <w:t>Stockholders'</w:t>
            </w:r>
          </w:p>
        </w:tc>
        <w:tc>
          <w:tcPr>
            <w:tcW w:w="196" w:type="dxa"/>
            <w:tcBorders/>
            <w:shd w:fill="auto" w:val="clear"/>
            <w:vAlign w:val="center"/>
          </w:tcPr>
          <w:p>
            <w:pPr>
              <w:pStyle w:val="TableContents"/>
              <w:spacing w:lineRule="auto" w:line="252" w:before="0" w:after="0"/>
              <w:ind w:left="0" w:right="0" w:hanging="0"/>
              <w:jc w:val="center"/>
              <w:rPr/>
            </w:pPr>
            <w:r>
              <w:rPr/>
              <w:t> </w:t>
            </w:r>
          </w:p>
        </w:tc>
      </w:tr>
      <w:tr>
        <w:trPr/>
        <w:tc>
          <w:tcPr>
            <w:tcW w:w="1921" w:type="dxa"/>
            <w:tcBorders/>
            <w:shd w:fill="auto" w:val="clear"/>
            <w:vAlign w:val="center"/>
          </w:tcPr>
          <w:p>
            <w:pPr>
              <w:pStyle w:val="TableContents"/>
              <w:spacing w:lineRule="auto" w:line="252" w:before="0" w:after="0"/>
              <w:ind w:left="0" w:right="0" w:hanging="0"/>
              <w:jc w:val="center"/>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792" w:type="dxa"/>
            <w:gridSpan w:val="2"/>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center"/>
              <w:rPr>
                <w:rFonts w:ascii="Times New Roman" w:hAnsi="Times New Roman"/>
                <w:b/>
                <w:sz w:val="12"/>
              </w:rPr>
            </w:pPr>
            <w:r>
              <w:rPr>
                <w:rFonts w:ascii="Times New Roman" w:hAnsi="Times New Roman"/>
                <w:b/>
                <w:sz w:val="12"/>
              </w:rPr>
              <w:t>Shares</w:t>
            </w:r>
          </w:p>
        </w:tc>
        <w:tc>
          <w:tcPr>
            <w:tcW w:w="151"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center"/>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526" w:type="dxa"/>
            <w:gridSpan w:val="2"/>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center"/>
              <w:rPr>
                <w:rFonts w:ascii="Times New Roman" w:hAnsi="Times New Roman"/>
                <w:b/>
                <w:sz w:val="12"/>
              </w:rPr>
            </w:pPr>
            <w:r>
              <w:rPr>
                <w:rFonts w:ascii="Times New Roman" w:hAnsi="Times New Roman"/>
                <w:b/>
                <w:sz w:val="12"/>
              </w:rPr>
              <w:t>Amount</w:t>
            </w:r>
          </w:p>
        </w:tc>
        <w:tc>
          <w:tcPr>
            <w:tcW w:w="146"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center"/>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662" w:type="dxa"/>
            <w:gridSpan w:val="2"/>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center"/>
              <w:rPr>
                <w:rFonts w:ascii="Times New Roman" w:hAnsi="Times New Roman"/>
                <w:b/>
                <w:sz w:val="12"/>
              </w:rPr>
            </w:pPr>
            <w:r>
              <w:rPr>
                <w:rFonts w:ascii="Times New Roman" w:hAnsi="Times New Roman"/>
                <w:b/>
                <w:sz w:val="12"/>
              </w:rPr>
              <w:t>Capital</w:t>
            </w:r>
          </w:p>
        </w:tc>
        <w:tc>
          <w:tcPr>
            <w:tcW w:w="146"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center"/>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796" w:type="dxa"/>
            <w:gridSpan w:val="2"/>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center"/>
              <w:rPr>
                <w:rFonts w:ascii="Times New Roman" w:hAnsi="Times New Roman"/>
                <w:b/>
                <w:sz w:val="12"/>
              </w:rPr>
            </w:pPr>
            <w:r>
              <w:rPr>
                <w:rFonts w:ascii="Times New Roman" w:hAnsi="Times New Roman"/>
                <w:b/>
                <w:sz w:val="12"/>
              </w:rPr>
              <w:t>Deficit</w:t>
            </w:r>
          </w:p>
        </w:tc>
        <w:tc>
          <w:tcPr>
            <w:tcW w:w="151"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center"/>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795" w:type="dxa"/>
            <w:gridSpan w:val="2"/>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center"/>
              <w:rPr>
                <w:rFonts w:ascii="Times New Roman" w:hAnsi="Times New Roman"/>
                <w:b/>
                <w:sz w:val="12"/>
              </w:rPr>
            </w:pPr>
            <w:r>
              <w:rPr>
                <w:rFonts w:ascii="Times New Roman" w:hAnsi="Times New Roman"/>
                <w:b/>
                <w:sz w:val="12"/>
              </w:rPr>
              <w:t>Equity</w:t>
            </w:r>
          </w:p>
        </w:tc>
        <w:tc>
          <w:tcPr>
            <w:tcW w:w="196"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center"/>
              <w:rPr/>
            </w:pPr>
            <w:r>
              <w:rPr/>
              <w:t> </w:t>
            </w:r>
          </w:p>
        </w:tc>
      </w:tr>
      <w:tr>
        <w:trPr/>
        <w:tc>
          <w:tcPr>
            <w:tcW w:w="1921" w:type="dxa"/>
            <w:tcBorders/>
            <w:shd w:fill="auto" w:val="clear"/>
            <w:vAlign w:val="center"/>
          </w:tcPr>
          <w:p>
            <w:pPr>
              <w:pStyle w:val="TableContents"/>
              <w:spacing w:lineRule="auto" w:line="252" w:before="0" w:after="0"/>
              <w:ind w:left="0" w:right="0" w:hanging="0"/>
              <w:jc w:val="left"/>
              <w:rPr>
                <w:rFonts w:ascii="Times New Roman" w:hAnsi="Times New Roman"/>
                <w:b/>
                <w:sz w:val="12"/>
              </w:rPr>
            </w:pPr>
            <w:r>
              <w:rPr>
                <w:rFonts w:ascii="Times New Roman" w:hAnsi="Times New Roman"/>
                <w:b/>
                <w:sz w:val="12"/>
              </w:rPr>
              <w:t>Balance at December 31, 2021</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46"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c>
          <w:tcPr>
            <w:tcW w:w="646"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right"/>
              <w:rPr>
                <w:rFonts w:ascii="Times New Roman" w:hAnsi="Times New Roman"/>
                <w:b w:val="false"/>
                <w:sz w:val="12"/>
              </w:rPr>
            </w:pPr>
            <w:r>
              <w:rPr>
                <w:rFonts w:ascii="Times New Roman" w:hAnsi="Times New Roman"/>
                <w:b w:val="false"/>
                <w:sz w:val="12"/>
              </w:rPr>
              <w:t>61,952,292</w:t>
            </w:r>
          </w:p>
        </w:tc>
        <w:tc>
          <w:tcPr>
            <w:tcW w:w="151"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70"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rFonts w:ascii="Times New Roman" w:hAnsi="Times New Roman"/>
                <w:b w:val="false"/>
                <w:sz w:val="12"/>
              </w:rPr>
            </w:pPr>
            <w:r>
              <w:rPr>
                <w:rFonts w:ascii="Times New Roman" w:hAnsi="Times New Roman"/>
                <w:b w:val="false"/>
                <w:sz w:val="12"/>
              </w:rPr>
              <w:t>$</w:t>
            </w:r>
          </w:p>
        </w:tc>
        <w:tc>
          <w:tcPr>
            <w:tcW w:w="356"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right"/>
              <w:rPr>
                <w:rFonts w:ascii="Times New Roman" w:hAnsi="Times New Roman"/>
                <w:b w:val="false"/>
                <w:sz w:val="12"/>
              </w:rPr>
            </w:pPr>
            <w:r>
              <w:rPr>
                <w:rFonts w:ascii="Times New Roman" w:hAnsi="Times New Roman"/>
                <w:b w:val="false"/>
                <w:sz w:val="12"/>
              </w:rPr>
              <w:t>6</w:t>
            </w:r>
          </w:p>
        </w:tc>
        <w:tc>
          <w:tcPr>
            <w:tcW w:w="146"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66"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rFonts w:ascii="Times New Roman" w:hAnsi="Times New Roman"/>
                <w:b w:val="false"/>
                <w:sz w:val="12"/>
              </w:rPr>
            </w:pPr>
            <w:r>
              <w:rPr>
                <w:rFonts w:ascii="Times New Roman" w:hAnsi="Times New Roman"/>
                <w:b w:val="false"/>
                <w:sz w:val="12"/>
              </w:rPr>
              <w:t>$</w:t>
            </w:r>
          </w:p>
        </w:tc>
        <w:tc>
          <w:tcPr>
            <w:tcW w:w="496"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right"/>
              <w:rPr>
                <w:rFonts w:ascii="Times New Roman" w:hAnsi="Times New Roman"/>
                <w:b w:val="false"/>
                <w:sz w:val="12"/>
              </w:rPr>
            </w:pPr>
            <w:r>
              <w:rPr>
                <w:rFonts w:ascii="Times New Roman" w:hAnsi="Times New Roman"/>
                <w:b w:val="false"/>
                <w:sz w:val="12"/>
              </w:rPr>
              <w:t>408,629</w:t>
            </w:r>
          </w:p>
        </w:tc>
        <w:tc>
          <w:tcPr>
            <w:tcW w:w="146"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86"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rFonts w:ascii="Times New Roman" w:hAnsi="Times New Roman"/>
                <w:b w:val="false"/>
                <w:sz w:val="12"/>
              </w:rPr>
            </w:pPr>
            <w:r>
              <w:rPr>
                <w:rFonts w:ascii="Times New Roman" w:hAnsi="Times New Roman"/>
                <w:b w:val="false"/>
                <w:sz w:val="12"/>
              </w:rPr>
              <w:t>$</w:t>
            </w:r>
          </w:p>
        </w:tc>
        <w:tc>
          <w:tcPr>
            <w:tcW w:w="610"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right"/>
              <w:rPr>
                <w:rFonts w:ascii="Times New Roman" w:hAnsi="Times New Roman"/>
                <w:b w:val="false"/>
                <w:sz w:val="12"/>
              </w:rPr>
            </w:pPr>
            <w:r>
              <w:rPr>
                <w:rFonts w:ascii="Times New Roman" w:hAnsi="Times New Roman"/>
                <w:b w:val="false"/>
                <w:sz w:val="12"/>
              </w:rPr>
              <w:t>(127,487</w:t>
            </w:r>
          </w:p>
        </w:tc>
        <w:tc>
          <w:tcPr>
            <w:tcW w:w="151"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rFonts w:ascii="Times New Roman" w:hAnsi="Times New Roman"/>
                <w:b w:val="false"/>
                <w:sz w:val="12"/>
              </w:rPr>
            </w:pPr>
            <w:r>
              <w:rPr>
                <w:rFonts w:ascii="Times New Roman" w:hAnsi="Times New Roman"/>
                <w:b w:val="false"/>
                <w:sz w:val="12"/>
              </w:rPr>
              <w:t>)</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99"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rFonts w:ascii="Times New Roman" w:hAnsi="Times New Roman"/>
                <w:b w:val="false"/>
                <w:sz w:val="12"/>
              </w:rPr>
            </w:pPr>
            <w:r>
              <w:rPr>
                <w:rFonts w:ascii="Times New Roman" w:hAnsi="Times New Roman"/>
                <w:b w:val="false"/>
                <w:sz w:val="12"/>
              </w:rPr>
              <w:t>$</w:t>
            </w:r>
          </w:p>
        </w:tc>
        <w:tc>
          <w:tcPr>
            <w:tcW w:w="596"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right"/>
              <w:rPr>
                <w:rFonts w:ascii="Times New Roman" w:hAnsi="Times New Roman"/>
                <w:b w:val="false"/>
                <w:sz w:val="12"/>
              </w:rPr>
            </w:pPr>
            <w:r>
              <w:rPr>
                <w:rFonts w:ascii="Times New Roman" w:hAnsi="Times New Roman"/>
                <w:b w:val="false"/>
                <w:sz w:val="12"/>
              </w:rPr>
              <w:t>281,148</w:t>
            </w:r>
          </w:p>
        </w:tc>
        <w:tc>
          <w:tcPr>
            <w:tcW w:w="196"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r>
      <w:tr>
        <w:trPr/>
        <w:tc>
          <w:tcPr>
            <w:tcW w:w="1921" w:type="dxa"/>
            <w:tcBorders/>
            <w:shd w:fill="auto" w:val="clear"/>
            <w:vAlign w:val="center"/>
          </w:tcPr>
          <w:p>
            <w:pPr>
              <w:pStyle w:val="TableContents"/>
              <w:spacing w:lineRule="auto" w:line="252" w:before="0" w:after="0"/>
              <w:ind w:left="0" w:right="0" w:hanging="0"/>
              <w:jc w:val="left"/>
              <w:rPr>
                <w:rFonts w:ascii="Times New Roman" w:hAnsi="Times New Roman"/>
                <w:b w:val="false"/>
                <w:sz w:val="12"/>
              </w:rPr>
            </w:pPr>
            <w:r>
              <w:rPr>
                <w:rFonts w:ascii="Times New Roman" w:hAnsi="Times New Roman"/>
                <w:b w:val="false"/>
                <w:sz w:val="12"/>
              </w:rPr>
              <w:t>Share-based compensation expenses</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646" w:type="dxa"/>
            <w:tcBorders/>
            <w:shd w:fill="auto" w:val="clear"/>
            <w:vAlign w:val="center"/>
          </w:tcPr>
          <w:p>
            <w:pPr>
              <w:pStyle w:val="TableContents"/>
              <w:spacing w:lineRule="auto" w:line="252" w:before="0" w:after="0"/>
              <w:ind w:left="0" w:right="0" w:hanging="0"/>
              <w:jc w:val="right"/>
              <w:rPr/>
            </w:pPr>
            <w:r>
              <w:rPr/>
              <w:t>—</w:t>
            </w:r>
          </w:p>
        </w:tc>
        <w:tc>
          <w:tcPr>
            <w:tcW w:w="151" w:type="dxa"/>
            <w:tcBorders/>
            <w:shd w:fill="auto" w:val="cle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70" w:type="dxa"/>
            <w:tcBorders/>
            <w:shd w:fill="auto" w:val="clear"/>
            <w:vAlign w:val="center"/>
          </w:tcPr>
          <w:p>
            <w:pPr>
              <w:pStyle w:val="TableContents"/>
              <w:spacing w:lineRule="auto" w:line="252" w:before="0" w:after="0"/>
              <w:ind w:left="0" w:right="0" w:hanging="0"/>
              <w:jc w:val="left"/>
              <w:rPr/>
            </w:pPr>
            <w:r>
              <w:rPr/>
              <w:t> </w:t>
            </w:r>
          </w:p>
        </w:tc>
        <w:tc>
          <w:tcPr>
            <w:tcW w:w="356" w:type="dxa"/>
            <w:tcBorders/>
            <w:shd w:fill="auto" w:val="clear"/>
            <w:vAlign w:val="center"/>
          </w:tcPr>
          <w:p>
            <w:pPr>
              <w:pStyle w:val="TableContents"/>
              <w:spacing w:lineRule="auto" w:line="252" w:before="0" w:after="0"/>
              <w:ind w:left="0" w:right="0" w:hanging="0"/>
              <w:jc w:val="right"/>
              <w:rPr/>
            </w:pPr>
            <w:r>
              <w:rPr/>
              <w:t>—</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66" w:type="dxa"/>
            <w:tcBorders/>
            <w:shd w:fill="auto" w:val="clear"/>
            <w:vAlign w:val="center"/>
          </w:tcPr>
          <w:p>
            <w:pPr>
              <w:pStyle w:val="TableContents"/>
              <w:spacing w:lineRule="auto" w:line="252" w:before="0" w:after="0"/>
              <w:ind w:left="0" w:right="0" w:hanging="0"/>
              <w:jc w:val="left"/>
              <w:rPr/>
            </w:pPr>
            <w:r>
              <w:rPr/>
              <w:t> </w:t>
            </w:r>
          </w:p>
        </w:tc>
        <w:tc>
          <w:tcPr>
            <w:tcW w:w="496" w:type="dxa"/>
            <w:tcBorders/>
            <w:shd w:fill="auto" w:val="clear"/>
            <w:vAlign w:val="center"/>
          </w:tcPr>
          <w:p>
            <w:pPr>
              <w:pStyle w:val="TableContents"/>
              <w:spacing w:lineRule="auto" w:line="252" w:before="0" w:after="0"/>
              <w:ind w:left="0" w:right="0" w:hanging="0"/>
              <w:jc w:val="right"/>
              <w:rPr>
                <w:rFonts w:ascii="Times New Roman" w:hAnsi="Times New Roman"/>
                <w:b w:val="false"/>
                <w:sz w:val="12"/>
              </w:rPr>
            </w:pPr>
            <w:r>
              <w:rPr>
                <w:rFonts w:ascii="Times New Roman" w:hAnsi="Times New Roman"/>
                <w:b w:val="false"/>
                <w:sz w:val="12"/>
              </w:rPr>
              <w:t>6,202</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86" w:type="dxa"/>
            <w:tcBorders/>
            <w:shd w:fill="auto" w:val="clear"/>
            <w:vAlign w:val="center"/>
          </w:tcPr>
          <w:p>
            <w:pPr>
              <w:pStyle w:val="TableContents"/>
              <w:spacing w:lineRule="auto" w:line="252" w:before="0" w:after="0"/>
              <w:ind w:left="0" w:right="0" w:hanging="0"/>
              <w:jc w:val="left"/>
              <w:rPr/>
            </w:pPr>
            <w:r>
              <w:rPr/>
              <w:t> </w:t>
            </w:r>
          </w:p>
        </w:tc>
        <w:tc>
          <w:tcPr>
            <w:tcW w:w="610" w:type="dxa"/>
            <w:tcBorders/>
            <w:shd w:fill="auto" w:val="clear"/>
            <w:vAlign w:val="center"/>
          </w:tcPr>
          <w:p>
            <w:pPr>
              <w:pStyle w:val="TableContents"/>
              <w:spacing w:lineRule="auto" w:line="252" w:before="0" w:after="0"/>
              <w:ind w:left="0" w:right="0" w:hanging="0"/>
              <w:jc w:val="right"/>
              <w:rPr/>
            </w:pPr>
            <w:r>
              <w:rPr/>
              <w:t>—</w:t>
            </w:r>
          </w:p>
        </w:tc>
        <w:tc>
          <w:tcPr>
            <w:tcW w:w="151" w:type="dxa"/>
            <w:tcBorders/>
            <w:shd w:fill="auto" w:val="cle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99" w:type="dxa"/>
            <w:tcBorders/>
            <w:shd w:fill="auto" w:val="clear"/>
            <w:vAlign w:val="center"/>
          </w:tcPr>
          <w:p>
            <w:pPr>
              <w:pStyle w:val="TableContents"/>
              <w:spacing w:lineRule="auto" w:line="252" w:before="0" w:after="0"/>
              <w:ind w:left="0" w:right="0" w:hanging="0"/>
              <w:jc w:val="left"/>
              <w:rPr/>
            </w:pPr>
            <w:r>
              <w:rPr/>
              <w:t> </w:t>
            </w:r>
          </w:p>
        </w:tc>
        <w:tc>
          <w:tcPr>
            <w:tcW w:w="596" w:type="dxa"/>
            <w:tcBorders/>
            <w:shd w:fill="auto" w:val="clear"/>
            <w:vAlign w:val="center"/>
          </w:tcPr>
          <w:p>
            <w:pPr>
              <w:pStyle w:val="TableContents"/>
              <w:spacing w:lineRule="auto" w:line="252" w:before="0" w:after="0"/>
              <w:ind w:left="0" w:right="0" w:hanging="0"/>
              <w:jc w:val="right"/>
              <w:rPr>
                <w:rFonts w:ascii="Times New Roman" w:hAnsi="Times New Roman"/>
                <w:b w:val="false"/>
                <w:sz w:val="12"/>
              </w:rPr>
            </w:pPr>
            <w:r>
              <w:rPr>
                <w:rFonts w:ascii="Times New Roman" w:hAnsi="Times New Roman"/>
                <w:b w:val="false"/>
                <w:sz w:val="12"/>
              </w:rPr>
              <w:t>6,202</w:t>
            </w:r>
          </w:p>
        </w:tc>
        <w:tc>
          <w:tcPr>
            <w:tcW w:w="196" w:type="dxa"/>
            <w:tcBorders/>
            <w:shd w:fill="auto" w:val="clear"/>
            <w:vAlign w:val="center"/>
          </w:tcPr>
          <w:p>
            <w:pPr>
              <w:pStyle w:val="TableContents"/>
              <w:spacing w:lineRule="auto" w:line="252" w:before="0" w:after="0"/>
              <w:ind w:left="0" w:right="0" w:hanging="0"/>
              <w:jc w:val="left"/>
              <w:rPr/>
            </w:pPr>
            <w:r>
              <w:rPr/>
              <w:t> </w:t>
            </w:r>
          </w:p>
        </w:tc>
      </w:tr>
      <w:tr>
        <w:trPr/>
        <w:tc>
          <w:tcPr>
            <w:tcW w:w="1921" w:type="dxa"/>
            <w:tcBorders/>
            <w:shd w:fill="auto" w:val="clear"/>
            <w:vAlign w:val="center"/>
          </w:tcPr>
          <w:p>
            <w:pPr>
              <w:pStyle w:val="TableContents"/>
              <w:spacing w:lineRule="auto" w:line="252" w:before="0" w:after="0"/>
              <w:ind w:left="0" w:right="0" w:hanging="0"/>
              <w:jc w:val="left"/>
              <w:rPr>
                <w:rFonts w:ascii="Times New Roman" w:hAnsi="Times New Roman"/>
                <w:b w:val="false"/>
                <w:sz w:val="12"/>
              </w:rPr>
            </w:pPr>
            <w:r>
              <w:rPr>
                <w:rFonts w:ascii="Times New Roman" w:hAnsi="Times New Roman"/>
                <w:b w:val="false"/>
                <w:sz w:val="12"/>
              </w:rPr>
              <w:t>Unvested common stock forfeiture</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646" w:type="dxa"/>
            <w:tcBorders/>
            <w:shd w:fill="auto" w:val="clear"/>
            <w:vAlign w:val="center"/>
          </w:tcPr>
          <w:p>
            <w:pPr>
              <w:pStyle w:val="TableContents"/>
              <w:spacing w:lineRule="auto" w:line="252" w:before="0" w:after="0"/>
              <w:ind w:left="0" w:right="0" w:hanging="0"/>
              <w:jc w:val="right"/>
              <w:rPr>
                <w:rFonts w:ascii="Times New Roman" w:hAnsi="Times New Roman"/>
                <w:b w:val="false"/>
                <w:sz w:val="12"/>
              </w:rPr>
            </w:pPr>
            <w:r>
              <w:rPr>
                <w:rFonts w:ascii="Times New Roman" w:hAnsi="Times New Roman"/>
                <w:b w:val="false"/>
                <w:sz w:val="12"/>
              </w:rPr>
              <w:t>(40,363</w:t>
            </w:r>
          </w:p>
        </w:tc>
        <w:tc>
          <w:tcPr>
            <w:tcW w:w="151" w:type="dxa"/>
            <w:tcBorders/>
            <w:shd w:fill="auto" w:val="clear"/>
            <w:vAlign w:val="center"/>
          </w:tcPr>
          <w:p>
            <w:pPr>
              <w:pStyle w:val="TableContents"/>
              <w:spacing w:lineRule="auto" w:line="252" w:before="0" w:after="0"/>
              <w:ind w:left="0" w:right="0" w:hanging="0"/>
              <w:jc w:val="left"/>
              <w:rPr>
                <w:rFonts w:ascii="Times New Roman" w:hAnsi="Times New Roman"/>
                <w:b w:val="false"/>
                <w:sz w:val="12"/>
              </w:rPr>
            </w:pPr>
            <w:r>
              <w:rPr>
                <w:rFonts w:ascii="Times New Roman" w:hAnsi="Times New Roman"/>
                <w:b w:val="false"/>
                <w:sz w:val="12"/>
              </w:rPr>
              <w:t>)</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70" w:type="dxa"/>
            <w:tcBorders/>
            <w:shd w:fill="auto" w:val="clear"/>
            <w:vAlign w:val="center"/>
          </w:tcPr>
          <w:p>
            <w:pPr>
              <w:pStyle w:val="TableContents"/>
              <w:spacing w:lineRule="auto" w:line="252" w:before="0" w:after="0"/>
              <w:ind w:left="0" w:right="0" w:hanging="0"/>
              <w:jc w:val="left"/>
              <w:rPr/>
            </w:pPr>
            <w:r>
              <w:rPr/>
              <w:t> </w:t>
            </w:r>
          </w:p>
        </w:tc>
        <w:tc>
          <w:tcPr>
            <w:tcW w:w="356" w:type="dxa"/>
            <w:tcBorders/>
            <w:shd w:fill="auto" w:val="clear"/>
            <w:vAlign w:val="center"/>
          </w:tcPr>
          <w:p>
            <w:pPr>
              <w:pStyle w:val="TableContents"/>
              <w:spacing w:lineRule="auto" w:line="252" w:before="0" w:after="0"/>
              <w:ind w:left="0" w:right="0" w:hanging="0"/>
              <w:jc w:val="right"/>
              <w:rPr/>
            </w:pPr>
            <w:r>
              <w:rPr/>
              <w:t>—</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66" w:type="dxa"/>
            <w:tcBorders/>
            <w:shd w:fill="auto" w:val="clear"/>
            <w:vAlign w:val="center"/>
          </w:tcPr>
          <w:p>
            <w:pPr>
              <w:pStyle w:val="TableContents"/>
              <w:spacing w:lineRule="auto" w:line="252" w:before="0" w:after="0"/>
              <w:ind w:left="0" w:right="0" w:hanging="0"/>
              <w:jc w:val="left"/>
              <w:rPr/>
            </w:pPr>
            <w:r>
              <w:rPr/>
              <w:t> </w:t>
            </w:r>
          </w:p>
        </w:tc>
        <w:tc>
          <w:tcPr>
            <w:tcW w:w="496" w:type="dxa"/>
            <w:tcBorders/>
            <w:shd w:fill="auto" w:val="clear"/>
            <w:vAlign w:val="center"/>
          </w:tcPr>
          <w:p>
            <w:pPr>
              <w:pStyle w:val="TableContents"/>
              <w:spacing w:lineRule="auto" w:line="252" w:before="0" w:after="0"/>
              <w:ind w:left="0" w:right="0" w:hanging="0"/>
              <w:jc w:val="right"/>
              <w:rPr/>
            </w:pPr>
            <w:r>
              <w:rPr/>
              <w:t>—</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86" w:type="dxa"/>
            <w:tcBorders/>
            <w:shd w:fill="auto" w:val="clear"/>
            <w:vAlign w:val="center"/>
          </w:tcPr>
          <w:p>
            <w:pPr>
              <w:pStyle w:val="TableContents"/>
              <w:spacing w:lineRule="auto" w:line="252" w:before="0" w:after="0"/>
              <w:ind w:left="0" w:right="0" w:hanging="0"/>
              <w:jc w:val="left"/>
              <w:rPr/>
            </w:pPr>
            <w:r>
              <w:rPr/>
              <w:t> </w:t>
            </w:r>
          </w:p>
        </w:tc>
        <w:tc>
          <w:tcPr>
            <w:tcW w:w="610" w:type="dxa"/>
            <w:tcBorders/>
            <w:shd w:fill="auto" w:val="clear"/>
            <w:vAlign w:val="center"/>
          </w:tcPr>
          <w:p>
            <w:pPr>
              <w:pStyle w:val="TableContents"/>
              <w:spacing w:lineRule="auto" w:line="252" w:before="0" w:after="0"/>
              <w:ind w:left="0" w:right="0" w:hanging="0"/>
              <w:jc w:val="right"/>
              <w:rPr/>
            </w:pPr>
            <w:r>
              <w:rPr/>
              <w:t>—</w:t>
            </w:r>
          </w:p>
        </w:tc>
        <w:tc>
          <w:tcPr>
            <w:tcW w:w="151" w:type="dxa"/>
            <w:tcBorders/>
            <w:shd w:fill="auto" w:val="cle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99" w:type="dxa"/>
            <w:tcBorders/>
            <w:shd w:fill="auto" w:val="clear"/>
            <w:vAlign w:val="center"/>
          </w:tcPr>
          <w:p>
            <w:pPr>
              <w:pStyle w:val="TableContents"/>
              <w:spacing w:lineRule="auto" w:line="252" w:before="0" w:after="0"/>
              <w:ind w:left="0" w:right="0" w:hanging="0"/>
              <w:jc w:val="left"/>
              <w:rPr/>
            </w:pPr>
            <w:r>
              <w:rPr/>
              <w:t> </w:t>
            </w:r>
          </w:p>
        </w:tc>
        <w:tc>
          <w:tcPr>
            <w:tcW w:w="596" w:type="dxa"/>
            <w:tcBorders/>
            <w:shd w:fill="auto" w:val="clear"/>
            <w:vAlign w:val="center"/>
          </w:tcPr>
          <w:p>
            <w:pPr>
              <w:pStyle w:val="TableContents"/>
              <w:spacing w:lineRule="auto" w:line="252" w:before="0" w:after="0"/>
              <w:ind w:left="0" w:right="0" w:hanging="0"/>
              <w:jc w:val="right"/>
              <w:rPr/>
            </w:pPr>
            <w:r>
              <w:rPr/>
              <w:t>—</w:t>
            </w:r>
          </w:p>
        </w:tc>
        <w:tc>
          <w:tcPr>
            <w:tcW w:w="196" w:type="dxa"/>
            <w:tcBorders/>
            <w:shd w:fill="auto" w:val="clear"/>
            <w:vAlign w:val="center"/>
          </w:tcPr>
          <w:p>
            <w:pPr>
              <w:pStyle w:val="TableContents"/>
              <w:spacing w:lineRule="auto" w:line="252" w:before="0" w:after="0"/>
              <w:ind w:left="0" w:right="0" w:hanging="0"/>
              <w:jc w:val="left"/>
              <w:rPr/>
            </w:pPr>
            <w:r>
              <w:rPr/>
              <w:t> </w:t>
            </w:r>
          </w:p>
        </w:tc>
      </w:tr>
      <w:tr>
        <w:trPr/>
        <w:tc>
          <w:tcPr>
            <w:tcW w:w="1921" w:type="dxa"/>
            <w:tcBorders/>
            <w:shd w:fill="auto" w:val="clear"/>
            <w:vAlign w:val="center"/>
          </w:tcPr>
          <w:p>
            <w:pPr>
              <w:pStyle w:val="TableContents"/>
              <w:spacing w:lineRule="auto" w:line="252" w:before="0" w:after="0"/>
              <w:ind w:left="0" w:right="0" w:hanging="0"/>
              <w:jc w:val="left"/>
              <w:rPr>
                <w:rFonts w:ascii="Times New Roman" w:hAnsi="Times New Roman"/>
                <w:b w:val="false"/>
                <w:sz w:val="12"/>
              </w:rPr>
            </w:pPr>
            <w:r>
              <w:rPr>
                <w:rFonts w:ascii="Times New Roman" w:hAnsi="Times New Roman"/>
                <w:b w:val="false"/>
                <w:sz w:val="12"/>
              </w:rPr>
              <w:t xml:space="preserve">Net loss attributable to common </w:t>
              <w:br/>
              <w:t>   stockholders</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46"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c>
          <w:tcPr>
            <w:tcW w:w="646"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right"/>
              <w:rPr/>
            </w:pPr>
            <w:r>
              <w:rPr/>
              <w:t>—</w:t>
            </w:r>
          </w:p>
        </w:tc>
        <w:tc>
          <w:tcPr>
            <w:tcW w:w="151"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70"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c>
          <w:tcPr>
            <w:tcW w:w="356"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right"/>
              <w:rPr/>
            </w:pPr>
            <w:r>
              <w:rPr/>
              <w:t>—</w:t>
            </w:r>
          </w:p>
        </w:tc>
        <w:tc>
          <w:tcPr>
            <w:tcW w:w="146"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66"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c>
          <w:tcPr>
            <w:tcW w:w="496"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right"/>
              <w:rPr/>
            </w:pPr>
            <w:r>
              <w:rPr/>
              <w:t>—</w:t>
            </w:r>
          </w:p>
        </w:tc>
        <w:tc>
          <w:tcPr>
            <w:tcW w:w="146"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86"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c>
          <w:tcPr>
            <w:tcW w:w="610"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right"/>
              <w:rPr>
                <w:rFonts w:ascii="Times New Roman" w:hAnsi="Times New Roman"/>
                <w:b w:val="false"/>
                <w:sz w:val="12"/>
              </w:rPr>
            </w:pPr>
            <w:r>
              <w:rPr>
                <w:rFonts w:ascii="Times New Roman" w:hAnsi="Times New Roman"/>
                <w:b w:val="false"/>
                <w:sz w:val="12"/>
              </w:rPr>
              <w:t>(27,747</w:t>
            </w:r>
          </w:p>
        </w:tc>
        <w:tc>
          <w:tcPr>
            <w:tcW w:w="151"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rFonts w:ascii="Times New Roman" w:hAnsi="Times New Roman"/>
                <w:b w:val="false"/>
                <w:sz w:val="12"/>
              </w:rPr>
            </w:pPr>
            <w:r>
              <w:rPr>
                <w:rFonts w:ascii="Times New Roman" w:hAnsi="Times New Roman"/>
                <w:b w:val="false"/>
                <w:sz w:val="12"/>
              </w:rPr>
              <w:t>)</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99"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c>
          <w:tcPr>
            <w:tcW w:w="596"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right"/>
              <w:rPr>
                <w:rFonts w:ascii="Times New Roman" w:hAnsi="Times New Roman"/>
                <w:b w:val="false"/>
                <w:sz w:val="12"/>
              </w:rPr>
            </w:pPr>
            <w:r>
              <w:rPr>
                <w:rFonts w:ascii="Times New Roman" w:hAnsi="Times New Roman"/>
                <w:b w:val="false"/>
                <w:sz w:val="12"/>
              </w:rPr>
              <w:t>(27,747</w:t>
            </w:r>
          </w:p>
        </w:tc>
        <w:tc>
          <w:tcPr>
            <w:tcW w:w="196"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rFonts w:ascii="Times New Roman" w:hAnsi="Times New Roman"/>
                <w:b w:val="false"/>
                <w:sz w:val="12"/>
              </w:rPr>
            </w:pPr>
            <w:r>
              <w:rPr>
                <w:rFonts w:ascii="Times New Roman" w:hAnsi="Times New Roman"/>
                <w:b w:val="false"/>
                <w:sz w:val="12"/>
              </w:rPr>
              <w:t>)</w:t>
            </w:r>
          </w:p>
        </w:tc>
      </w:tr>
      <w:tr>
        <w:trPr/>
        <w:tc>
          <w:tcPr>
            <w:tcW w:w="1921" w:type="dxa"/>
            <w:tcBorders/>
            <w:shd w:fill="auto" w:val="clear"/>
            <w:vAlign w:val="center"/>
          </w:tcPr>
          <w:p>
            <w:pPr>
              <w:pStyle w:val="TableContents"/>
              <w:spacing w:lineRule="auto" w:line="252" w:before="0" w:after="0"/>
              <w:ind w:left="0" w:right="0" w:hanging="0"/>
              <w:jc w:val="left"/>
              <w:rPr>
                <w:rFonts w:ascii="Times New Roman" w:hAnsi="Times New Roman"/>
                <w:b/>
                <w:sz w:val="12"/>
              </w:rPr>
            </w:pPr>
            <w:r>
              <w:rPr>
                <w:rFonts w:ascii="Times New Roman" w:hAnsi="Times New Roman"/>
                <w:b/>
                <w:sz w:val="12"/>
              </w:rPr>
              <w:t>Balance at March 31, 2022</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46" w:type="dxa"/>
            <w:tcBorders>
              <w:bottom w:val="double" w:sz="6"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c>
          <w:tcPr>
            <w:tcW w:w="646" w:type="dxa"/>
            <w:tcBorders>
              <w:bottom w:val="double" w:sz="6" w:space="0" w:color="000000"/>
            </w:tcBorders>
            <w:shd w:fill="auto" w:val="clear"/>
            <w:tcMar>
              <w:top w:w="0" w:type="dxa"/>
              <w:left w:w="0" w:type="dxa"/>
              <w:right w:w="0" w:type="dxa"/>
            </w:tcMar>
            <w:vAlign w:val="center"/>
          </w:tcPr>
          <w:p>
            <w:pPr>
              <w:pStyle w:val="TableContents"/>
              <w:spacing w:lineRule="auto" w:line="252" w:before="0" w:after="0"/>
              <w:ind w:left="0" w:right="0" w:hanging="0"/>
              <w:jc w:val="right"/>
              <w:rPr>
                <w:rFonts w:ascii="Times New Roman" w:hAnsi="Times New Roman"/>
                <w:b w:val="false"/>
                <w:sz w:val="12"/>
              </w:rPr>
            </w:pPr>
            <w:r>
              <w:rPr>
                <w:rFonts w:ascii="Times New Roman" w:hAnsi="Times New Roman"/>
                <w:b w:val="false"/>
                <w:sz w:val="12"/>
              </w:rPr>
              <w:t>61,911,929</w:t>
            </w:r>
          </w:p>
        </w:tc>
        <w:tc>
          <w:tcPr>
            <w:tcW w:w="151" w:type="dxa"/>
            <w:tcBorders>
              <w:bottom w:val="double" w:sz="6"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70" w:type="dxa"/>
            <w:tcBorders>
              <w:bottom w:val="double" w:sz="6"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rFonts w:ascii="Times New Roman" w:hAnsi="Times New Roman"/>
                <w:b w:val="false"/>
                <w:sz w:val="12"/>
              </w:rPr>
            </w:pPr>
            <w:r>
              <w:rPr>
                <w:rFonts w:ascii="Times New Roman" w:hAnsi="Times New Roman"/>
                <w:b w:val="false"/>
                <w:sz w:val="12"/>
              </w:rPr>
              <w:t>$</w:t>
            </w:r>
          </w:p>
        </w:tc>
        <w:tc>
          <w:tcPr>
            <w:tcW w:w="356" w:type="dxa"/>
            <w:tcBorders>
              <w:bottom w:val="double" w:sz="6" w:space="0" w:color="000000"/>
            </w:tcBorders>
            <w:shd w:fill="auto" w:val="clear"/>
            <w:tcMar>
              <w:top w:w="0" w:type="dxa"/>
              <w:left w:w="0" w:type="dxa"/>
              <w:right w:w="0" w:type="dxa"/>
            </w:tcMar>
            <w:vAlign w:val="center"/>
          </w:tcPr>
          <w:p>
            <w:pPr>
              <w:pStyle w:val="TableContents"/>
              <w:spacing w:lineRule="auto" w:line="252" w:before="0" w:after="0"/>
              <w:ind w:left="0" w:right="0" w:hanging="0"/>
              <w:jc w:val="right"/>
              <w:rPr>
                <w:rFonts w:ascii="Times New Roman" w:hAnsi="Times New Roman"/>
                <w:b w:val="false"/>
                <w:sz w:val="12"/>
              </w:rPr>
            </w:pPr>
            <w:r>
              <w:rPr>
                <w:rFonts w:ascii="Times New Roman" w:hAnsi="Times New Roman"/>
                <w:b w:val="false"/>
                <w:sz w:val="12"/>
              </w:rPr>
              <w:t>6</w:t>
            </w:r>
          </w:p>
        </w:tc>
        <w:tc>
          <w:tcPr>
            <w:tcW w:w="146" w:type="dxa"/>
            <w:tcBorders>
              <w:bottom w:val="double" w:sz="6"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66" w:type="dxa"/>
            <w:tcBorders>
              <w:bottom w:val="double" w:sz="6"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rFonts w:ascii="Times New Roman" w:hAnsi="Times New Roman"/>
                <w:b w:val="false"/>
                <w:sz w:val="12"/>
              </w:rPr>
            </w:pPr>
            <w:r>
              <w:rPr>
                <w:rFonts w:ascii="Times New Roman" w:hAnsi="Times New Roman"/>
                <w:b w:val="false"/>
                <w:sz w:val="12"/>
              </w:rPr>
              <w:t>$</w:t>
            </w:r>
          </w:p>
        </w:tc>
        <w:tc>
          <w:tcPr>
            <w:tcW w:w="496" w:type="dxa"/>
            <w:tcBorders>
              <w:bottom w:val="double" w:sz="6" w:space="0" w:color="000000"/>
            </w:tcBorders>
            <w:shd w:fill="auto" w:val="clear"/>
            <w:tcMar>
              <w:top w:w="0" w:type="dxa"/>
              <w:left w:w="0" w:type="dxa"/>
              <w:right w:w="0" w:type="dxa"/>
            </w:tcMar>
            <w:vAlign w:val="center"/>
          </w:tcPr>
          <w:p>
            <w:pPr>
              <w:pStyle w:val="TableContents"/>
              <w:spacing w:lineRule="auto" w:line="252" w:before="0" w:after="0"/>
              <w:ind w:left="0" w:right="0" w:hanging="0"/>
              <w:jc w:val="right"/>
              <w:rPr>
                <w:rFonts w:ascii="Times New Roman" w:hAnsi="Times New Roman"/>
                <w:b w:val="false"/>
                <w:sz w:val="12"/>
              </w:rPr>
            </w:pPr>
            <w:r>
              <w:rPr>
                <w:rFonts w:ascii="Times New Roman" w:hAnsi="Times New Roman"/>
                <w:b w:val="false"/>
                <w:sz w:val="12"/>
              </w:rPr>
              <w:t>414,831</w:t>
            </w:r>
          </w:p>
        </w:tc>
        <w:tc>
          <w:tcPr>
            <w:tcW w:w="146" w:type="dxa"/>
            <w:tcBorders>
              <w:bottom w:val="double" w:sz="6"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86" w:type="dxa"/>
            <w:tcBorders>
              <w:bottom w:val="double" w:sz="6"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rFonts w:ascii="Times New Roman" w:hAnsi="Times New Roman"/>
                <w:b w:val="false"/>
                <w:sz w:val="12"/>
              </w:rPr>
            </w:pPr>
            <w:r>
              <w:rPr>
                <w:rFonts w:ascii="Times New Roman" w:hAnsi="Times New Roman"/>
                <w:b w:val="false"/>
                <w:sz w:val="12"/>
              </w:rPr>
              <w:t>$</w:t>
            </w:r>
          </w:p>
        </w:tc>
        <w:tc>
          <w:tcPr>
            <w:tcW w:w="610" w:type="dxa"/>
            <w:tcBorders>
              <w:bottom w:val="double" w:sz="6" w:space="0" w:color="000000"/>
            </w:tcBorders>
            <w:shd w:fill="auto" w:val="clear"/>
            <w:tcMar>
              <w:top w:w="0" w:type="dxa"/>
              <w:left w:w="0" w:type="dxa"/>
              <w:right w:w="0" w:type="dxa"/>
            </w:tcMar>
            <w:vAlign w:val="center"/>
          </w:tcPr>
          <w:p>
            <w:pPr>
              <w:pStyle w:val="TableContents"/>
              <w:spacing w:lineRule="auto" w:line="252" w:before="0" w:after="0"/>
              <w:ind w:left="0" w:right="0" w:hanging="0"/>
              <w:jc w:val="right"/>
              <w:rPr>
                <w:rFonts w:ascii="Times New Roman" w:hAnsi="Times New Roman"/>
                <w:b w:val="false"/>
                <w:sz w:val="12"/>
              </w:rPr>
            </w:pPr>
            <w:r>
              <w:rPr>
                <w:rFonts w:ascii="Times New Roman" w:hAnsi="Times New Roman"/>
                <w:b w:val="false"/>
                <w:sz w:val="12"/>
              </w:rPr>
              <w:t>(155,234</w:t>
            </w:r>
          </w:p>
        </w:tc>
        <w:tc>
          <w:tcPr>
            <w:tcW w:w="151" w:type="dxa"/>
            <w:tcBorders>
              <w:bottom w:val="double" w:sz="6"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rFonts w:ascii="Times New Roman" w:hAnsi="Times New Roman"/>
                <w:b w:val="false"/>
                <w:sz w:val="12"/>
              </w:rPr>
            </w:pPr>
            <w:r>
              <w:rPr>
                <w:rFonts w:ascii="Times New Roman" w:hAnsi="Times New Roman"/>
                <w:b w:val="false"/>
                <w:sz w:val="12"/>
              </w:rPr>
              <w:t>)</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99" w:type="dxa"/>
            <w:tcBorders>
              <w:bottom w:val="double" w:sz="6"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rFonts w:ascii="Times New Roman" w:hAnsi="Times New Roman"/>
                <w:b w:val="false"/>
                <w:sz w:val="12"/>
              </w:rPr>
            </w:pPr>
            <w:r>
              <w:rPr>
                <w:rFonts w:ascii="Times New Roman" w:hAnsi="Times New Roman"/>
                <w:b w:val="false"/>
                <w:sz w:val="12"/>
              </w:rPr>
              <w:t>$</w:t>
            </w:r>
          </w:p>
        </w:tc>
        <w:tc>
          <w:tcPr>
            <w:tcW w:w="596" w:type="dxa"/>
            <w:tcBorders>
              <w:bottom w:val="double" w:sz="6" w:space="0" w:color="000000"/>
            </w:tcBorders>
            <w:shd w:fill="auto" w:val="clear"/>
            <w:tcMar>
              <w:top w:w="0" w:type="dxa"/>
              <w:left w:w="0" w:type="dxa"/>
              <w:right w:w="0" w:type="dxa"/>
            </w:tcMar>
            <w:vAlign w:val="center"/>
          </w:tcPr>
          <w:p>
            <w:pPr>
              <w:pStyle w:val="TableContents"/>
              <w:spacing w:lineRule="auto" w:line="252" w:before="0" w:after="0"/>
              <w:ind w:left="0" w:right="0" w:hanging="0"/>
              <w:jc w:val="right"/>
              <w:rPr>
                <w:rFonts w:ascii="Times New Roman" w:hAnsi="Times New Roman"/>
                <w:b w:val="false"/>
                <w:sz w:val="12"/>
              </w:rPr>
            </w:pPr>
            <w:r>
              <w:rPr>
                <w:rFonts w:ascii="Times New Roman" w:hAnsi="Times New Roman"/>
                <w:b w:val="false"/>
                <w:sz w:val="12"/>
              </w:rPr>
              <w:t>259,603</w:t>
            </w:r>
          </w:p>
        </w:tc>
        <w:tc>
          <w:tcPr>
            <w:tcW w:w="196" w:type="dxa"/>
            <w:tcBorders>
              <w:bottom w:val="double" w:sz="6"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r>
    </w:tbl>
    <w:p>
      <w:pPr>
        <w:pStyle w:val="TextBody"/>
        <w:spacing w:lineRule="auto" w:line="273" w:before="0" w:after="0"/>
        <w:jc w:val="left"/>
        <w:rPr/>
      </w:pPr>
      <w:r>
        <w:rPr/>
        <w:t> </w:t>
      </w:r>
    </w:p>
    <w:tbl>
      <w:tblPr>
        <w:tblW w:w="10485" w:type="dxa"/>
        <w:jc w:val="left"/>
        <w:tblInd w:w="0" w:type="dxa"/>
        <w:tblCellMar>
          <w:top w:w="28" w:type="dxa"/>
          <w:left w:w="28" w:type="dxa"/>
          <w:bottom w:w="28" w:type="dxa"/>
          <w:right w:w="28" w:type="dxa"/>
        </w:tblCellMar>
      </w:tblPr>
      <w:tblGrid>
        <w:gridCol w:w="1186"/>
        <w:gridCol w:w="146"/>
        <w:gridCol w:w="146"/>
        <w:gridCol w:w="646"/>
        <w:gridCol w:w="146"/>
        <w:gridCol w:w="146"/>
        <w:gridCol w:w="166"/>
        <w:gridCol w:w="496"/>
        <w:gridCol w:w="146"/>
        <w:gridCol w:w="146"/>
        <w:gridCol w:w="266"/>
        <w:gridCol w:w="605"/>
        <w:gridCol w:w="151"/>
        <w:gridCol w:w="146"/>
        <w:gridCol w:w="146"/>
        <w:gridCol w:w="146"/>
        <w:gridCol w:w="586"/>
        <w:gridCol w:w="146"/>
        <w:gridCol w:w="146"/>
        <w:gridCol w:w="166"/>
        <w:gridCol w:w="376"/>
        <w:gridCol w:w="146"/>
        <w:gridCol w:w="146"/>
        <w:gridCol w:w="146"/>
        <w:gridCol w:w="586"/>
        <w:gridCol w:w="146"/>
        <w:gridCol w:w="146"/>
        <w:gridCol w:w="166"/>
        <w:gridCol w:w="376"/>
        <w:gridCol w:w="146"/>
        <w:gridCol w:w="146"/>
        <w:gridCol w:w="204"/>
        <w:gridCol w:w="592"/>
        <w:gridCol w:w="151"/>
        <w:gridCol w:w="146"/>
        <w:gridCol w:w="204"/>
        <w:gridCol w:w="592"/>
        <w:gridCol w:w="196"/>
      </w:tblGrid>
      <w:tr>
        <w:trPr/>
        <w:tc>
          <w:tcPr>
            <w:tcW w:w="118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64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166" w:type="dxa"/>
            <w:tcBorders/>
            <w:shd w:fill="auto" w:val="clear"/>
            <w:vAlign w:val="center"/>
          </w:tcPr>
          <w:p>
            <w:pPr>
              <w:pStyle w:val="TableContents"/>
              <w:spacing w:before="0" w:after="283"/>
              <w:rPr>
                <w:sz w:val="4"/>
                <w:szCs w:val="4"/>
              </w:rPr>
            </w:pPr>
            <w:r>
              <w:rPr>
                <w:sz w:val="4"/>
                <w:szCs w:val="4"/>
              </w:rPr>
            </w:r>
          </w:p>
        </w:tc>
        <w:tc>
          <w:tcPr>
            <w:tcW w:w="49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266" w:type="dxa"/>
            <w:tcBorders/>
            <w:shd w:fill="auto" w:val="clear"/>
            <w:vAlign w:val="center"/>
          </w:tcPr>
          <w:p>
            <w:pPr>
              <w:pStyle w:val="TableContents"/>
              <w:spacing w:before="0" w:after="283"/>
              <w:rPr>
                <w:sz w:val="4"/>
                <w:szCs w:val="4"/>
              </w:rPr>
            </w:pPr>
            <w:r>
              <w:rPr>
                <w:sz w:val="4"/>
                <w:szCs w:val="4"/>
              </w:rPr>
            </w:r>
          </w:p>
        </w:tc>
        <w:tc>
          <w:tcPr>
            <w:tcW w:w="605" w:type="dxa"/>
            <w:tcBorders/>
            <w:shd w:fill="auto" w:val="clear"/>
            <w:vAlign w:val="center"/>
          </w:tcPr>
          <w:p>
            <w:pPr>
              <w:pStyle w:val="TableContents"/>
              <w:spacing w:before="0" w:after="283"/>
              <w:rPr>
                <w:sz w:val="4"/>
                <w:szCs w:val="4"/>
              </w:rPr>
            </w:pPr>
            <w:r>
              <w:rPr>
                <w:sz w:val="4"/>
                <w:szCs w:val="4"/>
              </w:rPr>
            </w:r>
          </w:p>
        </w:tc>
        <w:tc>
          <w:tcPr>
            <w:tcW w:w="151"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58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166" w:type="dxa"/>
            <w:tcBorders/>
            <w:shd w:fill="auto" w:val="clear"/>
            <w:vAlign w:val="center"/>
          </w:tcPr>
          <w:p>
            <w:pPr>
              <w:pStyle w:val="TableContents"/>
              <w:spacing w:before="0" w:after="283"/>
              <w:rPr>
                <w:sz w:val="4"/>
                <w:szCs w:val="4"/>
              </w:rPr>
            </w:pPr>
            <w:r>
              <w:rPr>
                <w:sz w:val="4"/>
                <w:szCs w:val="4"/>
              </w:rPr>
            </w:r>
          </w:p>
        </w:tc>
        <w:tc>
          <w:tcPr>
            <w:tcW w:w="37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58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166" w:type="dxa"/>
            <w:tcBorders/>
            <w:shd w:fill="auto" w:val="clear"/>
            <w:vAlign w:val="center"/>
          </w:tcPr>
          <w:p>
            <w:pPr>
              <w:pStyle w:val="TableContents"/>
              <w:spacing w:before="0" w:after="283"/>
              <w:rPr>
                <w:sz w:val="4"/>
                <w:szCs w:val="4"/>
              </w:rPr>
            </w:pPr>
            <w:r>
              <w:rPr>
                <w:sz w:val="4"/>
                <w:szCs w:val="4"/>
              </w:rPr>
            </w:r>
          </w:p>
        </w:tc>
        <w:tc>
          <w:tcPr>
            <w:tcW w:w="37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204" w:type="dxa"/>
            <w:tcBorders/>
            <w:shd w:fill="auto" w:val="clear"/>
            <w:vAlign w:val="center"/>
          </w:tcPr>
          <w:p>
            <w:pPr>
              <w:pStyle w:val="TableContents"/>
              <w:spacing w:before="0" w:after="283"/>
              <w:rPr>
                <w:sz w:val="4"/>
                <w:szCs w:val="4"/>
              </w:rPr>
            </w:pPr>
            <w:r>
              <w:rPr>
                <w:sz w:val="4"/>
                <w:szCs w:val="4"/>
              </w:rPr>
            </w:r>
          </w:p>
        </w:tc>
        <w:tc>
          <w:tcPr>
            <w:tcW w:w="592" w:type="dxa"/>
            <w:tcBorders/>
            <w:shd w:fill="auto" w:val="clear"/>
            <w:vAlign w:val="center"/>
          </w:tcPr>
          <w:p>
            <w:pPr>
              <w:pStyle w:val="TableContents"/>
              <w:spacing w:before="0" w:after="283"/>
              <w:rPr>
                <w:sz w:val="4"/>
                <w:szCs w:val="4"/>
              </w:rPr>
            </w:pPr>
            <w:r>
              <w:rPr>
                <w:sz w:val="4"/>
                <w:szCs w:val="4"/>
              </w:rPr>
            </w:r>
          </w:p>
        </w:tc>
        <w:tc>
          <w:tcPr>
            <w:tcW w:w="151"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204" w:type="dxa"/>
            <w:tcBorders/>
            <w:shd w:fill="auto" w:val="clear"/>
            <w:vAlign w:val="center"/>
          </w:tcPr>
          <w:p>
            <w:pPr>
              <w:pStyle w:val="TableContents"/>
              <w:spacing w:before="0" w:after="283"/>
              <w:rPr>
                <w:sz w:val="4"/>
                <w:szCs w:val="4"/>
              </w:rPr>
            </w:pPr>
            <w:r>
              <w:rPr>
                <w:sz w:val="4"/>
                <w:szCs w:val="4"/>
              </w:rPr>
            </w:r>
          </w:p>
        </w:tc>
        <w:tc>
          <w:tcPr>
            <w:tcW w:w="592" w:type="dxa"/>
            <w:tcBorders/>
            <w:shd w:fill="auto" w:val="clear"/>
            <w:vAlign w:val="center"/>
          </w:tcPr>
          <w:p>
            <w:pPr>
              <w:pStyle w:val="TableContents"/>
              <w:spacing w:before="0" w:after="283"/>
              <w:rPr>
                <w:sz w:val="4"/>
                <w:szCs w:val="4"/>
              </w:rPr>
            </w:pPr>
            <w:r>
              <w:rPr>
                <w:sz w:val="4"/>
                <w:szCs w:val="4"/>
              </w:rPr>
            </w:r>
          </w:p>
        </w:tc>
        <w:tc>
          <w:tcPr>
            <w:tcW w:w="196" w:type="dxa"/>
            <w:tcBorders/>
            <w:shd w:fill="auto" w:val="clear"/>
            <w:vAlign w:val="center"/>
          </w:tcPr>
          <w:p>
            <w:pPr>
              <w:pStyle w:val="TableContents"/>
              <w:spacing w:before="0" w:after="283"/>
              <w:rPr>
                <w:sz w:val="4"/>
                <w:szCs w:val="4"/>
              </w:rPr>
            </w:pPr>
            <w:r>
              <w:rPr>
                <w:sz w:val="4"/>
                <w:szCs w:val="4"/>
              </w:rPr>
            </w:r>
          </w:p>
        </w:tc>
      </w:tr>
      <w:tr>
        <w:trPr/>
        <w:tc>
          <w:tcPr>
            <w:tcW w:w="1186" w:type="dxa"/>
            <w:tcBorders/>
            <w:shd w:fill="auto" w:val="clear"/>
            <w:vAlign w:val="center"/>
          </w:tcPr>
          <w:p>
            <w:pPr>
              <w:pStyle w:val="TableContents"/>
              <w:spacing w:lineRule="auto" w:line="252" w:before="0" w:after="0"/>
              <w:ind w:left="0" w:right="0" w:hanging="0"/>
              <w:jc w:val="center"/>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746" w:type="dxa"/>
            <w:gridSpan w:val="6"/>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center"/>
              <w:rPr>
                <w:rFonts w:ascii="Times New Roman" w:hAnsi="Times New Roman"/>
                <w:b/>
                <w:sz w:val="12"/>
              </w:rPr>
            </w:pPr>
            <w:r>
              <w:rPr>
                <w:rFonts w:ascii="Times New Roman" w:hAnsi="Times New Roman"/>
                <w:b/>
                <w:sz w:val="12"/>
              </w:rPr>
              <w:t>Redeemable Convertible</w:t>
              <w:br/>
              <w:t>Preferred Shares</w:t>
            </w:r>
          </w:p>
        </w:tc>
        <w:tc>
          <w:tcPr>
            <w:tcW w:w="146"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center"/>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871" w:type="dxa"/>
            <w:gridSpan w:val="2"/>
            <w:tcBorders/>
            <w:shd w:fill="auto" w:val="clear"/>
            <w:vAlign w:val="center"/>
          </w:tcPr>
          <w:p>
            <w:pPr>
              <w:pStyle w:val="TableContents"/>
              <w:spacing w:lineRule="auto" w:line="252" w:before="0" w:after="0"/>
              <w:ind w:left="0" w:right="0" w:hanging="0"/>
              <w:jc w:val="center"/>
              <w:rPr>
                <w:rFonts w:ascii="Times New Roman" w:hAnsi="Times New Roman"/>
                <w:b/>
                <w:sz w:val="12"/>
              </w:rPr>
            </w:pPr>
            <w:r>
              <w:rPr>
                <w:rFonts w:ascii="Times New Roman" w:hAnsi="Times New Roman"/>
                <w:b/>
                <w:sz w:val="12"/>
              </w:rPr>
              <w:t>Redeemable</w:t>
              <w:br/>
              <w:t>Noncontrolling</w:t>
            </w:r>
          </w:p>
        </w:tc>
        <w:tc>
          <w:tcPr>
            <w:tcW w:w="151" w:type="dxa"/>
            <w:tcBorders/>
            <w:shd w:fill="auto" w:val="clear"/>
            <w:vAlign w:val="center"/>
          </w:tcPr>
          <w:p>
            <w:pPr>
              <w:pStyle w:val="TableContents"/>
              <w:spacing w:lineRule="auto" w:line="252" w:before="0" w:after="0"/>
              <w:ind w:left="0" w:right="0" w:hanging="0"/>
              <w:jc w:val="center"/>
              <w:rPr/>
            </w:pPr>
            <w:r>
              <w:rPr/>
              <w:t> </w:t>
            </w:r>
          </w:p>
        </w:tc>
        <w:tc>
          <w:tcPr>
            <w:tcW w:w="146" w:type="dxa"/>
            <w:tcBorders>
              <w:right w:val="single" w:sz="4" w:space="0" w:color="000000"/>
            </w:tcBorders>
            <w:shd w:fill="auto" w:val="clear"/>
            <w:tcMar>
              <w:top w:w="0" w:type="dxa"/>
              <w:left w:w="0" w:type="dxa"/>
              <w:bottom w:w="0" w:type="dxa"/>
            </w:tcM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566" w:type="dxa"/>
            <w:gridSpan w:val="6"/>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center"/>
              <w:rPr>
                <w:rFonts w:ascii="Times New Roman" w:hAnsi="Times New Roman"/>
                <w:b/>
                <w:sz w:val="12"/>
              </w:rPr>
            </w:pPr>
            <w:r>
              <w:rPr>
                <w:rFonts w:ascii="Times New Roman" w:hAnsi="Times New Roman"/>
                <w:b/>
                <w:sz w:val="12"/>
              </w:rPr>
              <w:t>Common Shares</w:t>
            </w:r>
          </w:p>
        </w:tc>
        <w:tc>
          <w:tcPr>
            <w:tcW w:w="146"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center"/>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566" w:type="dxa"/>
            <w:gridSpan w:val="6"/>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center"/>
              <w:rPr>
                <w:rFonts w:ascii="Times New Roman" w:hAnsi="Times New Roman"/>
                <w:b/>
                <w:sz w:val="12"/>
              </w:rPr>
            </w:pPr>
            <w:r>
              <w:rPr>
                <w:rFonts w:ascii="Times New Roman" w:hAnsi="Times New Roman"/>
                <w:b/>
                <w:sz w:val="12"/>
              </w:rPr>
              <w:t>Incentive Shares</w:t>
            </w:r>
          </w:p>
        </w:tc>
        <w:tc>
          <w:tcPr>
            <w:tcW w:w="146"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center"/>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796" w:type="dxa"/>
            <w:gridSpan w:val="2"/>
            <w:tcBorders/>
            <w:shd w:fill="auto" w:val="clear"/>
            <w:vAlign w:val="center"/>
          </w:tcPr>
          <w:p>
            <w:pPr>
              <w:pStyle w:val="TableContents"/>
              <w:spacing w:lineRule="auto" w:line="252" w:before="0" w:after="0"/>
              <w:ind w:left="0" w:right="0" w:hanging="0"/>
              <w:jc w:val="center"/>
              <w:rPr>
                <w:rFonts w:ascii="Times New Roman" w:hAnsi="Times New Roman"/>
                <w:b/>
                <w:sz w:val="12"/>
              </w:rPr>
            </w:pPr>
            <w:r>
              <w:rPr>
                <w:rFonts w:ascii="Times New Roman" w:hAnsi="Times New Roman"/>
                <w:b/>
                <w:sz w:val="12"/>
              </w:rPr>
              <w:t>Accumulated</w:t>
            </w:r>
          </w:p>
        </w:tc>
        <w:tc>
          <w:tcPr>
            <w:tcW w:w="151" w:type="dxa"/>
            <w:tcBorders/>
            <w:shd w:fill="auto" w:val="clear"/>
            <w:vAlign w:val="center"/>
          </w:tcPr>
          <w:p>
            <w:pPr>
              <w:pStyle w:val="TableContents"/>
              <w:spacing w:lineRule="auto" w:line="252" w:before="0" w:after="0"/>
              <w:ind w:left="0" w:right="0" w:hanging="0"/>
              <w:jc w:val="center"/>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796" w:type="dxa"/>
            <w:gridSpan w:val="2"/>
            <w:tcBorders/>
            <w:shd w:fill="auto" w:val="clear"/>
            <w:vAlign w:val="center"/>
          </w:tcPr>
          <w:p>
            <w:pPr>
              <w:pStyle w:val="TableContents"/>
              <w:spacing w:lineRule="auto" w:line="252" w:before="0" w:after="0"/>
              <w:ind w:left="0" w:right="0" w:hanging="0"/>
              <w:jc w:val="center"/>
              <w:rPr>
                <w:rFonts w:ascii="Times New Roman" w:hAnsi="Times New Roman"/>
                <w:b/>
                <w:sz w:val="12"/>
              </w:rPr>
            </w:pPr>
            <w:r>
              <w:rPr>
                <w:rFonts w:ascii="Times New Roman" w:hAnsi="Times New Roman"/>
                <w:b/>
                <w:sz w:val="12"/>
              </w:rPr>
              <w:t xml:space="preserve">Stockholders' </w:t>
              <w:br/>
              <w:t>Equity/Members'</w:t>
            </w:r>
          </w:p>
        </w:tc>
        <w:tc>
          <w:tcPr>
            <w:tcW w:w="196" w:type="dxa"/>
            <w:tcBorders/>
            <w:shd w:fill="auto" w:val="clear"/>
            <w:vAlign w:val="center"/>
          </w:tcPr>
          <w:p>
            <w:pPr>
              <w:pStyle w:val="TableContents"/>
              <w:spacing w:lineRule="auto" w:line="252" w:before="0" w:after="0"/>
              <w:ind w:left="0" w:right="0" w:hanging="0"/>
              <w:jc w:val="center"/>
              <w:rPr/>
            </w:pPr>
            <w:r>
              <w:rPr/>
              <w:t> </w:t>
            </w:r>
          </w:p>
        </w:tc>
      </w:tr>
      <w:tr>
        <w:trPr/>
        <w:tc>
          <w:tcPr>
            <w:tcW w:w="1186" w:type="dxa"/>
            <w:tcBorders/>
            <w:shd w:fill="auto" w:val="clear"/>
            <w:vAlign w:val="center"/>
          </w:tcPr>
          <w:p>
            <w:pPr>
              <w:pStyle w:val="TableContents"/>
              <w:spacing w:lineRule="auto" w:line="252" w:before="0" w:after="0"/>
              <w:ind w:left="0" w:right="0" w:hanging="0"/>
              <w:jc w:val="center"/>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792" w:type="dxa"/>
            <w:gridSpan w:val="2"/>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center"/>
              <w:rPr>
                <w:rFonts w:ascii="Times New Roman" w:hAnsi="Times New Roman"/>
                <w:b/>
                <w:sz w:val="12"/>
              </w:rPr>
            </w:pPr>
            <w:r>
              <w:rPr>
                <w:rFonts w:ascii="Times New Roman" w:hAnsi="Times New Roman"/>
                <w:b/>
                <w:sz w:val="12"/>
              </w:rPr>
              <w:t>Shares</w:t>
            </w:r>
          </w:p>
        </w:tc>
        <w:tc>
          <w:tcPr>
            <w:tcW w:w="146"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center"/>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662" w:type="dxa"/>
            <w:gridSpan w:val="2"/>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center"/>
              <w:rPr>
                <w:rFonts w:ascii="Times New Roman" w:hAnsi="Times New Roman"/>
                <w:b/>
                <w:sz w:val="12"/>
              </w:rPr>
            </w:pPr>
            <w:r>
              <w:rPr>
                <w:rFonts w:ascii="Times New Roman" w:hAnsi="Times New Roman"/>
                <w:b/>
                <w:sz w:val="12"/>
              </w:rPr>
              <w:t>Amount</w:t>
            </w:r>
          </w:p>
        </w:tc>
        <w:tc>
          <w:tcPr>
            <w:tcW w:w="146"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center"/>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871" w:type="dxa"/>
            <w:gridSpan w:val="2"/>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center"/>
              <w:rPr>
                <w:rFonts w:ascii="Times New Roman" w:hAnsi="Times New Roman"/>
                <w:b/>
                <w:sz w:val="12"/>
              </w:rPr>
            </w:pPr>
            <w:r>
              <w:rPr>
                <w:rFonts w:ascii="Times New Roman" w:hAnsi="Times New Roman"/>
                <w:b/>
                <w:sz w:val="12"/>
              </w:rPr>
              <w:t>Interest</w:t>
            </w:r>
          </w:p>
        </w:tc>
        <w:tc>
          <w:tcPr>
            <w:tcW w:w="151"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center"/>
              <w:rPr/>
            </w:pPr>
            <w:r>
              <w:rPr/>
              <w:t> </w:t>
            </w:r>
          </w:p>
        </w:tc>
        <w:tc>
          <w:tcPr>
            <w:tcW w:w="146" w:type="dxa"/>
            <w:tcBorders>
              <w:right w:val="single" w:sz="4" w:space="0" w:color="000000"/>
            </w:tcBorders>
            <w:shd w:fill="auto" w:val="clear"/>
            <w:tcMar>
              <w:top w:w="0" w:type="dxa"/>
              <w:left w:w="0" w:type="dxa"/>
              <w:bottom w:w="0" w:type="dxa"/>
            </w:tcM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732" w:type="dxa"/>
            <w:gridSpan w:val="2"/>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center"/>
              <w:rPr>
                <w:rFonts w:ascii="Times New Roman" w:hAnsi="Times New Roman"/>
                <w:b/>
                <w:sz w:val="12"/>
              </w:rPr>
            </w:pPr>
            <w:r>
              <w:rPr>
                <w:rFonts w:ascii="Times New Roman" w:hAnsi="Times New Roman"/>
                <w:b/>
                <w:sz w:val="12"/>
              </w:rPr>
              <w:t>Shares</w:t>
            </w:r>
          </w:p>
        </w:tc>
        <w:tc>
          <w:tcPr>
            <w:tcW w:w="146"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center"/>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542" w:type="dxa"/>
            <w:gridSpan w:val="2"/>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center"/>
              <w:rPr>
                <w:rFonts w:ascii="Times New Roman" w:hAnsi="Times New Roman"/>
                <w:b/>
                <w:sz w:val="12"/>
              </w:rPr>
            </w:pPr>
            <w:r>
              <w:rPr>
                <w:rFonts w:ascii="Times New Roman" w:hAnsi="Times New Roman"/>
                <w:b/>
                <w:sz w:val="12"/>
              </w:rPr>
              <w:t>Amount</w:t>
            </w:r>
          </w:p>
        </w:tc>
        <w:tc>
          <w:tcPr>
            <w:tcW w:w="146"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center"/>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732" w:type="dxa"/>
            <w:gridSpan w:val="2"/>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center"/>
              <w:rPr>
                <w:rFonts w:ascii="Times New Roman" w:hAnsi="Times New Roman"/>
                <w:b/>
                <w:sz w:val="12"/>
              </w:rPr>
            </w:pPr>
            <w:r>
              <w:rPr>
                <w:rFonts w:ascii="Times New Roman" w:hAnsi="Times New Roman"/>
                <w:b/>
                <w:sz w:val="12"/>
              </w:rPr>
              <w:t>Shares</w:t>
            </w:r>
          </w:p>
        </w:tc>
        <w:tc>
          <w:tcPr>
            <w:tcW w:w="146"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center"/>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542" w:type="dxa"/>
            <w:gridSpan w:val="2"/>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center"/>
              <w:rPr>
                <w:rFonts w:ascii="Times New Roman" w:hAnsi="Times New Roman"/>
                <w:b/>
                <w:sz w:val="12"/>
              </w:rPr>
            </w:pPr>
            <w:r>
              <w:rPr>
                <w:rFonts w:ascii="Times New Roman" w:hAnsi="Times New Roman"/>
                <w:b/>
                <w:sz w:val="12"/>
              </w:rPr>
              <w:t>Amount</w:t>
            </w:r>
          </w:p>
        </w:tc>
        <w:tc>
          <w:tcPr>
            <w:tcW w:w="146"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center"/>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796" w:type="dxa"/>
            <w:gridSpan w:val="2"/>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center"/>
              <w:rPr>
                <w:rFonts w:ascii="Times New Roman" w:hAnsi="Times New Roman"/>
                <w:b/>
                <w:sz w:val="12"/>
              </w:rPr>
            </w:pPr>
            <w:r>
              <w:rPr>
                <w:rFonts w:ascii="Times New Roman" w:hAnsi="Times New Roman"/>
                <w:b/>
                <w:sz w:val="12"/>
              </w:rPr>
              <w:t>Deficit</w:t>
            </w:r>
          </w:p>
        </w:tc>
        <w:tc>
          <w:tcPr>
            <w:tcW w:w="151"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center"/>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796" w:type="dxa"/>
            <w:gridSpan w:val="2"/>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center"/>
              <w:rPr>
                <w:rFonts w:ascii="Times New Roman" w:hAnsi="Times New Roman"/>
                <w:b/>
                <w:sz w:val="12"/>
              </w:rPr>
            </w:pPr>
            <w:r>
              <w:rPr>
                <w:rFonts w:ascii="Times New Roman" w:hAnsi="Times New Roman"/>
                <w:b/>
                <w:sz w:val="12"/>
              </w:rPr>
              <w:t>(Deficit)</w:t>
            </w:r>
          </w:p>
        </w:tc>
        <w:tc>
          <w:tcPr>
            <w:tcW w:w="196"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center"/>
              <w:rPr/>
            </w:pPr>
            <w:r>
              <w:rPr/>
              <w:t> </w:t>
            </w:r>
          </w:p>
        </w:tc>
      </w:tr>
      <w:tr>
        <w:trPr/>
        <w:tc>
          <w:tcPr>
            <w:tcW w:w="1186" w:type="dxa"/>
            <w:tcBorders/>
            <w:shd w:fill="auto" w:val="clear"/>
            <w:vAlign w:val="center"/>
          </w:tcPr>
          <w:p>
            <w:pPr>
              <w:pStyle w:val="TableContents"/>
              <w:spacing w:lineRule="auto" w:line="252" w:before="0" w:after="0"/>
              <w:ind w:left="0" w:right="0" w:hanging="0"/>
              <w:jc w:val="left"/>
              <w:rPr>
                <w:rFonts w:ascii="Times New Roman" w:hAnsi="Times New Roman"/>
                <w:b/>
                <w:sz w:val="12"/>
              </w:rPr>
            </w:pPr>
            <w:r>
              <w:rPr>
                <w:rFonts w:ascii="Times New Roman" w:hAnsi="Times New Roman"/>
                <w:b/>
                <w:sz w:val="12"/>
              </w:rPr>
              <w:t>Balance at December 31, 2020</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46"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c>
          <w:tcPr>
            <w:tcW w:w="646"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right"/>
              <w:rPr>
                <w:rFonts w:ascii="Times New Roman" w:hAnsi="Times New Roman"/>
                <w:b w:val="false"/>
                <w:sz w:val="12"/>
              </w:rPr>
            </w:pPr>
            <w:r>
              <w:rPr>
                <w:rFonts w:ascii="Times New Roman" w:hAnsi="Times New Roman"/>
                <w:b w:val="false"/>
                <w:sz w:val="12"/>
              </w:rPr>
              <w:t>22,851,257</w:t>
            </w:r>
          </w:p>
        </w:tc>
        <w:tc>
          <w:tcPr>
            <w:tcW w:w="146"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66"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rFonts w:ascii="Times New Roman" w:hAnsi="Times New Roman"/>
                <w:b w:val="false"/>
                <w:sz w:val="12"/>
              </w:rPr>
            </w:pPr>
            <w:r>
              <w:rPr>
                <w:rFonts w:ascii="Times New Roman" w:hAnsi="Times New Roman"/>
                <w:b w:val="false"/>
                <w:sz w:val="12"/>
              </w:rPr>
              <w:t>$</w:t>
            </w:r>
          </w:p>
        </w:tc>
        <w:tc>
          <w:tcPr>
            <w:tcW w:w="496"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right"/>
              <w:rPr>
                <w:rFonts w:ascii="Times New Roman" w:hAnsi="Times New Roman"/>
                <w:b w:val="false"/>
                <w:sz w:val="12"/>
              </w:rPr>
            </w:pPr>
            <w:r>
              <w:rPr>
                <w:rFonts w:ascii="Times New Roman" w:hAnsi="Times New Roman"/>
                <w:b w:val="false"/>
                <w:sz w:val="12"/>
              </w:rPr>
              <w:t>91,964</w:t>
            </w:r>
          </w:p>
        </w:tc>
        <w:tc>
          <w:tcPr>
            <w:tcW w:w="146"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266"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rFonts w:ascii="Times New Roman" w:hAnsi="Times New Roman"/>
                <w:b w:val="false"/>
                <w:sz w:val="12"/>
              </w:rPr>
            </w:pPr>
            <w:r>
              <w:rPr>
                <w:rFonts w:ascii="Times New Roman" w:hAnsi="Times New Roman"/>
                <w:b w:val="false"/>
                <w:sz w:val="12"/>
              </w:rPr>
              <w:t>$</w:t>
            </w:r>
          </w:p>
        </w:tc>
        <w:tc>
          <w:tcPr>
            <w:tcW w:w="605"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right"/>
              <w:rPr>
                <w:rFonts w:ascii="Times New Roman" w:hAnsi="Times New Roman"/>
                <w:b w:val="false"/>
                <w:sz w:val="12"/>
              </w:rPr>
            </w:pPr>
            <w:r>
              <w:rPr>
                <w:rFonts w:ascii="Times New Roman" w:hAnsi="Times New Roman"/>
                <w:b w:val="false"/>
                <w:sz w:val="12"/>
              </w:rPr>
              <w:t>5,702</w:t>
            </w:r>
          </w:p>
        </w:tc>
        <w:tc>
          <w:tcPr>
            <w:tcW w:w="151"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c>
          <w:tcPr>
            <w:tcW w:w="146" w:type="dxa"/>
            <w:tcBorders>
              <w:right w:val="single" w:sz="4" w:space="0" w:color="000000"/>
            </w:tcBorders>
            <w:shd w:fill="auto" w:val="clear"/>
            <w:tcMar>
              <w:top w:w="0" w:type="dxa"/>
              <w:left w:w="0" w:type="dxa"/>
              <w:bottom w:w="0" w:type="dxa"/>
            </w:tcM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46"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c>
          <w:tcPr>
            <w:tcW w:w="586"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right"/>
              <w:rPr>
                <w:rFonts w:ascii="Times New Roman" w:hAnsi="Times New Roman"/>
                <w:b w:val="false"/>
                <w:sz w:val="12"/>
              </w:rPr>
            </w:pPr>
            <w:r>
              <w:rPr>
                <w:rFonts w:ascii="Times New Roman" w:hAnsi="Times New Roman"/>
                <w:b w:val="false"/>
                <w:sz w:val="12"/>
              </w:rPr>
              <w:t>6,035,869</w:t>
            </w:r>
          </w:p>
        </w:tc>
        <w:tc>
          <w:tcPr>
            <w:tcW w:w="146"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66"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rFonts w:ascii="Times New Roman" w:hAnsi="Times New Roman"/>
                <w:b w:val="false"/>
                <w:sz w:val="12"/>
              </w:rPr>
            </w:pPr>
            <w:r>
              <w:rPr>
                <w:rFonts w:ascii="Times New Roman" w:hAnsi="Times New Roman"/>
                <w:b w:val="false"/>
                <w:sz w:val="12"/>
              </w:rPr>
              <w:t>$</w:t>
            </w:r>
          </w:p>
        </w:tc>
        <w:tc>
          <w:tcPr>
            <w:tcW w:w="376"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right"/>
              <w:rPr>
                <w:rFonts w:ascii="Times New Roman" w:hAnsi="Times New Roman"/>
                <w:b w:val="false"/>
                <w:sz w:val="12"/>
              </w:rPr>
            </w:pPr>
            <w:r>
              <w:rPr>
                <w:rFonts w:ascii="Times New Roman" w:hAnsi="Times New Roman"/>
                <w:b w:val="false"/>
                <w:sz w:val="12"/>
              </w:rPr>
              <w:t>2,000</w:t>
            </w:r>
          </w:p>
        </w:tc>
        <w:tc>
          <w:tcPr>
            <w:tcW w:w="146"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46"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c>
          <w:tcPr>
            <w:tcW w:w="586"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right"/>
              <w:rPr>
                <w:rFonts w:ascii="Times New Roman" w:hAnsi="Times New Roman"/>
                <w:b w:val="false"/>
                <w:sz w:val="12"/>
              </w:rPr>
            </w:pPr>
            <w:r>
              <w:rPr>
                <w:rFonts w:ascii="Times New Roman" w:hAnsi="Times New Roman"/>
                <w:b w:val="false"/>
                <w:sz w:val="12"/>
              </w:rPr>
              <w:t>4,112,012</w:t>
            </w:r>
          </w:p>
        </w:tc>
        <w:tc>
          <w:tcPr>
            <w:tcW w:w="146"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66"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rFonts w:ascii="Times New Roman" w:hAnsi="Times New Roman"/>
                <w:b w:val="false"/>
                <w:sz w:val="12"/>
              </w:rPr>
            </w:pPr>
            <w:r>
              <w:rPr>
                <w:rFonts w:ascii="Times New Roman" w:hAnsi="Times New Roman"/>
                <w:b w:val="false"/>
                <w:sz w:val="12"/>
              </w:rPr>
              <w:t>$</w:t>
            </w:r>
          </w:p>
        </w:tc>
        <w:tc>
          <w:tcPr>
            <w:tcW w:w="376"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right"/>
              <w:rPr>
                <w:rFonts w:ascii="Times New Roman" w:hAnsi="Times New Roman"/>
                <w:b w:val="false"/>
                <w:sz w:val="12"/>
              </w:rPr>
            </w:pPr>
            <w:r>
              <w:rPr>
                <w:rFonts w:ascii="Times New Roman" w:hAnsi="Times New Roman"/>
                <w:b w:val="false"/>
                <w:sz w:val="12"/>
              </w:rPr>
              <w:t>637</w:t>
            </w:r>
          </w:p>
        </w:tc>
        <w:tc>
          <w:tcPr>
            <w:tcW w:w="146"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204"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rFonts w:ascii="Times New Roman" w:hAnsi="Times New Roman"/>
                <w:b w:val="false"/>
                <w:sz w:val="12"/>
              </w:rPr>
            </w:pPr>
            <w:r>
              <w:rPr>
                <w:rFonts w:ascii="Times New Roman" w:hAnsi="Times New Roman"/>
                <w:b w:val="false"/>
                <w:sz w:val="12"/>
              </w:rPr>
              <w:t>$</w:t>
            </w:r>
          </w:p>
        </w:tc>
        <w:tc>
          <w:tcPr>
            <w:tcW w:w="592"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right"/>
              <w:rPr>
                <w:rFonts w:ascii="Times New Roman" w:hAnsi="Times New Roman"/>
                <w:b w:val="false"/>
                <w:sz w:val="12"/>
              </w:rPr>
            </w:pPr>
            <w:r>
              <w:rPr>
                <w:rFonts w:ascii="Times New Roman" w:hAnsi="Times New Roman"/>
                <w:b w:val="false"/>
                <w:sz w:val="12"/>
              </w:rPr>
              <w:t>(56,842</w:t>
            </w:r>
          </w:p>
        </w:tc>
        <w:tc>
          <w:tcPr>
            <w:tcW w:w="151"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rFonts w:ascii="Times New Roman" w:hAnsi="Times New Roman"/>
                <w:b w:val="false"/>
                <w:sz w:val="12"/>
              </w:rPr>
            </w:pPr>
            <w:r>
              <w:rPr>
                <w:rFonts w:ascii="Times New Roman" w:hAnsi="Times New Roman"/>
                <w:b w:val="false"/>
                <w:sz w:val="12"/>
              </w:rPr>
              <w:t>)</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204"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rFonts w:ascii="Times New Roman" w:hAnsi="Times New Roman"/>
                <w:b w:val="false"/>
                <w:sz w:val="12"/>
              </w:rPr>
            </w:pPr>
            <w:r>
              <w:rPr>
                <w:rFonts w:ascii="Times New Roman" w:hAnsi="Times New Roman"/>
                <w:b w:val="false"/>
                <w:sz w:val="12"/>
              </w:rPr>
              <w:t>$</w:t>
            </w:r>
          </w:p>
        </w:tc>
        <w:tc>
          <w:tcPr>
            <w:tcW w:w="592"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right"/>
              <w:rPr>
                <w:rFonts w:ascii="Times New Roman" w:hAnsi="Times New Roman"/>
                <w:b w:val="false"/>
                <w:sz w:val="12"/>
              </w:rPr>
            </w:pPr>
            <w:r>
              <w:rPr>
                <w:rFonts w:ascii="Times New Roman" w:hAnsi="Times New Roman"/>
                <w:b w:val="false"/>
                <w:sz w:val="12"/>
              </w:rPr>
              <w:t>(54,205</w:t>
            </w:r>
          </w:p>
        </w:tc>
        <w:tc>
          <w:tcPr>
            <w:tcW w:w="196"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rFonts w:ascii="Times New Roman" w:hAnsi="Times New Roman"/>
                <w:b w:val="false"/>
                <w:sz w:val="12"/>
              </w:rPr>
            </w:pPr>
            <w:r>
              <w:rPr>
                <w:rFonts w:ascii="Times New Roman" w:hAnsi="Times New Roman"/>
                <w:b w:val="false"/>
                <w:sz w:val="12"/>
              </w:rPr>
              <w:t>)</w:t>
            </w:r>
          </w:p>
        </w:tc>
      </w:tr>
      <w:tr>
        <w:trPr/>
        <w:tc>
          <w:tcPr>
            <w:tcW w:w="1186" w:type="dxa"/>
            <w:tcBorders/>
            <w:shd w:fill="auto" w:val="clear"/>
            <w:vAlign w:val="center"/>
          </w:tcPr>
          <w:p>
            <w:pPr>
              <w:pStyle w:val="TableContents"/>
              <w:spacing w:lineRule="auto" w:line="252" w:before="0" w:after="0"/>
              <w:ind w:left="0" w:right="0" w:hanging="0"/>
              <w:jc w:val="left"/>
              <w:rPr>
                <w:rFonts w:ascii="Times New Roman" w:hAnsi="Times New Roman"/>
                <w:b w:val="false"/>
                <w:sz w:val="12"/>
              </w:rPr>
            </w:pPr>
            <w:r>
              <w:rPr>
                <w:rFonts w:ascii="Times New Roman" w:hAnsi="Times New Roman"/>
                <w:b w:val="false"/>
                <w:sz w:val="12"/>
              </w:rPr>
              <w:t>Issuance of Series B redeemable</w:t>
              <w:br/>
              <w:t>   convertible preferred shares for</w:t>
              <w:br/>
              <w:t>   cash, net of issuance costs of $243</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646" w:type="dxa"/>
            <w:tcBorders/>
            <w:shd w:fill="auto" w:val="clear"/>
            <w:vAlign w:val="center"/>
          </w:tcPr>
          <w:p>
            <w:pPr>
              <w:pStyle w:val="TableContents"/>
              <w:spacing w:lineRule="auto" w:line="252" w:before="0" w:after="0"/>
              <w:ind w:left="0" w:right="0" w:hanging="0"/>
              <w:jc w:val="right"/>
              <w:rPr>
                <w:rFonts w:ascii="Times New Roman" w:hAnsi="Times New Roman"/>
                <w:b w:val="false"/>
                <w:sz w:val="12"/>
              </w:rPr>
            </w:pPr>
            <w:r>
              <w:rPr>
                <w:rFonts w:ascii="Times New Roman" w:hAnsi="Times New Roman"/>
                <w:b w:val="false"/>
                <w:sz w:val="12"/>
              </w:rPr>
              <w:t>9,638,141</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66" w:type="dxa"/>
            <w:tcBorders/>
            <w:shd w:fill="auto" w:val="clear"/>
            <w:vAlign w:val="center"/>
          </w:tcPr>
          <w:p>
            <w:pPr>
              <w:pStyle w:val="TableContents"/>
              <w:spacing w:lineRule="auto" w:line="252" w:before="0" w:after="0"/>
              <w:ind w:left="0" w:right="0" w:hanging="0"/>
              <w:jc w:val="left"/>
              <w:rPr/>
            </w:pPr>
            <w:r>
              <w:rPr/>
              <w:t> </w:t>
            </w:r>
          </w:p>
        </w:tc>
        <w:tc>
          <w:tcPr>
            <w:tcW w:w="496" w:type="dxa"/>
            <w:tcBorders/>
            <w:shd w:fill="auto" w:val="clear"/>
            <w:vAlign w:val="center"/>
          </w:tcPr>
          <w:p>
            <w:pPr>
              <w:pStyle w:val="TableContents"/>
              <w:spacing w:lineRule="auto" w:line="252" w:before="0" w:after="0"/>
              <w:ind w:left="0" w:right="0" w:hanging="0"/>
              <w:jc w:val="right"/>
              <w:rPr>
                <w:rFonts w:ascii="Times New Roman" w:hAnsi="Times New Roman"/>
                <w:b w:val="false"/>
                <w:sz w:val="12"/>
              </w:rPr>
            </w:pPr>
            <w:r>
              <w:rPr>
                <w:rFonts w:ascii="Times New Roman" w:hAnsi="Times New Roman"/>
                <w:b w:val="false"/>
                <w:sz w:val="12"/>
              </w:rPr>
              <w:t>129,757</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266" w:type="dxa"/>
            <w:tcBorders/>
            <w:shd w:fill="auto" w:val="clear"/>
            <w:vAlign w:val="center"/>
          </w:tcPr>
          <w:p>
            <w:pPr>
              <w:pStyle w:val="TableContents"/>
              <w:spacing w:lineRule="auto" w:line="252" w:before="0" w:after="0"/>
              <w:ind w:left="0" w:right="0" w:hanging="0"/>
              <w:jc w:val="left"/>
              <w:rPr/>
            </w:pPr>
            <w:r>
              <w:rPr/>
              <w:t> </w:t>
            </w:r>
          </w:p>
        </w:tc>
        <w:tc>
          <w:tcPr>
            <w:tcW w:w="605" w:type="dxa"/>
            <w:tcBorders/>
            <w:shd w:fill="auto" w:val="clear"/>
            <w:vAlign w:val="center"/>
          </w:tcPr>
          <w:p>
            <w:pPr>
              <w:pStyle w:val="TableContents"/>
              <w:spacing w:lineRule="auto" w:line="252" w:before="0" w:after="0"/>
              <w:ind w:left="0" w:right="0" w:hanging="0"/>
              <w:jc w:val="right"/>
              <w:rPr/>
            </w:pPr>
            <w:r>
              <w:rPr/>
              <w:t>—</w:t>
            </w:r>
          </w:p>
        </w:tc>
        <w:tc>
          <w:tcPr>
            <w:tcW w:w="151" w:type="dxa"/>
            <w:tcBorders/>
            <w:shd w:fill="auto" w:val="clear"/>
            <w:vAlign w:val="center"/>
          </w:tcPr>
          <w:p>
            <w:pPr>
              <w:pStyle w:val="TableContents"/>
              <w:spacing w:lineRule="auto" w:line="252" w:before="0" w:after="0"/>
              <w:ind w:left="0" w:right="0" w:hanging="0"/>
              <w:jc w:val="left"/>
              <w:rPr/>
            </w:pPr>
            <w:r>
              <w:rPr/>
              <w:t> </w:t>
            </w:r>
          </w:p>
        </w:tc>
        <w:tc>
          <w:tcPr>
            <w:tcW w:w="146" w:type="dxa"/>
            <w:tcBorders>
              <w:right w:val="single" w:sz="4" w:space="0" w:color="000000"/>
            </w:tcBorders>
            <w:shd w:fill="auto" w:val="clear"/>
            <w:tcMar>
              <w:top w:w="0" w:type="dxa"/>
              <w:left w:w="0" w:type="dxa"/>
              <w:bottom w:w="0" w:type="dxa"/>
            </w:tcM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586" w:type="dxa"/>
            <w:tcBorders/>
            <w:shd w:fill="auto" w:val="clear"/>
            <w:vAlign w:val="center"/>
          </w:tcPr>
          <w:p>
            <w:pPr>
              <w:pStyle w:val="TableContents"/>
              <w:spacing w:lineRule="auto" w:line="252" w:before="0" w:after="0"/>
              <w:ind w:left="0" w:right="0" w:hanging="0"/>
              <w:jc w:val="right"/>
              <w:rPr/>
            </w:pPr>
            <w:r>
              <w:rPr/>
              <w:t>—</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66" w:type="dxa"/>
            <w:tcBorders/>
            <w:shd w:fill="auto" w:val="clear"/>
            <w:vAlign w:val="center"/>
          </w:tcPr>
          <w:p>
            <w:pPr>
              <w:pStyle w:val="TableContents"/>
              <w:spacing w:lineRule="auto" w:line="252" w:before="0" w:after="0"/>
              <w:ind w:left="0" w:right="0" w:hanging="0"/>
              <w:jc w:val="left"/>
              <w:rPr/>
            </w:pPr>
            <w:r>
              <w:rPr/>
              <w:t> </w:t>
            </w:r>
          </w:p>
        </w:tc>
        <w:tc>
          <w:tcPr>
            <w:tcW w:w="376" w:type="dxa"/>
            <w:tcBorders/>
            <w:shd w:fill="auto" w:val="clear"/>
            <w:vAlign w:val="center"/>
          </w:tcPr>
          <w:p>
            <w:pPr>
              <w:pStyle w:val="TableContents"/>
              <w:spacing w:lineRule="auto" w:line="252" w:before="0" w:after="0"/>
              <w:ind w:left="0" w:right="0" w:hanging="0"/>
              <w:jc w:val="right"/>
              <w:rPr/>
            </w:pPr>
            <w:r>
              <w:rPr/>
              <w:t>—</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586" w:type="dxa"/>
            <w:tcBorders/>
            <w:shd w:fill="auto" w:val="clear"/>
            <w:vAlign w:val="center"/>
          </w:tcPr>
          <w:p>
            <w:pPr>
              <w:pStyle w:val="TableContents"/>
              <w:spacing w:lineRule="auto" w:line="252" w:before="0" w:after="0"/>
              <w:ind w:left="0" w:right="0" w:hanging="0"/>
              <w:jc w:val="right"/>
              <w:rPr/>
            </w:pPr>
            <w:r>
              <w:rPr/>
              <w:t>—</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66" w:type="dxa"/>
            <w:tcBorders/>
            <w:shd w:fill="auto" w:val="clear"/>
            <w:vAlign w:val="center"/>
          </w:tcPr>
          <w:p>
            <w:pPr>
              <w:pStyle w:val="TableContents"/>
              <w:spacing w:lineRule="auto" w:line="252" w:before="0" w:after="0"/>
              <w:ind w:left="0" w:right="0" w:hanging="0"/>
              <w:jc w:val="left"/>
              <w:rPr/>
            </w:pPr>
            <w:r>
              <w:rPr/>
              <w:t> </w:t>
            </w:r>
          </w:p>
        </w:tc>
        <w:tc>
          <w:tcPr>
            <w:tcW w:w="376" w:type="dxa"/>
            <w:tcBorders/>
            <w:shd w:fill="auto" w:val="clear"/>
            <w:vAlign w:val="center"/>
          </w:tcPr>
          <w:p>
            <w:pPr>
              <w:pStyle w:val="TableContents"/>
              <w:spacing w:lineRule="auto" w:line="252" w:before="0" w:after="0"/>
              <w:ind w:left="0" w:right="0" w:hanging="0"/>
              <w:jc w:val="right"/>
              <w:rPr/>
            </w:pPr>
            <w:r>
              <w:rPr/>
              <w:t>—</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204" w:type="dxa"/>
            <w:tcBorders/>
            <w:shd w:fill="auto" w:val="clear"/>
            <w:vAlign w:val="center"/>
          </w:tcPr>
          <w:p>
            <w:pPr>
              <w:pStyle w:val="TableContents"/>
              <w:spacing w:lineRule="auto" w:line="252" w:before="0" w:after="0"/>
              <w:ind w:left="0" w:right="0" w:hanging="0"/>
              <w:jc w:val="left"/>
              <w:rPr/>
            </w:pPr>
            <w:r>
              <w:rPr/>
              <w:t> </w:t>
            </w:r>
          </w:p>
        </w:tc>
        <w:tc>
          <w:tcPr>
            <w:tcW w:w="592" w:type="dxa"/>
            <w:tcBorders/>
            <w:shd w:fill="auto" w:val="clear"/>
            <w:vAlign w:val="center"/>
          </w:tcPr>
          <w:p>
            <w:pPr>
              <w:pStyle w:val="TableContents"/>
              <w:spacing w:lineRule="auto" w:line="252" w:before="0" w:after="0"/>
              <w:ind w:left="0" w:right="0" w:hanging="0"/>
              <w:jc w:val="right"/>
              <w:rPr/>
            </w:pPr>
            <w:r>
              <w:rPr/>
              <w:t>—</w:t>
            </w:r>
          </w:p>
        </w:tc>
        <w:tc>
          <w:tcPr>
            <w:tcW w:w="151" w:type="dxa"/>
            <w:tcBorders/>
            <w:shd w:fill="auto" w:val="cle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204" w:type="dxa"/>
            <w:tcBorders/>
            <w:shd w:fill="auto" w:val="clear"/>
            <w:vAlign w:val="center"/>
          </w:tcPr>
          <w:p>
            <w:pPr>
              <w:pStyle w:val="TableContents"/>
              <w:spacing w:lineRule="auto" w:line="252" w:before="0" w:after="0"/>
              <w:ind w:left="0" w:right="0" w:hanging="0"/>
              <w:jc w:val="left"/>
              <w:rPr/>
            </w:pPr>
            <w:r>
              <w:rPr/>
              <w:t> </w:t>
            </w:r>
          </w:p>
        </w:tc>
        <w:tc>
          <w:tcPr>
            <w:tcW w:w="592" w:type="dxa"/>
            <w:tcBorders/>
            <w:shd w:fill="auto" w:val="clear"/>
            <w:vAlign w:val="center"/>
          </w:tcPr>
          <w:p>
            <w:pPr>
              <w:pStyle w:val="TableContents"/>
              <w:spacing w:lineRule="auto" w:line="252" w:before="0" w:after="0"/>
              <w:ind w:left="0" w:right="0" w:hanging="0"/>
              <w:jc w:val="right"/>
              <w:rPr/>
            </w:pPr>
            <w:r>
              <w:rPr/>
              <w:t>—</w:t>
            </w:r>
          </w:p>
        </w:tc>
        <w:tc>
          <w:tcPr>
            <w:tcW w:w="196" w:type="dxa"/>
            <w:tcBorders/>
            <w:shd w:fill="auto" w:val="clear"/>
            <w:vAlign w:val="center"/>
          </w:tcPr>
          <w:p>
            <w:pPr>
              <w:pStyle w:val="TableContents"/>
              <w:spacing w:lineRule="auto" w:line="252" w:before="0" w:after="0"/>
              <w:ind w:left="0" w:right="0" w:hanging="0"/>
              <w:jc w:val="left"/>
              <w:rPr/>
            </w:pPr>
            <w:r>
              <w:rPr/>
              <w:t> </w:t>
            </w:r>
          </w:p>
        </w:tc>
      </w:tr>
      <w:tr>
        <w:trPr/>
        <w:tc>
          <w:tcPr>
            <w:tcW w:w="1186" w:type="dxa"/>
            <w:tcBorders/>
            <w:shd w:fill="auto" w:val="clear"/>
            <w:vAlign w:val="center"/>
          </w:tcPr>
          <w:p>
            <w:pPr>
              <w:pStyle w:val="TableContents"/>
              <w:spacing w:lineRule="auto" w:line="252" w:before="0" w:after="0"/>
              <w:ind w:left="0" w:right="0" w:hanging="0"/>
              <w:jc w:val="left"/>
              <w:rPr>
                <w:rFonts w:ascii="Times New Roman" w:hAnsi="Times New Roman"/>
                <w:b w:val="false"/>
                <w:sz w:val="12"/>
              </w:rPr>
            </w:pPr>
            <w:r>
              <w:rPr>
                <w:rFonts w:ascii="Times New Roman" w:hAnsi="Times New Roman"/>
                <w:b w:val="false"/>
                <w:sz w:val="12"/>
              </w:rPr>
              <w:t>Share-based compensation expenses</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646" w:type="dxa"/>
            <w:tcBorders/>
            <w:shd w:fill="auto" w:val="clear"/>
            <w:vAlign w:val="center"/>
          </w:tcPr>
          <w:p>
            <w:pPr>
              <w:pStyle w:val="TableContents"/>
              <w:spacing w:lineRule="auto" w:line="252" w:before="0" w:after="0"/>
              <w:ind w:left="0" w:right="0" w:hanging="0"/>
              <w:jc w:val="right"/>
              <w:rPr/>
            </w:pPr>
            <w:r>
              <w:rPr/>
              <w:t>—</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66" w:type="dxa"/>
            <w:tcBorders/>
            <w:shd w:fill="auto" w:val="clear"/>
            <w:vAlign w:val="center"/>
          </w:tcPr>
          <w:p>
            <w:pPr>
              <w:pStyle w:val="TableContents"/>
              <w:spacing w:lineRule="auto" w:line="252" w:before="0" w:after="0"/>
              <w:ind w:left="0" w:right="0" w:hanging="0"/>
              <w:jc w:val="left"/>
              <w:rPr/>
            </w:pPr>
            <w:r>
              <w:rPr/>
              <w:t> </w:t>
            </w:r>
          </w:p>
        </w:tc>
        <w:tc>
          <w:tcPr>
            <w:tcW w:w="496" w:type="dxa"/>
            <w:tcBorders/>
            <w:shd w:fill="auto" w:val="clear"/>
            <w:vAlign w:val="center"/>
          </w:tcPr>
          <w:p>
            <w:pPr>
              <w:pStyle w:val="TableContents"/>
              <w:spacing w:lineRule="auto" w:line="252" w:before="0" w:after="0"/>
              <w:ind w:left="0" w:right="0" w:hanging="0"/>
              <w:jc w:val="right"/>
              <w:rPr/>
            </w:pPr>
            <w:r>
              <w:rPr/>
              <w:t>—</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266" w:type="dxa"/>
            <w:tcBorders/>
            <w:shd w:fill="auto" w:val="clear"/>
            <w:vAlign w:val="center"/>
          </w:tcPr>
          <w:p>
            <w:pPr>
              <w:pStyle w:val="TableContents"/>
              <w:spacing w:lineRule="auto" w:line="252" w:before="0" w:after="0"/>
              <w:ind w:left="0" w:right="0" w:hanging="0"/>
              <w:jc w:val="left"/>
              <w:rPr/>
            </w:pPr>
            <w:r>
              <w:rPr/>
              <w:t> </w:t>
            </w:r>
          </w:p>
        </w:tc>
        <w:tc>
          <w:tcPr>
            <w:tcW w:w="605" w:type="dxa"/>
            <w:tcBorders/>
            <w:shd w:fill="auto" w:val="clear"/>
            <w:vAlign w:val="center"/>
          </w:tcPr>
          <w:p>
            <w:pPr>
              <w:pStyle w:val="TableContents"/>
              <w:spacing w:lineRule="auto" w:line="252" w:before="0" w:after="0"/>
              <w:ind w:left="0" w:right="0" w:hanging="0"/>
              <w:jc w:val="right"/>
              <w:rPr/>
            </w:pPr>
            <w:r>
              <w:rPr/>
              <w:t>—</w:t>
            </w:r>
          </w:p>
        </w:tc>
        <w:tc>
          <w:tcPr>
            <w:tcW w:w="151" w:type="dxa"/>
            <w:tcBorders/>
            <w:shd w:fill="auto" w:val="clear"/>
            <w:vAlign w:val="center"/>
          </w:tcPr>
          <w:p>
            <w:pPr>
              <w:pStyle w:val="TableContents"/>
              <w:spacing w:lineRule="auto" w:line="252" w:before="0" w:after="0"/>
              <w:ind w:left="0" w:right="0" w:hanging="0"/>
              <w:jc w:val="left"/>
              <w:rPr/>
            </w:pPr>
            <w:r>
              <w:rPr/>
              <w:t> </w:t>
            </w:r>
          </w:p>
        </w:tc>
        <w:tc>
          <w:tcPr>
            <w:tcW w:w="146" w:type="dxa"/>
            <w:tcBorders>
              <w:right w:val="single" w:sz="4" w:space="0" w:color="000000"/>
            </w:tcBorders>
            <w:shd w:fill="auto" w:val="clear"/>
            <w:tcMar>
              <w:top w:w="0" w:type="dxa"/>
              <w:left w:w="0" w:type="dxa"/>
              <w:bottom w:w="0" w:type="dxa"/>
            </w:tcM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586" w:type="dxa"/>
            <w:tcBorders/>
            <w:shd w:fill="auto" w:val="clear"/>
            <w:vAlign w:val="center"/>
          </w:tcPr>
          <w:p>
            <w:pPr>
              <w:pStyle w:val="TableContents"/>
              <w:spacing w:lineRule="auto" w:line="252" w:before="0" w:after="0"/>
              <w:ind w:left="0" w:right="0" w:hanging="0"/>
              <w:jc w:val="right"/>
              <w:rPr/>
            </w:pPr>
            <w:r>
              <w:rPr/>
              <w:t>—</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66" w:type="dxa"/>
            <w:tcBorders/>
            <w:shd w:fill="auto" w:val="clear"/>
            <w:vAlign w:val="center"/>
          </w:tcPr>
          <w:p>
            <w:pPr>
              <w:pStyle w:val="TableContents"/>
              <w:spacing w:lineRule="auto" w:line="252" w:before="0" w:after="0"/>
              <w:ind w:left="0" w:right="0" w:hanging="0"/>
              <w:jc w:val="left"/>
              <w:rPr/>
            </w:pPr>
            <w:r>
              <w:rPr/>
              <w:t> </w:t>
            </w:r>
          </w:p>
        </w:tc>
        <w:tc>
          <w:tcPr>
            <w:tcW w:w="376" w:type="dxa"/>
            <w:tcBorders/>
            <w:shd w:fill="auto" w:val="clear"/>
            <w:vAlign w:val="center"/>
          </w:tcPr>
          <w:p>
            <w:pPr>
              <w:pStyle w:val="TableContents"/>
              <w:spacing w:lineRule="auto" w:line="252" w:before="0" w:after="0"/>
              <w:ind w:left="0" w:right="0" w:hanging="0"/>
              <w:jc w:val="right"/>
              <w:rPr/>
            </w:pPr>
            <w:r>
              <w:rPr/>
              <w:t>—</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586" w:type="dxa"/>
            <w:tcBorders/>
            <w:shd w:fill="auto" w:val="clear"/>
            <w:vAlign w:val="center"/>
          </w:tcPr>
          <w:p>
            <w:pPr>
              <w:pStyle w:val="TableContents"/>
              <w:spacing w:lineRule="auto" w:line="252" w:before="0" w:after="0"/>
              <w:ind w:left="0" w:right="0" w:hanging="0"/>
              <w:jc w:val="right"/>
              <w:rPr/>
            </w:pPr>
            <w:r>
              <w:rPr/>
              <w:t>—</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66" w:type="dxa"/>
            <w:tcBorders/>
            <w:shd w:fill="auto" w:val="clear"/>
            <w:vAlign w:val="center"/>
          </w:tcPr>
          <w:p>
            <w:pPr>
              <w:pStyle w:val="TableContents"/>
              <w:spacing w:lineRule="auto" w:line="252" w:before="0" w:after="0"/>
              <w:ind w:left="0" w:right="0" w:hanging="0"/>
              <w:jc w:val="left"/>
              <w:rPr/>
            </w:pPr>
            <w:r>
              <w:rPr/>
              <w:t> </w:t>
            </w:r>
          </w:p>
        </w:tc>
        <w:tc>
          <w:tcPr>
            <w:tcW w:w="376" w:type="dxa"/>
            <w:tcBorders/>
            <w:shd w:fill="auto" w:val="clear"/>
            <w:vAlign w:val="center"/>
          </w:tcPr>
          <w:p>
            <w:pPr>
              <w:pStyle w:val="TableContents"/>
              <w:spacing w:lineRule="auto" w:line="252" w:before="0" w:after="0"/>
              <w:ind w:left="0" w:right="0" w:hanging="0"/>
              <w:jc w:val="right"/>
              <w:rPr>
                <w:rFonts w:ascii="Times New Roman" w:hAnsi="Times New Roman"/>
                <w:b w:val="false"/>
                <w:sz w:val="12"/>
              </w:rPr>
            </w:pPr>
            <w:r>
              <w:rPr>
                <w:rFonts w:ascii="Times New Roman" w:hAnsi="Times New Roman"/>
                <w:b w:val="false"/>
                <w:sz w:val="12"/>
              </w:rPr>
              <w:t>538</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204" w:type="dxa"/>
            <w:tcBorders/>
            <w:shd w:fill="auto" w:val="clear"/>
            <w:vAlign w:val="center"/>
          </w:tcPr>
          <w:p>
            <w:pPr>
              <w:pStyle w:val="TableContents"/>
              <w:spacing w:lineRule="auto" w:line="252" w:before="0" w:after="0"/>
              <w:ind w:left="0" w:right="0" w:hanging="0"/>
              <w:jc w:val="left"/>
              <w:rPr/>
            </w:pPr>
            <w:r>
              <w:rPr/>
              <w:t> </w:t>
            </w:r>
          </w:p>
        </w:tc>
        <w:tc>
          <w:tcPr>
            <w:tcW w:w="592" w:type="dxa"/>
            <w:tcBorders/>
            <w:shd w:fill="auto" w:val="clear"/>
            <w:vAlign w:val="center"/>
          </w:tcPr>
          <w:p>
            <w:pPr>
              <w:pStyle w:val="TableContents"/>
              <w:spacing w:lineRule="auto" w:line="252" w:before="0" w:after="0"/>
              <w:ind w:left="0" w:right="0" w:hanging="0"/>
              <w:jc w:val="right"/>
              <w:rPr/>
            </w:pPr>
            <w:r>
              <w:rPr/>
              <w:t>—</w:t>
            </w:r>
          </w:p>
        </w:tc>
        <w:tc>
          <w:tcPr>
            <w:tcW w:w="151" w:type="dxa"/>
            <w:tcBorders/>
            <w:shd w:fill="auto" w:val="cle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204" w:type="dxa"/>
            <w:tcBorders/>
            <w:shd w:fill="auto" w:val="clear"/>
            <w:vAlign w:val="center"/>
          </w:tcPr>
          <w:p>
            <w:pPr>
              <w:pStyle w:val="TableContents"/>
              <w:spacing w:lineRule="auto" w:line="252" w:before="0" w:after="0"/>
              <w:ind w:left="0" w:right="0" w:hanging="0"/>
              <w:jc w:val="left"/>
              <w:rPr/>
            </w:pPr>
            <w:r>
              <w:rPr/>
              <w:t> </w:t>
            </w:r>
          </w:p>
        </w:tc>
        <w:tc>
          <w:tcPr>
            <w:tcW w:w="592" w:type="dxa"/>
            <w:tcBorders/>
            <w:shd w:fill="auto" w:val="clear"/>
            <w:vAlign w:val="center"/>
          </w:tcPr>
          <w:p>
            <w:pPr>
              <w:pStyle w:val="TableContents"/>
              <w:spacing w:lineRule="auto" w:line="252" w:before="0" w:after="0"/>
              <w:ind w:left="0" w:right="0" w:hanging="0"/>
              <w:jc w:val="right"/>
              <w:rPr>
                <w:rFonts w:ascii="Times New Roman" w:hAnsi="Times New Roman"/>
                <w:b w:val="false"/>
                <w:sz w:val="12"/>
              </w:rPr>
            </w:pPr>
            <w:r>
              <w:rPr>
                <w:rFonts w:ascii="Times New Roman" w:hAnsi="Times New Roman"/>
                <w:b w:val="false"/>
                <w:sz w:val="12"/>
              </w:rPr>
              <w:t>538</w:t>
            </w:r>
          </w:p>
        </w:tc>
        <w:tc>
          <w:tcPr>
            <w:tcW w:w="196" w:type="dxa"/>
            <w:tcBorders/>
            <w:shd w:fill="auto" w:val="clear"/>
            <w:vAlign w:val="center"/>
          </w:tcPr>
          <w:p>
            <w:pPr>
              <w:pStyle w:val="TableContents"/>
              <w:spacing w:lineRule="auto" w:line="252" w:before="0" w:after="0"/>
              <w:ind w:left="0" w:right="0" w:hanging="0"/>
              <w:jc w:val="left"/>
              <w:rPr/>
            </w:pPr>
            <w:r>
              <w:rPr/>
              <w:t> </w:t>
            </w:r>
          </w:p>
        </w:tc>
      </w:tr>
      <w:tr>
        <w:trPr/>
        <w:tc>
          <w:tcPr>
            <w:tcW w:w="1186" w:type="dxa"/>
            <w:tcBorders/>
            <w:shd w:fill="auto" w:val="clear"/>
            <w:vAlign w:val="center"/>
          </w:tcPr>
          <w:p>
            <w:pPr>
              <w:pStyle w:val="TableContents"/>
              <w:spacing w:lineRule="auto" w:line="252" w:before="0" w:after="0"/>
              <w:ind w:left="0" w:right="0" w:hanging="0"/>
              <w:jc w:val="left"/>
              <w:rPr>
                <w:rFonts w:ascii="Times New Roman" w:hAnsi="Times New Roman"/>
                <w:b w:val="false"/>
                <w:sz w:val="12"/>
              </w:rPr>
            </w:pPr>
            <w:r>
              <w:rPr>
                <w:rFonts w:ascii="Times New Roman" w:hAnsi="Times New Roman"/>
                <w:b w:val="false"/>
                <w:sz w:val="12"/>
              </w:rPr>
              <w:t>Issuance of incentive shares</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646" w:type="dxa"/>
            <w:tcBorders/>
            <w:shd w:fill="auto" w:val="clear"/>
            <w:vAlign w:val="center"/>
          </w:tcPr>
          <w:p>
            <w:pPr>
              <w:pStyle w:val="TableContents"/>
              <w:spacing w:lineRule="auto" w:line="252" w:before="0" w:after="0"/>
              <w:ind w:left="0" w:right="0" w:hanging="0"/>
              <w:jc w:val="right"/>
              <w:rPr/>
            </w:pPr>
            <w:r>
              <w:rPr/>
              <w:t>—</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66" w:type="dxa"/>
            <w:tcBorders/>
            <w:shd w:fill="auto" w:val="clear"/>
            <w:vAlign w:val="center"/>
          </w:tcPr>
          <w:p>
            <w:pPr>
              <w:pStyle w:val="TableContents"/>
              <w:spacing w:lineRule="auto" w:line="252" w:before="0" w:after="0"/>
              <w:ind w:left="0" w:right="0" w:hanging="0"/>
              <w:jc w:val="left"/>
              <w:rPr/>
            </w:pPr>
            <w:r>
              <w:rPr/>
              <w:t> </w:t>
            </w:r>
          </w:p>
        </w:tc>
        <w:tc>
          <w:tcPr>
            <w:tcW w:w="496" w:type="dxa"/>
            <w:tcBorders/>
            <w:shd w:fill="auto" w:val="clear"/>
            <w:vAlign w:val="center"/>
          </w:tcPr>
          <w:p>
            <w:pPr>
              <w:pStyle w:val="TableContents"/>
              <w:spacing w:lineRule="auto" w:line="252" w:before="0" w:after="0"/>
              <w:ind w:left="0" w:right="0" w:hanging="0"/>
              <w:jc w:val="right"/>
              <w:rPr/>
            </w:pPr>
            <w:r>
              <w:rPr/>
              <w:t>—</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266" w:type="dxa"/>
            <w:tcBorders/>
            <w:shd w:fill="auto" w:val="clear"/>
            <w:vAlign w:val="center"/>
          </w:tcPr>
          <w:p>
            <w:pPr>
              <w:pStyle w:val="TableContents"/>
              <w:spacing w:lineRule="auto" w:line="252" w:before="0" w:after="0"/>
              <w:ind w:left="0" w:right="0" w:hanging="0"/>
              <w:jc w:val="left"/>
              <w:rPr/>
            </w:pPr>
            <w:r>
              <w:rPr/>
              <w:t> </w:t>
            </w:r>
          </w:p>
        </w:tc>
        <w:tc>
          <w:tcPr>
            <w:tcW w:w="605" w:type="dxa"/>
            <w:tcBorders/>
            <w:shd w:fill="auto" w:val="clear"/>
            <w:vAlign w:val="center"/>
          </w:tcPr>
          <w:p>
            <w:pPr>
              <w:pStyle w:val="TableContents"/>
              <w:spacing w:lineRule="auto" w:line="252" w:before="0" w:after="0"/>
              <w:ind w:left="0" w:right="0" w:hanging="0"/>
              <w:jc w:val="right"/>
              <w:rPr/>
            </w:pPr>
            <w:r>
              <w:rPr/>
              <w:t>—</w:t>
            </w:r>
          </w:p>
        </w:tc>
        <w:tc>
          <w:tcPr>
            <w:tcW w:w="151" w:type="dxa"/>
            <w:tcBorders/>
            <w:shd w:fill="auto" w:val="clear"/>
            <w:vAlign w:val="center"/>
          </w:tcPr>
          <w:p>
            <w:pPr>
              <w:pStyle w:val="TableContents"/>
              <w:spacing w:lineRule="auto" w:line="252" w:before="0" w:after="0"/>
              <w:ind w:left="0" w:right="0" w:hanging="0"/>
              <w:jc w:val="left"/>
              <w:rPr/>
            </w:pPr>
            <w:r>
              <w:rPr/>
              <w:t> </w:t>
            </w:r>
          </w:p>
        </w:tc>
        <w:tc>
          <w:tcPr>
            <w:tcW w:w="146" w:type="dxa"/>
            <w:tcBorders>
              <w:right w:val="single" w:sz="4" w:space="0" w:color="000000"/>
            </w:tcBorders>
            <w:shd w:fill="auto" w:val="clear"/>
            <w:tcMar>
              <w:top w:w="0" w:type="dxa"/>
              <w:left w:w="0" w:type="dxa"/>
              <w:bottom w:w="0" w:type="dxa"/>
            </w:tcM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586" w:type="dxa"/>
            <w:tcBorders/>
            <w:shd w:fill="auto" w:val="clear"/>
            <w:vAlign w:val="center"/>
          </w:tcPr>
          <w:p>
            <w:pPr>
              <w:pStyle w:val="TableContents"/>
              <w:spacing w:lineRule="auto" w:line="252" w:before="0" w:after="0"/>
              <w:ind w:left="0" w:right="0" w:hanging="0"/>
              <w:jc w:val="right"/>
              <w:rPr/>
            </w:pPr>
            <w:r>
              <w:rPr/>
              <w:t>—</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66" w:type="dxa"/>
            <w:tcBorders/>
            <w:shd w:fill="auto" w:val="clear"/>
            <w:vAlign w:val="center"/>
          </w:tcPr>
          <w:p>
            <w:pPr>
              <w:pStyle w:val="TableContents"/>
              <w:spacing w:lineRule="auto" w:line="252" w:before="0" w:after="0"/>
              <w:ind w:left="0" w:right="0" w:hanging="0"/>
              <w:jc w:val="left"/>
              <w:rPr/>
            </w:pPr>
            <w:r>
              <w:rPr/>
              <w:t> </w:t>
            </w:r>
          </w:p>
        </w:tc>
        <w:tc>
          <w:tcPr>
            <w:tcW w:w="376" w:type="dxa"/>
            <w:tcBorders/>
            <w:shd w:fill="auto" w:val="clear"/>
            <w:vAlign w:val="center"/>
          </w:tcPr>
          <w:p>
            <w:pPr>
              <w:pStyle w:val="TableContents"/>
              <w:spacing w:lineRule="auto" w:line="252" w:before="0" w:after="0"/>
              <w:ind w:left="0" w:right="0" w:hanging="0"/>
              <w:jc w:val="right"/>
              <w:rPr/>
            </w:pPr>
            <w:r>
              <w:rPr/>
              <w:t>—</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586" w:type="dxa"/>
            <w:tcBorders/>
            <w:shd w:fill="auto" w:val="clear"/>
            <w:vAlign w:val="center"/>
          </w:tcPr>
          <w:p>
            <w:pPr>
              <w:pStyle w:val="TableContents"/>
              <w:spacing w:lineRule="auto" w:line="252" w:before="0" w:after="0"/>
              <w:ind w:left="0" w:right="0" w:hanging="0"/>
              <w:jc w:val="right"/>
              <w:rPr>
                <w:rFonts w:ascii="Times New Roman" w:hAnsi="Times New Roman"/>
                <w:b w:val="false"/>
                <w:sz w:val="12"/>
              </w:rPr>
            </w:pPr>
            <w:r>
              <w:rPr>
                <w:rFonts w:ascii="Times New Roman" w:hAnsi="Times New Roman"/>
                <w:b w:val="false"/>
                <w:sz w:val="12"/>
              </w:rPr>
              <w:t>874,335</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66" w:type="dxa"/>
            <w:tcBorders/>
            <w:shd w:fill="auto" w:val="clear"/>
            <w:vAlign w:val="center"/>
          </w:tcPr>
          <w:p>
            <w:pPr>
              <w:pStyle w:val="TableContents"/>
              <w:spacing w:lineRule="auto" w:line="252" w:before="0" w:after="0"/>
              <w:ind w:left="0" w:right="0" w:hanging="0"/>
              <w:jc w:val="left"/>
              <w:rPr/>
            </w:pPr>
            <w:r>
              <w:rPr/>
              <w:t> </w:t>
            </w:r>
          </w:p>
        </w:tc>
        <w:tc>
          <w:tcPr>
            <w:tcW w:w="376" w:type="dxa"/>
            <w:tcBorders/>
            <w:shd w:fill="auto" w:val="clear"/>
            <w:vAlign w:val="center"/>
          </w:tcPr>
          <w:p>
            <w:pPr>
              <w:pStyle w:val="TableContents"/>
              <w:spacing w:lineRule="auto" w:line="252" w:before="0" w:after="0"/>
              <w:ind w:left="0" w:right="0" w:hanging="0"/>
              <w:jc w:val="right"/>
              <w:rPr/>
            </w:pPr>
            <w:r>
              <w:rPr/>
              <w:t>—</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204" w:type="dxa"/>
            <w:tcBorders/>
            <w:shd w:fill="auto" w:val="clear"/>
            <w:vAlign w:val="center"/>
          </w:tcPr>
          <w:p>
            <w:pPr>
              <w:pStyle w:val="TableContents"/>
              <w:spacing w:lineRule="auto" w:line="252" w:before="0" w:after="0"/>
              <w:ind w:left="0" w:right="0" w:hanging="0"/>
              <w:jc w:val="left"/>
              <w:rPr/>
            </w:pPr>
            <w:r>
              <w:rPr/>
              <w:t> </w:t>
            </w:r>
          </w:p>
        </w:tc>
        <w:tc>
          <w:tcPr>
            <w:tcW w:w="592" w:type="dxa"/>
            <w:tcBorders/>
            <w:shd w:fill="auto" w:val="clear"/>
            <w:vAlign w:val="center"/>
          </w:tcPr>
          <w:p>
            <w:pPr>
              <w:pStyle w:val="TableContents"/>
              <w:spacing w:lineRule="auto" w:line="252" w:before="0" w:after="0"/>
              <w:ind w:left="0" w:right="0" w:hanging="0"/>
              <w:jc w:val="right"/>
              <w:rPr/>
            </w:pPr>
            <w:r>
              <w:rPr/>
              <w:t>—</w:t>
            </w:r>
          </w:p>
        </w:tc>
        <w:tc>
          <w:tcPr>
            <w:tcW w:w="151" w:type="dxa"/>
            <w:tcBorders/>
            <w:shd w:fill="auto" w:val="cle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204" w:type="dxa"/>
            <w:tcBorders/>
            <w:shd w:fill="auto" w:val="clear"/>
            <w:vAlign w:val="center"/>
          </w:tcPr>
          <w:p>
            <w:pPr>
              <w:pStyle w:val="TableContents"/>
              <w:spacing w:lineRule="auto" w:line="252" w:before="0" w:after="0"/>
              <w:ind w:left="0" w:right="0" w:hanging="0"/>
              <w:jc w:val="left"/>
              <w:rPr/>
            </w:pPr>
            <w:r>
              <w:rPr/>
              <w:t> </w:t>
            </w:r>
          </w:p>
        </w:tc>
        <w:tc>
          <w:tcPr>
            <w:tcW w:w="592" w:type="dxa"/>
            <w:tcBorders/>
            <w:shd w:fill="auto" w:val="clear"/>
            <w:vAlign w:val="center"/>
          </w:tcPr>
          <w:p>
            <w:pPr>
              <w:pStyle w:val="TableContents"/>
              <w:spacing w:lineRule="auto" w:line="252" w:before="0" w:after="0"/>
              <w:ind w:left="0" w:right="0" w:hanging="0"/>
              <w:jc w:val="right"/>
              <w:rPr/>
            </w:pPr>
            <w:r>
              <w:rPr/>
              <w:t>—</w:t>
            </w:r>
          </w:p>
        </w:tc>
        <w:tc>
          <w:tcPr>
            <w:tcW w:w="196" w:type="dxa"/>
            <w:tcBorders/>
            <w:shd w:fill="auto" w:val="clear"/>
            <w:vAlign w:val="center"/>
          </w:tcPr>
          <w:p>
            <w:pPr>
              <w:pStyle w:val="TableContents"/>
              <w:spacing w:lineRule="auto" w:line="252" w:before="0" w:after="0"/>
              <w:ind w:left="0" w:right="0" w:hanging="0"/>
              <w:jc w:val="left"/>
              <w:rPr/>
            </w:pPr>
            <w:r>
              <w:rPr/>
              <w:t> </w:t>
            </w:r>
          </w:p>
        </w:tc>
      </w:tr>
      <w:tr>
        <w:trPr/>
        <w:tc>
          <w:tcPr>
            <w:tcW w:w="1186" w:type="dxa"/>
            <w:tcBorders/>
            <w:shd w:fill="auto" w:val="clear"/>
            <w:vAlign w:val="center"/>
          </w:tcPr>
          <w:p>
            <w:pPr>
              <w:pStyle w:val="TableContents"/>
              <w:spacing w:lineRule="auto" w:line="252" w:before="0" w:after="0"/>
              <w:ind w:left="0" w:right="0" w:hanging="0"/>
              <w:jc w:val="left"/>
              <w:rPr>
                <w:rFonts w:ascii="Times New Roman" w:hAnsi="Times New Roman"/>
                <w:b w:val="false"/>
                <w:sz w:val="12"/>
              </w:rPr>
            </w:pPr>
            <w:r>
              <w:rPr>
                <w:rFonts w:ascii="Times New Roman" w:hAnsi="Times New Roman"/>
                <w:b w:val="false"/>
                <w:sz w:val="12"/>
              </w:rPr>
              <w:t>Net loss attributable to redeemable</w:t>
              <w:br/>
              <w:t>   noncontrolling interest</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646" w:type="dxa"/>
            <w:tcBorders/>
            <w:shd w:fill="auto" w:val="clear"/>
            <w:vAlign w:val="center"/>
          </w:tcPr>
          <w:p>
            <w:pPr>
              <w:pStyle w:val="TableContents"/>
              <w:spacing w:lineRule="auto" w:line="252" w:before="0" w:after="0"/>
              <w:ind w:left="0" w:right="0" w:hanging="0"/>
              <w:jc w:val="right"/>
              <w:rPr/>
            </w:pPr>
            <w:r>
              <w:rPr/>
              <w:t>—</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66" w:type="dxa"/>
            <w:tcBorders/>
            <w:shd w:fill="auto" w:val="clear"/>
            <w:vAlign w:val="center"/>
          </w:tcPr>
          <w:p>
            <w:pPr>
              <w:pStyle w:val="TableContents"/>
              <w:spacing w:lineRule="auto" w:line="252" w:before="0" w:after="0"/>
              <w:ind w:left="0" w:right="0" w:hanging="0"/>
              <w:jc w:val="left"/>
              <w:rPr/>
            </w:pPr>
            <w:r>
              <w:rPr/>
              <w:t> </w:t>
            </w:r>
          </w:p>
        </w:tc>
        <w:tc>
          <w:tcPr>
            <w:tcW w:w="496" w:type="dxa"/>
            <w:tcBorders/>
            <w:shd w:fill="auto" w:val="clear"/>
            <w:vAlign w:val="center"/>
          </w:tcPr>
          <w:p>
            <w:pPr>
              <w:pStyle w:val="TableContents"/>
              <w:spacing w:lineRule="auto" w:line="252" w:before="0" w:after="0"/>
              <w:ind w:left="0" w:right="0" w:hanging="0"/>
              <w:jc w:val="right"/>
              <w:rPr/>
            </w:pPr>
            <w:r>
              <w:rPr/>
              <w:t>—</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266" w:type="dxa"/>
            <w:tcBorders/>
            <w:shd w:fill="auto" w:val="clear"/>
            <w:vAlign w:val="center"/>
          </w:tcPr>
          <w:p>
            <w:pPr>
              <w:pStyle w:val="TableContents"/>
              <w:spacing w:lineRule="auto" w:line="252" w:before="0" w:after="0"/>
              <w:ind w:left="0" w:right="0" w:hanging="0"/>
              <w:jc w:val="left"/>
              <w:rPr/>
            </w:pPr>
            <w:r>
              <w:rPr/>
              <w:t> </w:t>
            </w:r>
          </w:p>
        </w:tc>
        <w:tc>
          <w:tcPr>
            <w:tcW w:w="605" w:type="dxa"/>
            <w:tcBorders/>
            <w:shd w:fill="auto" w:val="clear"/>
            <w:vAlign w:val="center"/>
          </w:tcPr>
          <w:p>
            <w:pPr>
              <w:pStyle w:val="TableContents"/>
              <w:spacing w:lineRule="auto" w:line="252" w:before="0" w:after="0"/>
              <w:ind w:left="0" w:right="0" w:hanging="0"/>
              <w:jc w:val="right"/>
              <w:rPr>
                <w:rFonts w:ascii="Times New Roman" w:hAnsi="Times New Roman"/>
                <w:b w:val="false"/>
                <w:sz w:val="12"/>
              </w:rPr>
            </w:pPr>
            <w:r>
              <w:rPr>
                <w:rFonts w:ascii="Times New Roman" w:hAnsi="Times New Roman"/>
                <w:b w:val="false"/>
                <w:sz w:val="12"/>
              </w:rPr>
              <w:t>(919</w:t>
            </w:r>
          </w:p>
        </w:tc>
        <w:tc>
          <w:tcPr>
            <w:tcW w:w="151" w:type="dxa"/>
            <w:tcBorders/>
            <w:shd w:fill="auto" w:val="clear"/>
            <w:vAlign w:val="center"/>
          </w:tcPr>
          <w:p>
            <w:pPr>
              <w:pStyle w:val="TableContents"/>
              <w:spacing w:lineRule="auto" w:line="252" w:before="0" w:after="0"/>
              <w:ind w:left="0" w:right="0" w:hanging="0"/>
              <w:jc w:val="left"/>
              <w:rPr>
                <w:rFonts w:ascii="Times New Roman" w:hAnsi="Times New Roman"/>
                <w:b w:val="false"/>
                <w:sz w:val="12"/>
              </w:rPr>
            </w:pPr>
            <w:r>
              <w:rPr>
                <w:rFonts w:ascii="Times New Roman" w:hAnsi="Times New Roman"/>
                <w:b w:val="false"/>
                <w:sz w:val="12"/>
              </w:rPr>
              <w:t>)</w:t>
            </w:r>
          </w:p>
        </w:tc>
        <w:tc>
          <w:tcPr>
            <w:tcW w:w="146" w:type="dxa"/>
            <w:tcBorders>
              <w:right w:val="single" w:sz="4" w:space="0" w:color="000000"/>
            </w:tcBorders>
            <w:shd w:fill="auto" w:val="clear"/>
            <w:tcMar>
              <w:top w:w="0" w:type="dxa"/>
              <w:left w:w="0" w:type="dxa"/>
              <w:bottom w:w="0" w:type="dxa"/>
            </w:tcM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586" w:type="dxa"/>
            <w:tcBorders/>
            <w:shd w:fill="auto" w:val="clear"/>
            <w:vAlign w:val="center"/>
          </w:tcPr>
          <w:p>
            <w:pPr>
              <w:pStyle w:val="TableContents"/>
              <w:spacing w:lineRule="auto" w:line="252" w:before="0" w:after="0"/>
              <w:ind w:left="0" w:right="0" w:hanging="0"/>
              <w:jc w:val="right"/>
              <w:rPr/>
            </w:pPr>
            <w:r>
              <w:rPr/>
              <w:t>—</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66" w:type="dxa"/>
            <w:tcBorders/>
            <w:shd w:fill="auto" w:val="clear"/>
            <w:vAlign w:val="center"/>
          </w:tcPr>
          <w:p>
            <w:pPr>
              <w:pStyle w:val="TableContents"/>
              <w:spacing w:lineRule="auto" w:line="252" w:before="0" w:after="0"/>
              <w:ind w:left="0" w:right="0" w:hanging="0"/>
              <w:jc w:val="left"/>
              <w:rPr/>
            </w:pPr>
            <w:r>
              <w:rPr/>
              <w:t> </w:t>
            </w:r>
          </w:p>
        </w:tc>
        <w:tc>
          <w:tcPr>
            <w:tcW w:w="376" w:type="dxa"/>
            <w:tcBorders/>
            <w:shd w:fill="auto" w:val="clear"/>
            <w:vAlign w:val="center"/>
          </w:tcPr>
          <w:p>
            <w:pPr>
              <w:pStyle w:val="TableContents"/>
              <w:spacing w:lineRule="auto" w:line="252" w:before="0" w:after="0"/>
              <w:ind w:left="0" w:right="0" w:hanging="0"/>
              <w:jc w:val="right"/>
              <w:rPr/>
            </w:pPr>
            <w:r>
              <w:rPr/>
              <w:t>—</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586" w:type="dxa"/>
            <w:tcBorders/>
            <w:shd w:fill="auto" w:val="clear"/>
            <w:vAlign w:val="center"/>
          </w:tcPr>
          <w:p>
            <w:pPr>
              <w:pStyle w:val="TableContents"/>
              <w:spacing w:lineRule="auto" w:line="252" w:before="0" w:after="0"/>
              <w:ind w:left="0" w:right="0" w:hanging="0"/>
              <w:jc w:val="right"/>
              <w:rPr/>
            </w:pPr>
            <w:r>
              <w:rPr/>
              <w:t>—</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66" w:type="dxa"/>
            <w:tcBorders/>
            <w:shd w:fill="auto" w:val="clear"/>
            <w:vAlign w:val="center"/>
          </w:tcPr>
          <w:p>
            <w:pPr>
              <w:pStyle w:val="TableContents"/>
              <w:spacing w:lineRule="auto" w:line="252" w:before="0" w:after="0"/>
              <w:ind w:left="0" w:right="0" w:hanging="0"/>
              <w:jc w:val="left"/>
              <w:rPr/>
            </w:pPr>
            <w:r>
              <w:rPr/>
              <w:t> </w:t>
            </w:r>
          </w:p>
        </w:tc>
        <w:tc>
          <w:tcPr>
            <w:tcW w:w="376" w:type="dxa"/>
            <w:tcBorders/>
            <w:shd w:fill="auto" w:val="clear"/>
            <w:vAlign w:val="center"/>
          </w:tcPr>
          <w:p>
            <w:pPr>
              <w:pStyle w:val="TableContents"/>
              <w:spacing w:lineRule="auto" w:line="252" w:before="0" w:after="0"/>
              <w:ind w:left="0" w:right="0" w:hanging="0"/>
              <w:jc w:val="right"/>
              <w:rPr/>
            </w:pPr>
            <w:r>
              <w:rPr/>
              <w:t>—</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204" w:type="dxa"/>
            <w:tcBorders/>
            <w:shd w:fill="auto" w:val="clear"/>
            <w:vAlign w:val="center"/>
          </w:tcPr>
          <w:p>
            <w:pPr>
              <w:pStyle w:val="TableContents"/>
              <w:spacing w:lineRule="auto" w:line="252" w:before="0" w:after="0"/>
              <w:ind w:left="0" w:right="0" w:hanging="0"/>
              <w:jc w:val="left"/>
              <w:rPr/>
            </w:pPr>
            <w:r>
              <w:rPr/>
              <w:t> </w:t>
            </w:r>
          </w:p>
        </w:tc>
        <w:tc>
          <w:tcPr>
            <w:tcW w:w="592" w:type="dxa"/>
            <w:tcBorders/>
            <w:shd w:fill="auto" w:val="clear"/>
            <w:vAlign w:val="center"/>
          </w:tcPr>
          <w:p>
            <w:pPr>
              <w:pStyle w:val="TableContents"/>
              <w:spacing w:lineRule="auto" w:line="252" w:before="0" w:after="0"/>
              <w:ind w:left="0" w:right="0" w:hanging="0"/>
              <w:jc w:val="right"/>
              <w:rPr/>
            </w:pPr>
            <w:r>
              <w:rPr/>
              <w:t>—</w:t>
            </w:r>
          </w:p>
        </w:tc>
        <w:tc>
          <w:tcPr>
            <w:tcW w:w="151" w:type="dxa"/>
            <w:tcBorders/>
            <w:shd w:fill="auto" w:val="cle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204" w:type="dxa"/>
            <w:tcBorders/>
            <w:shd w:fill="auto" w:val="clear"/>
            <w:vAlign w:val="center"/>
          </w:tcPr>
          <w:p>
            <w:pPr>
              <w:pStyle w:val="TableContents"/>
              <w:spacing w:lineRule="auto" w:line="252" w:before="0" w:after="0"/>
              <w:ind w:left="0" w:right="0" w:hanging="0"/>
              <w:jc w:val="left"/>
              <w:rPr/>
            </w:pPr>
            <w:r>
              <w:rPr/>
              <w:t> </w:t>
            </w:r>
          </w:p>
        </w:tc>
        <w:tc>
          <w:tcPr>
            <w:tcW w:w="592" w:type="dxa"/>
            <w:tcBorders/>
            <w:shd w:fill="auto" w:val="clear"/>
            <w:vAlign w:val="center"/>
          </w:tcPr>
          <w:p>
            <w:pPr>
              <w:pStyle w:val="TableContents"/>
              <w:spacing w:lineRule="auto" w:line="252" w:before="0" w:after="0"/>
              <w:ind w:left="0" w:right="0" w:hanging="0"/>
              <w:jc w:val="right"/>
              <w:rPr/>
            </w:pPr>
            <w:r>
              <w:rPr/>
              <w:t>—</w:t>
            </w:r>
          </w:p>
        </w:tc>
        <w:tc>
          <w:tcPr>
            <w:tcW w:w="196" w:type="dxa"/>
            <w:tcBorders/>
            <w:shd w:fill="auto" w:val="clear"/>
            <w:vAlign w:val="center"/>
          </w:tcPr>
          <w:p>
            <w:pPr>
              <w:pStyle w:val="TableContents"/>
              <w:spacing w:lineRule="auto" w:line="252" w:before="0" w:after="0"/>
              <w:ind w:left="0" w:right="0" w:hanging="0"/>
              <w:jc w:val="left"/>
              <w:rPr/>
            </w:pPr>
            <w:r>
              <w:rPr/>
              <w:t> </w:t>
            </w:r>
          </w:p>
        </w:tc>
      </w:tr>
      <w:tr>
        <w:trPr/>
        <w:tc>
          <w:tcPr>
            <w:tcW w:w="1186" w:type="dxa"/>
            <w:tcBorders/>
            <w:shd w:fill="auto" w:val="clear"/>
            <w:vAlign w:val="center"/>
          </w:tcPr>
          <w:p>
            <w:pPr>
              <w:pStyle w:val="TableContents"/>
              <w:spacing w:lineRule="auto" w:line="252" w:before="0" w:after="0"/>
              <w:ind w:left="0" w:right="0" w:hanging="0"/>
              <w:jc w:val="left"/>
              <w:rPr>
                <w:rFonts w:ascii="Times New Roman" w:hAnsi="Times New Roman"/>
                <w:b w:val="false"/>
                <w:sz w:val="12"/>
              </w:rPr>
            </w:pPr>
            <w:r>
              <w:rPr>
                <w:rFonts w:ascii="Times New Roman" w:hAnsi="Times New Roman"/>
                <w:b w:val="false"/>
                <w:sz w:val="12"/>
              </w:rPr>
              <w:t>Net loss attributable to Day One</w:t>
              <w:br/>
              <w:t>   Biopharmaceuticals Holding</w:t>
              <w:br/>
              <w:t>   Company, LLC members</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46"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c>
          <w:tcPr>
            <w:tcW w:w="646"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right"/>
              <w:rPr/>
            </w:pPr>
            <w:r>
              <w:rPr/>
              <w:t>—</w:t>
            </w:r>
          </w:p>
        </w:tc>
        <w:tc>
          <w:tcPr>
            <w:tcW w:w="146"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66"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c>
          <w:tcPr>
            <w:tcW w:w="496"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right"/>
              <w:rPr/>
            </w:pPr>
            <w:r>
              <w:rPr/>
              <w:t>—</w:t>
            </w:r>
          </w:p>
        </w:tc>
        <w:tc>
          <w:tcPr>
            <w:tcW w:w="146"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266"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c>
          <w:tcPr>
            <w:tcW w:w="605"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right"/>
              <w:rPr/>
            </w:pPr>
            <w:r>
              <w:rPr/>
              <w:t>—</w:t>
            </w:r>
          </w:p>
        </w:tc>
        <w:tc>
          <w:tcPr>
            <w:tcW w:w="151"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c>
          <w:tcPr>
            <w:tcW w:w="146" w:type="dxa"/>
            <w:tcBorders>
              <w:right w:val="single" w:sz="4" w:space="0" w:color="000000"/>
            </w:tcBorders>
            <w:shd w:fill="auto" w:val="clear"/>
            <w:tcMar>
              <w:top w:w="0" w:type="dxa"/>
              <w:left w:w="0" w:type="dxa"/>
              <w:bottom w:w="0" w:type="dxa"/>
            </w:tcM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46"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c>
          <w:tcPr>
            <w:tcW w:w="586"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right"/>
              <w:rPr/>
            </w:pPr>
            <w:r>
              <w:rPr/>
              <w:t>—</w:t>
            </w:r>
          </w:p>
        </w:tc>
        <w:tc>
          <w:tcPr>
            <w:tcW w:w="146"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66"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c>
          <w:tcPr>
            <w:tcW w:w="376"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right"/>
              <w:rPr/>
            </w:pPr>
            <w:r>
              <w:rPr/>
              <w:t>—</w:t>
            </w:r>
          </w:p>
        </w:tc>
        <w:tc>
          <w:tcPr>
            <w:tcW w:w="146"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46"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c>
          <w:tcPr>
            <w:tcW w:w="586"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right"/>
              <w:rPr/>
            </w:pPr>
            <w:r>
              <w:rPr/>
              <w:t>—</w:t>
            </w:r>
          </w:p>
        </w:tc>
        <w:tc>
          <w:tcPr>
            <w:tcW w:w="146"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66"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c>
          <w:tcPr>
            <w:tcW w:w="376"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right"/>
              <w:rPr/>
            </w:pPr>
            <w:r>
              <w:rPr/>
              <w:t>—</w:t>
            </w:r>
          </w:p>
        </w:tc>
        <w:tc>
          <w:tcPr>
            <w:tcW w:w="146"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204"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c>
          <w:tcPr>
            <w:tcW w:w="592"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right"/>
              <w:rPr>
                <w:rFonts w:ascii="Times New Roman" w:hAnsi="Times New Roman"/>
                <w:b w:val="false"/>
                <w:sz w:val="12"/>
              </w:rPr>
            </w:pPr>
            <w:r>
              <w:rPr>
                <w:rFonts w:ascii="Times New Roman" w:hAnsi="Times New Roman"/>
                <w:b w:val="false"/>
                <w:sz w:val="12"/>
              </w:rPr>
              <w:t>(15,182</w:t>
            </w:r>
          </w:p>
        </w:tc>
        <w:tc>
          <w:tcPr>
            <w:tcW w:w="151"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rFonts w:ascii="Times New Roman" w:hAnsi="Times New Roman"/>
                <w:b w:val="false"/>
                <w:sz w:val="12"/>
              </w:rPr>
            </w:pPr>
            <w:r>
              <w:rPr>
                <w:rFonts w:ascii="Times New Roman" w:hAnsi="Times New Roman"/>
                <w:b w:val="false"/>
                <w:sz w:val="12"/>
              </w:rPr>
              <w:t>)</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204"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c>
          <w:tcPr>
            <w:tcW w:w="592"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right"/>
              <w:rPr>
                <w:rFonts w:ascii="Times New Roman" w:hAnsi="Times New Roman"/>
                <w:b w:val="false"/>
                <w:sz w:val="12"/>
              </w:rPr>
            </w:pPr>
            <w:r>
              <w:rPr>
                <w:rFonts w:ascii="Times New Roman" w:hAnsi="Times New Roman"/>
                <w:b w:val="false"/>
                <w:sz w:val="12"/>
              </w:rPr>
              <w:t>(15,182</w:t>
            </w:r>
          </w:p>
        </w:tc>
        <w:tc>
          <w:tcPr>
            <w:tcW w:w="196"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rFonts w:ascii="Times New Roman" w:hAnsi="Times New Roman"/>
                <w:b w:val="false"/>
                <w:sz w:val="12"/>
              </w:rPr>
            </w:pPr>
            <w:r>
              <w:rPr>
                <w:rFonts w:ascii="Times New Roman" w:hAnsi="Times New Roman"/>
                <w:b w:val="false"/>
                <w:sz w:val="12"/>
              </w:rPr>
              <w:t>)</w:t>
            </w:r>
          </w:p>
        </w:tc>
      </w:tr>
      <w:tr>
        <w:trPr/>
        <w:tc>
          <w:tcPr>
            <w:tcW w:w="1186" w:type="dxa"/>
            <w:tcBorders/>
            <w:shd w:fill="auto" w:val="clear"/>
            <w:vAlign w:val="center"/>
          </w:tcPr>
          <w:p>
            <w:pPr>
              <w:pStyle w:val="TableContents"/>
              <w:spacing w:lineRule="auto" w:line="252" w:before="0" w:after="0"/>
              <w:ind w:left="0" w:right="0" w:hanging="0"/>
              <w:jc w:val="left"/>
              <w:rPr>
                <w:rFonts w:ascii="Times New Roman" w:hAnsi="Times New Roman"/>
                <w:b/>
                <w:sz w:val="12"/>
              </w:rPr>
            </w:pPr>
            <w:r>
              <w:rPr>
                <w:rFonts w:ascii="Times New Roman" w:hAnsi="Times New Roman"/>
                <w:b/>
                <w:sz w:val="12"/>
              </w:rPr>
              <w:t>Balance at March 31, 2021</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46" w:type="dxa"/>
            <w:tcBorders>
              <w:bottom w:val="double" w:sz="6"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c>
          <w:tcPr>
            <w:tcW w:w="646" w:type="dxa"/>
            <w:tcBorders>
              <w:bottom w:val="double" w:sz="6" w:space="0" w:color="000000"/>
            </w:tcBorders>
            <w:shd w:fill="auto" w:val="clear"/>
            <w:tcMar>
              <w:top w:w="0" w:type="dxa"/>
              <w:left w:w="0" w:type="dxa"/>
              <w:right w:w="0" w:type="dxa"/>
            </w:tcMar>
            <w:vAlign w:val="center"/>
          </w:tcPr>
          <w:p>
            <w:pPr>
              <w:pStyle w:val="TableContents"/>
              <w:spacing w:lineRule="auto" w:line="252" w:before="0" w:after="0"/>
              <w:ind w:left="0" w:right="0" w:hanging="0"/>
              <w:jc w:val="right"/>
              <w:rPr>
                <w:rFonts w:ascii="Times New Roman" w:hAnsi="Times New Roman"/>
                <w:b w:val="false"/>
                <w:sz w:val="12"/>
              </w:rPr>
            </w:pPr>
            <w:r>
              <w:rPr>
                <w:rFonts w:ascii="Times New Roman" w:hAnsi="Times New Roman"/>
                <w:b w:val="false"/>
                <w:sz w:val="12"/>
              </w:rPr>
              <w:t>32,489,398</w:t>
            </w:r>
          </w:p>
        </w:tc>
        <w:tc>
          <w:tcPr>
            <w:tcW w:w="146" w:type="dxa"/>
            <w:tcBorders>
              <w:bottom w:val="double" w:sz="6"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66" w:type="dxa"/>
            <w:tcBorders>
              <w:bottom w:val="double" w:sz="6"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rFonts w:ascii="Times New Roman" w:hAnsi="Times New Roman"/>
                <w:b w:val="false"/>
                <w:sz w:val="12"/>
              </w:rPr>
            </w:pPr>
            <w:r>
              <w:rPr>
                <w:rFonts w:ascii="Times New Roman" w:hAnsi="Times New Roman"/>
                <w:b w:val="false"/>
                <w:sz w:val="12"/>
              </w:rPr>
              <w:t>$</w:t>
            </w:r>
          </w:p>
        </w:tc>
        <w:tc>
          <w:tcPr>
            <w:tcW w:w="496" w:type="dxa"/>
            <w:tcBorders>
              <w:bottom w:val="double" w:sz="6" w:space="0" w:color="000000"/>
            </w:tcBorders>
            <w:shd w:fill="auto" w:val="clear"/>
            <w:tcMar>
              <w:top w:w="0" w:type="dxa"/>
              <w:left w:w="0" w:type="dxa"/>
              <w:right w:w="0" w:type="dxa"/>
            </w:tcMar>
            <w:vAlign w:val="center"/>
          </w:tcPr>
          <w:p>
            <w:pPr>
              <w:pStyle w:val="TableContents"/>
              <w:spacing w:lineRule="auto" w:line="252" w:before="0" w:after="0"/>
              <w:ind w:left="0" w:right="0" w:hanging="0"/>
              <w:jc w:val="right"/>
              <w:rPr>
                <w:rFonts w:ascii="Times New Roman" w:hAnsi="Times New Roman"/>
                <w:b w:val="false"/>
                <w:sz w:val="12"/>
              </w:rPr>
            </w:pPr>
            <w:r>
              <w:rPr>
                <w:rFonts w:ascii="Times New Roman" w:hAnsi="Times New Roman"/>
                <w:b w:val="false"/>
                <w:sz w:val="12"/>
              </w:rPr>
              <w:t>221,721</w:t>
            </w:r>
          </w:p>
        </w:tc>
        <w:tc>
          <w:tcPr>
            <w:tcW w:w="146" w:type="dxa"/>
            <w:tcBorders>
              <w:bottom w:val="double" w:sz="6"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266" w:type="dxa"/>
            <w:tcBorders>
              <w:bottom w:val="double" w:sz="6"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rFonts w:ascii="Times New Roman" w:hAnsi="Times New Roman"/>
                <w:b w:val="false"/>
                <w:sz w:val="12"/>
              </w:rPr>
            </w:pPr>
            <w:r>
              <w:rPr>
                <w:rFonts w:ascii="Times New Roman" w:hAnsi="Times New Roman"/>
                <w:b w:val="false"/>
                <w:sz w:val="12"/>
              </w:rPr>
              <w:t>$</w:t>
            </w:r>
          </w:p>
        </w:tc>
        <w:tc>
          <w:tcPr>
            <w:tcW w:w="605" w:type="dxa"/>
            <w:tcBorders>
              <w:bottom w:val="double" w:sz="6" w:space="0" w:color="000000"/>
            </w:tcBorders>
            <w:shd w:fill="auto" w:val="clear"/>
            <w:tcMar>
              <w:top w:w="0" w:type="dxa"/>
              <w:left w:w="0" w:type="dxa"/>
              <w:right w:w="0" w:type="dxa"/>
            </w:tcMar>
            <w:vAlign w:val="center"/>
          </w:tcPr>
          <w:p>
            <w:pPr>
              <w:pStyle w:val="TableContents"/>
              <w:spacing w:lineRule="auto" w:line="252" w:before="0" w:after="0"/>
              <w:ind w:left="0" w:right="0" w:hanging="0"/>
              <w:jc w:val="right"/>
              <w:rPr>
                <w:rFonts w:ascii="Times New Roman" w:hAnsi="Times New Roman"/>
                <w:b w:val="false"/>
                <w:sz w:val="12"/>
              </w:rPr>
            </w:pPr>
            <w:r>
              <w:rPr>
                <w:rFonts w:ascii="Times New Roman" w:hAnsi="Times New Roman"/>
                <w:b w:val="false"/>
                <w:sz w:val="12"/>
              </w:rPr>
              <w:t>4,783</w:t>
            </w:r>
          </w:p>
        </w:tc>
        <w:tc>
          <w:tcPr>
            <w:tcW w:w="151" w:type="dxa"/>
            <w:tcBorders>
              <w:bottom w:val="double" w:sz="6"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c>
          <w:tcPr>
            <w:tcW w:w="146" w:type="dxa"/>
            <w:tcBorders>
              <w:right w:val="single" w:sz="4" w:space="0" w:color="000000"/>
            </w:tcBorders>
            <w:shd w:fill="auto" w:val="clear"/>
            <w:tcMar>
              <w:top w:w="0" w:type="dxa"/>
              <w:left w:w="0" w:type="dxa"/>
              <w:bottom w:w="0" w:type="dxa"/>
            </w:tcM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46" w:type="dxa"/>
            <w:tcBorders>
              <w:bottom w:val="double" w:sz="6"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c>
          <w:tcPr>
            <w:tcW w:w="586" w:type="dxa"/>
            <w:tcBorders>
              <w:bottom w:val="double" w:sz="6" w:space="0" w:color="000000"/>
            </w:tcBorders>
            <w:shd w:fill="auto" w:val="clear"/>
            <w:tcMar>
              <w:top w:w="0" w:type="dxa"/>
              <w:left w:w="0" w:type="dxa"/>
              <w:right w:w="0" w:type="dxa"/>
            </w:tcMar>
            <w:vAlign w:val="center"/>
          </w:tcPr>
          <w:p>
            <w:pPr>
              <w:pStyle w:val="TableContents"/>
              <w:spacing w:lineRule="auto" w:line="252" w:before="0" w:after="0"/>
              <w:ind w:left="0" w:right="0" w:hanging="0"/>
              <w:jc w:val="right"/>
              <w:rPr>
                <w:rFonts w:ascii="Times New Roman" w:hAnsi="Times New Roman"/>
                <w:b w:val="false"/>
                <w:sz w:val="12"/>
              </w:rPr>
            </w:pPr>
            <w:r>
              <w:rPr>
                <w:rFonts w:ascii="Times New Roman" w:hAnsi="Times New Roman"/>
                <w:b w:val="false"/>
                <w:sz w:val="12"/>
              </w:rPr>
              <w:t>6,035,869</w:t>
            </w:r>
          </w:p>
        </w:tc>
        <w:tc>
          <w:tcPr>
            <w:tcW w:w="146" w:type="dxa"/>
            <w:tcBorders>
              <w:bottom w:val="double" w:sz="6"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66" w:type="dxa"/>
            <w:tcBorders>
              <w:bottom w:val="double" w:sz="6"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rFonts w:ascii="Times New Roman" w:hAnsi="Times New Roman"/>
                <w:b w:val="false"/>
                <w:sz w:val="12"/>
              </w:rPr>
            </w:pPr>
            <w:r>
              <w:rPr>
                <w:rFonts w:ascii="Times New Roman" w:hAnsi="Times New Roman"/>
                <w:b w:val="false"/>
                <w:sz w:val="12"/>
              </w:rPr>
              <w:t>$</w:t>
            </w:r>
          </w:p>
        </w:tc>
        <w:tc>
          <w:tcPr>
            <w:tcW w:w="376" w:type="dxa"/>
            <w:tcBorders>
              <w:bottom w:val="double" w:sz="6" w:space="0" w:color="000000"/>
            </w:tcBorders>
            <w:shd w:fill="auto" w:val="clear"/>
            <w:tcMar>
              <w:top w:w="0" w:type="dxa"/>
              <w:left w:w="0" w:type="dxa"/>
              <w:right w:w="0" w:type="dxa"/>
            </w:tcMar>
            <w:vAlign w:val="center"/>
          </w:tcPr>
          <w:p>
            <w:pPr>
              <w:pStyle w:val="TableContents"/>
              <w:spacing w:lineRule="auto" w:line="252" w:before="0" w:after="0"/>
              <w:ind w:left="0" w:right="0" w:hanging="0"/>
              <w:jc w:val="right"/>
              <w:rPr>
                <w:rFonts w:ascii="Times New Roman" w:hAnsi="Times New Roman"/>
                <w:b w:val="false"/>
                <w:sz w:val="12"/>
              </w:rPr>
            </w:pPr>
            <w:r>
              <w:rPr>
                <w:rFonts w:ascii="Times New Roman" w:hAnsi="Times New Roman"/>
                <w:b w:val="false"/>
                <w:sz w:val="12"/>
              </w:rPr>
              <w:t>2,000</w:t>
            </w:r>
          </w:p>
        </w:tc>
        <w:tc>
          <w:tcPr>
            <w:tcW w:w="146" w:type="dxa"/>
            <w:tcBorders>
              <w:bottom w:val="double" w:sz="6"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46" w:type="dxa"/>
            <w:tcBorders>
              <w:bottom w:val="double" w:sz="6"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c>
          <w:tcPr>
            <w:tcW w:w="586" w:type="dxa"/>
            <w:tcBorders>
              <w:bottom w:val="double" w:sz="6" w:space="0" w:color="000000"/>
            </w:tcBorders>
            <w:shd w:fill="auto" w:val="clear"/>
            <w:tcMar>
              <w:top w:w="0" w:type="dxa"/>
              <w:left w:w="0" w:type="dxa"/>
              <w:right w:w="0" w:type="dxa"/>
            </w:tcMar>
            <w:vAlign w:val="center"/>
          </w:tcPr>
          <w:p>
            <w:pPr>
              <w:pStyle w:val="TableContents"/>
              <w:spacing w:lineRule="auto" w:line="252" w:before="0" w:after="0"/>
              <w:ind w:left="0" w:right="0" w:hanging="0"/>
              <w:jc w:val="right"/>
              <w:rPr>
                <w:rFonts w:ascii="Times New Roman" w:hAnsi="Times New Roman"/>
                <w:b w:val="false"/>
                <w:sz w:val="12"/>
              </w:rPr>
            </w:pPr>
            <w:r>
              <w:rPr>
                <w:rFonts w:ascii="Times New Roman" w:hAnsi="Times New Roman"/>
                <w:b w:val="false"/>
                <w:sz w:val="12"/>
              </w:rPr>
              <w:t>4,986,352</w:t>
            </w:r>
          </w:p>
        </w:tc>
        <w:tc>
          <w:tcPr>
            <w:tcW w:w="146" w:type="dxa"/>
            <w:tcBorders>
              <w:bottom w:val="double" w:sz="6"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66" w:type="dxa"/>
            <w:tcBorders>
              <w:bottom w:val="double" w:sz="6"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rFonts w:ascii="Times New Roman" w:hAnsi="Times New Roman"/>
                <w:b w:val="false"/>
                <w:sz w:val="12"/>
              </w:rPr>
            </w:pPr>
            <w:r>
              <w:rPr>
                <w:rFonts w:ascii="Times New Roman" w:hAnsi="Times New Roman"/>
                <w:b w:val="false"/>
                <w:sz w:val="12"/>
              </w:rPr>
              <w:t>$</w:t>
            </w:r>
          </w:p>
        </w:tc>
        <w:tc>
          <w:tcPr>
            <w:tcW w:w="376" w:type="dxa"/>
            <w:tcBorders>
              <w:bottom w:val="double" w:sz="6" w:space="0" w:color="000000"/>
            </w:tcBorders>
            <w:shd w:fill="auto" w:val="clear"/>
            <w:tcMar>
              <w:top w:w="0" w:type="dxa"/>
              <w:left w:w="0" w:type="dxa"/>
              <w:right w:w="0" w:type="dxa"/>
            </w:tcMar>
            <w:vAlign w:val="center"/>
          </w:tcPr>
          <w:p>
            <w:pPr>
              <w:pStyle w:val="TableContents"/>
              <w:spacing w:lineRule="auto" w:line="252" w:before="0" w:after="0"/>
              <w:ind w:left="0" w:right="0" w:hanging="0"/>
              <w:jc w:val="right"/>
              <w:rPr>
                <w:rFonts w:ascii="Times New Roman" w:hAnsi="Times New Roman"/>
                <w:b w:val="false"/>
                <w:sz w:val="12"/>
              </w:rPr>
            </w:pPr>
            <w:r>
              <w:rPr>
                <w:rFonts w:ascii="Times New Roman" w:hAnsi="Times New Roman"/>
                <w:b w:val="false"/>
                <w:sz w:val="12"/>
              </w:rPr>
              <w:t>1,175</w:t>
            </w:r>
          </w:p>
        </w:tc>
        <w:tc>
          <w:tcPr>
            <w:tcW w:w="146" w:type="dxa"/>
            <w:tcBorders>
              <w:bottom w:val="double" w:sz="6"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204" w:type="dxa"/>
            <w:tcBorders>
              <w:bottom w:val="double" w:sz="6"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rFonts w:ascii="Times New Roman" w:hAnsi="Times New Roman"/>
                <w:b w:val="false"/>
                <w:sz w:val="12"/>
              </w:rPr>
            </w:pPr>
            <w:r>
              <w:rPr>
                <w:rFonts w:ascii="Times New Roman" w:hAnsi="Times New Roman"/>
                <w:b w:val="false"/>
                <w:sz w:val="12"/>
              </w:rPr>
              <w:t>$</w:t>
            </w:r>
          </w:p>
        </w:tc>
        <w:tc>
          <w:tcPr>
            <w:tcW w:w="592" w:type="dxa"/>
            <w:tcBorders>
              <w:bottom w:val="double" w:sz="6" w:space="0" w:color="000000"/>
            </w:tcBorders>
            <w:shd w:fill="auto" w:val="clear"/>
            <w:tcMar>
              <w:top w:w="0" w:type="dxa"/>
              <w:left w:w="0" w:type="dxa"/>
              <w:right w:w="0" w:type="dxa"/>
            </w:tcMar>
            <w:vAlign w:val="center"/>
          </w:tcPr>
          <w:p>
            <w:pPr>
              <w:pStyle w:val="TableContents"/>
              <w:spacing w:lineRule="auto" w:line="252" w:before="0" w:after="0"/>
              <w:ind w:left="0" w:right="0" w:hanging="0"/>
              <w:jc w:val="right"/>
              <w:rPr>
                <w:rFonts w:ascii="Times New Roman" w:hAnsi="Times New Roman"/>
                <w:b w:val="false"/>
                <w:sz w:val="12"/>
              </w:rPr>
            </w:pPr>
            <w:r>
              <w:rPr>
                <w:rFonts w:ascii="Times New Roman" w:hAnsi="Times New Roman"/>
                <w:b w:val="false"/>
                <w:sz w:val="12"/>
              </w:rPr>
              <w:t>(72,024</w:t>
            </w:r>
          </w:p>
        </w:tc>
        <w:tc>
          <w:tcPr>
            <w:tcW w:w="151" w:type="dxa"/>
            <w:tcBorders>
              <w:bottom w:val="double" w:sz="6"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rFonts w:ascii="Times New Roman" w:hAnsi="Times New Roman"/>
                <w:b w:val="false"/>
                <w:sz w:val="12"/>
              </w:rPr>
            </w:pPr>
            <w:r>
              <w:rPr>
                <w:rFonts w:ascii="Times New Roman" w:hAnsi="Times New Roman"/>
                <w:b w:val="false"/>
                <w:sz w:val="12"/>
              </w:rPr>
              <w:t>)</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204" w:type="dxa"/>
            <w:tcBorders>
              <w:bottom w:val="double" w:sz="6"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rFonts w:ascii="Times New Roman" w:hAnsi="Times New Roman"/>
                <w:b w:val="false"/>
                <w:sz w:val="12"/>
              </w:rPr>
            </w:pPr>
            <w:r>
              <w:rPr>
                <w:rFonts w:ascii="Times New Roman" w:hAnsi="Times New Roman"/>
                <w:b w:val="false"/>
                <w:sz w:val="12"/>
              </w:rPr>
              <w:t>$</w:t>
            </w:r>
          </w:p>
        </w:tc>
        <w:tc>
          <w:tcPr>
            <w:tcW w:w="592" w:type="dxa"/>
            <w:tcBorders>
              <w:bottom w:val="double" w:sz="6" w:space="0" w:color="000000"/>
            </w:tcBorders>
            <w:shd w:fill="auto" w:val="clear"/>
            <w:tcMar>
              <w:top w:w="0" w:type="dxa"/>
              <w:left w:w="0" w:type="dxa"/>
              <w:right w:w="0" w:type="dxa"/>
            </w:tcMar>
            <w:vAlign w:val="center"/>
          </w:tcPr>
          <w:p>
            <w:pPr>
              <w:pStyle w:val="TableContents"/>
              <w:spacing w:lineRule="auto" w:line="252" w:before="0" w:after="0"/>
              <w:ind w:left="0" w:right="0" w:hanging="0"/>
              <w:jc w:val="right"/>
              <w:rPr>
                <w:rFonts w:ascii="Times New Roman" w:hAnsi="Times New Roman"/>
                <w:b w:val="false"/>
                <w:sz w:val="12"/>
              </w:rPr>
            </w:pPr>
            <w:r>
              <w:rPr>
                <w:rFonts w:ascii="Times New Roman" w:hAnsi="Times New Roman"/>
                <w:b w:val="false"/>
                <w:sz w:val="12"/>
              </w:rPr>
              <w:t>(68,849</w:t>
            </w:r>
          </w:p>
        </w:tc>
        <w:tc>
          <w:tcPr>
            <w:tcW w:w="196" w:type="dxa"/>
            <w:tcBorders>
              <w:bottom w:val="double" w:sz="6"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rFonts w:ascii="Times New Roman" w:hAnsi="Times New Roman"/>
                <w:b w:val="false"/>
                <w:sz w:val="12"/>
              </w:rPr>
            </w:pPr>
            <w:r>
              <w:rPr>
                <w:rFonts w:ascii="Times New Roman" w:hAnsi="Times New Roman"/>
                <w:b w:val="false"/>
                <w:sz w:val="12"/>
              </w:rPr>
              <w:t>)</w:t>
            </w:r>
          </w:p>
        </w:tc>
      </w:tr>
    </w:tbl>
    <w:p>
      <w:pPr>
        <w:pStyle w:val="TextBody"/>
        <w:spacing w:lineRule="auto" w:line="273" w:before="0" w:after="0"/>
        <w:jc w:val="center"/>
        <w:rPr/>
      </w:pPr>
      <w:r>
        <w:rPr/>
        <w:t> </w:t>
      </w:r>
    </w:p>
    <w:p>
      <w:pPr>
        <w:pStyle w:val="TextBody"/>
        <w:spacing w:lineRule="auto" w:line="273" w:before="0" w:after="0"/>
        <w:jc w:val="center"/>
        <w:rPr>
          <w:rFonts w:ascii="Times New Roman" w:hAnsi="Times New Roman"/>
          <w:b w:val="false"/>
          <w:i/>
          <w:sz w:val="20"/>
        </w:rPr>
      </w:pPr>
      <w:r>
        <w:rPr>
          <w:rFonts w:ascii="Times New Roman" w:hAnsi="Times New Roman"/>
          <w:b w:val="false"/>
          <w:i/>
          <w:sz w:val="20"/>
        </w:rPr>
        <w:t>See accompanying notes to the condensed consolidated financial statements.</w:t>
      </w:r>
    </w:p>
    <w:p>
      <w:pPr>
        <w:pStyle w:val="TextBody"/>
        <w:spacing w:lineRule="auto" w:line="273" w:before="360" w:after="0"/>
        <w:jc w:val="center"/>
        <w:rPr/>
      </w:pPr>
      <w:r>
        <w:rPr/>
        <w:t> </w:t>
      </w:r>
    </w:p>
    <w:p>
      <w:pPr>
        <w:pStyle w:val="TextBody"/>
        <w:spacing w:lineRule="auto" w:line="273" w:before="0" w:after="0"/>
        <w:jc w:val="center"/>
        <w:rPr>
          <w:rFonts w:ascii="Times New Roman" w:hAnsi="Times New Roman"/>
          <w:b w:val="false"/>
          <w:sz w:val="20"/>
        </w:rPr>
      </w:pPr>
      <w:r>
        <w:rPr>
          <w:rFonts w:ascii="Times New Roman" w:hAnsi="Times New Roman"/>
          <w:b w:val="false"/>
          <w:sz w:val="20"/>
        </w:rPr>
        <w:t>6</w:t>
      </w:r>
    </w:p>
    <w:p>
      <w:pPr>
        <w:pStyle w:val="HorizontalLine"/>
        <w:rPr/>
      </w:pPr>
      <w:r>
        <w:rPr/>
      </w:r>
    </w:p>
    <w:p>
      <w:pPr>
        <w:pStyle w:val="TextBody"/>
        <w:spacing w:lineRule="auto" w:line="273" w:before="0" w:after="0"/>
        <w:jc w:val="left"/>
        <w:rPr/>
      </w:pPr>
      <w:r>
        <w:rPr/>
        <w:t> </w:t>
      </w:r>
    </w:p>
    <w:p>
      <w:pPr>
        <w:pStyle w:val="TextBody"/>
        <w:spacing w:lineRule="auto" w:line="273" w:before="0" w:after="0"/>
        <w:jc w:val="center"/>
        <w:rPr>
          <w:rFonts w:ascii="Times New Roman" w:hAnsi="Times New Roman"/>
          <w:b/>
          <w:sz w:val="20"/>
        </w:rPr>
      </w:pPr>
      <w:bookmarkStart w:id="7" w:name="tx180355_7"/>
      <w:bookmarkEnd w:id="7"/>
      <w:r>
        <w:rPr>
          <w:rFonts w:ascii="Times New Roman" w:hAnsi="Times New Roman"/>
          <w:b/>
          <w:sz w:val="20"/>
        </w:rPr>
        <w:t>Day One Biopharmaceuticals, Inc.</w:t>
      </w:r>
    </w:p>
    <w:p>
      <w:pPr>
        <w:pStyle w:val="TextBody"/>
        <w:spacing w:lineRule="auto" w:line="273" w:before="0" w:after="0"/>
        <w:jc w:val="center"/>
        <w:rPr>
          <w:rFonts w:ascii="Times New Roman" w:hAnsi="Times New Roman"/>
          <w:sz w:val="20"/>
        </w:rPr>
      </w:pPr>
      <w:r>
        <w:rPr>
          <w:rFonts w:ascii="Times New Roman" w:hAnsi="Times New Roman"/>
          <w:b/>
          <w:sz w:val="20"/>
        </w:rPr>
        <w:t>Condensed Consolidated Statements of Cash Flows</w:t>
      </w:r>
      <w:r>
        <w:rPr>
          <w:rFonts w:ascii="Times New Roman" w:hAnsi="Times New Roman"/>
          <w:sz w:val="20"/>
        </w:rPr>
        <w:t xml:space="preserve"> </w:t>
      </w:r>
    </w:p>
    <w:p>
      <w:pPr>
        <w:pStyle w:val="TextBody"/>
        <w:spacing w:lineRule="auto" w:line="273" w:before="0" w:after="0"/>
        <w:jc w:val="center"/>
        <w:rPr>
          <w:rFonts w:ascii="Times New Roman" w:hAnsi="Times New Roman"/>
          <w:sz w:val="20"/>
        </w:rPr>
      </w:pPr>
      <w:r>
        <w:rPr>
          <w:rFonts w:ascii="Times New Roman" w:hAnsi="Times New Roman"/>
          <w:b/>
          <w:sz w:val="20"/>
        </w:rPr>
        <w:t>(in thousands)</w:t>
      </w:r>
      <w:r>
        <w:rPr>
          <w:rFonts w:ascii="Times New Roman" w:hAnsi="Times New Roman"/>
          <w:sz w:val="20"/>
        </w:rPr>
        <w:t xml:space="preserve"> </w:t>
      </w:r>
    </w:p>
    <w:p>
      <w:pPr>
        <w:pStyle w:val="TextBody"/>
        <w:spacing w:lineRule="auto" w:line="273" w:before="0" w:after="0"/>
        <w:jc w:val="center"/>
        <w:rPr>
          <w:rFonts w:ascii="Times New Roman" w:hAnsi="Times New Roman"/>
          <w:b/>
          <w:sz w:val="20"/>
        </w:rPr>
      </w:pPr>
      <w:r>
        <w:rPr>
          <w:rFonts w:ascii="Times New Roman" w:hAnsi="Times New Roman"/>
          <w:b/>
          <w:sz w:val="20"/>
        </w:rPr>
        <w:t>(unaudited)</w:t>
      </w:r>
    </w:p>
    <w:p>
      <w:pPr>
        <w:pStyle w:val="TextBody"/>
        <w:spacing w:lineRule="auto" w:line="273" w:before="0" w:after="0"/>
        <w:jc w:val="center"/>
        <w:rPr/>
      </w:pPr>
      <w:r>
        <w:rPr/>
        <w:t> </w:t>
      </w:r>
    </w:p>
    <w:tbl>
      <w:tblPr>
        <w:tblW w:w="9284" w:type="dxa"/>
        <w:jc w:val="left"/>
        <w:tblInd w:w="0" w:type="dxa"/>
        <w:tblCellMar>
          <w:top w:w="28" w:type="dxa"/>
          <w:left w:w="28" w:type="dxa"/>
          <w:bottom w:w="28" w:type="dxa"/>
          <w:right w:w="28" w:type="dxa"/>
        </w:tblCellMar>
      </w:tblPr>
      <w:tblGrid>
        <w:gridCol w:w="6031"/>
        <w:gridCol w:w="146"/>
        <w:gridCol w:w="211"/>
        <w:gridCol w:w="781"/>
        <w:gridCol w:w="166"/>
        <w:gridCol w:w="146"/>
        <w:gridCol w:w="211"/>
        <w:gridCol w:w="781"/>
        <w:gridCol w:w="811"/>
      </w:tblGrid>
      <w:tr>
        <w:trPr/>
        <w:tc>
          <w:tcPr>
            <w:tcW w:w="6031"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781" w:type="dxa"/>
            <w:tcBorders/>
            <w:shd w:fill="auto" w:val="clear"/>
            <w:vAlign w:val="center"/>
          </w:tcPr>
          <w:p>
            <w:pPr>
              <w:pStyle w:val="TableContents"/>
              <w:spacing w:before="0" w:after="283"/>
              <w:rPr>
                <w:sz w:val="4"/>
                <w:szCs w:val="4"/>
              </w:rPr>
            </w:pPr>
            <w:r>
              <w:rPr>
                <w:sz w:val="4"/>
                <w:szCs w:val="4"/>
              </w:rPr>
            </w:r>
          </w:p>
        </w:tc>
        <w:tc>
          <w:tcPr>
            <w:tcW w:w="16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781" w:type="dxa"/>
            <w:tcBorders/>
            <w:shd w:fill="auto" w:val="clear"/>
            <w:vAlign w:val="center"/>
          </w:tcPr>
          <w:p>
            <w:pPr>
              <w:pStyle w:val="TableContents"/>
              <w:spacing w:before="0" w:after="283"/>
              <w:rPr>
                <w:sz w:val="4"/>
                <w:szCs w:val="4"/>
              </w:rPr>
            </w:pPr>
            <w:r>
              <w:rPr>
                <w:sz w:val="4"/>
                <w:szCs w:val="4"/>
              </w:rPr>
            </w:r>
          </w:p>
        </w:tc>
        <w:tc>
          <w:tcPr>
            <w:tcW w:w="811" w:type="dxa"/>
            <w:tcBorders/>
            <w:shd w:fill="auto" w:val="clear"/>
            <w:vAlign w:val="center"/>
          </w:tcPr>
          <w:p>
            <w:pPr>
              <w:pStyle w:val="TableContents"/>
              <w:spacing w:before="0" w:after="283"/>
              <w:rPr>
                <w:sz w:val="4"/>
                <w:szCs w:val="4"/>
              </w:rPr>
            </w:pPr>
            <w:r>
              <w:rPr>
                <w:sz w:val="4"/>
                <w:szCs w:val="4"/>
              </w:rPr>
            </w:r>
          </w:p>
        </w:tc>
      </w:tr>
      <w:tr>
        <w:trPr/>
        <w:tc>
          <w:tcPr>
            <w:tcW w:w="6031" w:type="dxa"/>
            <w:tcBorders/>
            <w:shd w:fill="auto" w:val="clear"/>
            <w:vAlign w:val="center"/>
          </w:tcPr>
          <w:p>
            <w:pPr>
              <w:pStyle w:val="TableContents"/>
              <w:spacing w:lineRule="auto" w:line="252" w:before="0" w:after="0"/>
              <w:ind w:left="0" w:right="0" w:hanging="0"/>
              <w:jc w:val="center"/>
              <w:rPr/>
            </w:pPr>
            <w:r>
              <w:rPr/>
              <w:t> </w:t>
            </w:r>
          </w:p>
        </w:tc>
        <w:tc>
          <w:tcPr>
            <w:tcW w:w="146" w:type="dxa"/>
            <w:tcBorders/>
            <w:shd w:fill="auto" w:val="clear"/>
            <w:vAlign w:val="center"/>
          </w:tcPr>
          <w:p>
            <w:pPr>
              <w:pStyle w:val="TableContents"/>
              <w:spacing w:lineRule="auto" w:line="252" w:before="0" w:after="0"/>
              <w:ind w:left="0" w:right="0" w:hanging="0"/>
              <w:jc w:val="center"/>
              <w:rPr/>
            </w:pPr>
            <w:r>
              <w:rPr/>
              <w:t> </w:t>
            </w:r>
          </w:p>
        </w:tc>
        <w:tc>
          <w:tcPr>
            <w:tcW w:w="2296" w:type="dxa"/>
            <w:gridSpan w:val="6"/>
            <w:tcBorders/>
            <w:shd w:fill="auto" w:val="clear"/>
            <w:vAlign w:val="center"/>
          </w:tcPr>
          <w:p>
            <w:pPr>
              <w:pStyle w:val="TableContents"/>
              <w:spacing w:lineRule="auto" w:line="252" w:before="0" w:after="0"/>
              <w:ind w:left="0" w:right="0" w:hanging="0"/>
              <w:jc w:val="center"/>
              <w:rPr>
                <w:rFonts w:ascii="Times New Roman" w:hAnsi="Times New Roman"/>
                <w:b/>
                <w:sz w:val="16"/>
              </w:rPr>
            </w:pPr>
            <w:r>
              <w:rPr>
                <w:rFonts w:ascii="Times New Roman" w:hAnsi="Times New Roman"/>
                <w:b/>
                <w:sz w:val="16"/>
              </w:rPr>
              <w:t>Three Months Ended</w:t>
              <w:br/>
              <w:t>March 31,</w:t>
            </w:r>
          </w:p>
        </w:tc>
        <w:tc>
          <w:tcPr>
            <w:tcW w:w="811" w:type="dxa"/>
            <w:tcBorders/>
            <w:shd w:fill="auto" w:val="clear"/>
            <w:vAlign w:val="center"/>
          </w:tcPr>
          <w:p>
            <w:pPr>
              <w:pStyle w:val="TableContents"/>
              <w:spacing w:lineRule="auto" w:line="252" w:before="0" w:after="0"/>
              <w:ind w:left="0" w:right="0" w:hanging="0"/>
              <w:jc w:val="center"/>
              <w:rPr/>
            </w:pPr>
            <w:r>
              <w:rPr/>
              <w:t> </w:t>
            </w:r>
          </w:p>
        </w:tc>
      </w:tr>
      <w:tr>
        <w:trPr/>
        <w:tc>
          <w:tcPr>
            <w:tcW w:w="6031" w:type="dxa"/>
            <w:tcBorders/>
            <w:shd w:fill="auto" w:val="clear"/>
            <w:vAlign w:val="center"/>
          </w:tcPr>
          <w:p>
            <w:pPr>
              <w:pStyle w:val="TableContents"/>
              <w:spacing w:lineRule="auto" w:line="252" w:before="0" w:after="0"/>
              <w:ind w:left="0" w:right="0" w:hanging="0"/>
              <w:jc w:val="center"/>
              <w:rPr/>
            </w:pPr>
            <w:r>
              <w:rPr/>
              <w:t> </w:t>
            </w:r>
          </w:p>
        </w:tc>
        <w:tc>
          <w:tcPr>
            <w:tcW w:w="146" w:type="dxa"/>
            <w:tcBorders/>
            <w:shd w:fill="auto" w:val="clear"/>
            <w:vAlign w:val="center"/>
          </w:tcPr>
          <w:p>
            <w:pPr>
              <w:pStyle w:val="TableContents"/>
              <w:spacing w:lineRule="auto" w:line="252" w:before="0" w:after="0"/>
              <w:ind w:left="0" w:right="0" w:hanging="0"/>
              <w:jc w:val="center"/>
              <w:rPr/>
            </w:pPr>
            <w:r>
              <w:rPr/>
              <w:t> </w:t>
            </w:r>
          </w:p>
        </w:tc>
        <w:tc>
          <w:tcPr>
            <w:tcW w:w="992" w:type="dxa"/>
            <w:gridSpan w:val="2"/>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center"/>
              <w:rPr>
                <w:rFonts w:ascii="Times New Roman" w:hAnsi="Times New Roman"/>
                <w:b/>
                <w:sz w:val="16"/>
              </w:rPr>
            </w:pPr>
            <w:r>
              <w:rPr>
                <w:rFonts w:ascii="Times New Roman" w:hAnsi="Times New Roman"/>
                <w:b/>
                <w:sz w:val="16"/>
              </w:rPr>
              <w:t>2022</w:t>
            </w:r>
          </w:p>
        </w:tc>
        <w:tc>
          <w:tcPr>
            <w:tcW w:w="166"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center"/>
              <w:rPr/>
            </w:pPr>
            <w:r>
              <w:rPr/>
              <w:t> </w:t>
            </w:r>
          </w:p>
        </w:tc>
        <w:tc>
          <w:tcPr>
            <w:tcW w:w="146" w:type="dxa"/>
            <w:tcBorders/>
            <w:shd w:fill="auto" w:val="clear"/>
            <w:vAlign w:val="center"/>
          </w:tcPr>
          <w:p>
            <w:pPr>
              <w:pStyle w:val="TableContents"/>
              <w:spacing w:lineRule="auto" w:line="252" w:before="0" w:after="0"/>
              <w:ind w:left="0" w:right="0" w:hanging="0"/>
              <w:jc w:val="center"/>
              <w:rPr/>
            </w:pPr>
            <w:r>
              <w:rPr/>
              <w:t> </w:t>
            </w:r>
          </w:p>
        </w:tc>
        <w:tc>
          <w:tcPr>
            <w:tcW w:w="992" w:type="dxa"/>
            <w:gridSpan w:val="2"/>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center"/>
              <w:rPr>
                <w:rFonts w:ascii="Times New Roman" w:hAnsi="Times New Roman"/>
                <w:b/>
                <w:sz w:val="16"/>
              </w:rPr>
            </w:pPr>
            <w:r>
              <w:rPr>
                <w:rFonts w:ascii="Times New Roman" w:hAnsi="Times New Roman"/>
                <w:b/>
                <w:sz w:val="16"/>
              </w:rPr>
              <w:t>2021</w:t>
            </w:r>
          </w:p>
        </w:tc>
        <w:tc>
          <w:tcPr>
            <w:tcW w:w="811"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center"/>
              <w:rPr/>
            </w:pPr>
            <w:r>
              <w:rPr/>
              <w:t> </w:t>
            </w:r>
          </w:p>
        </w:tc>
      </w:tr>
      <w:tr>
        <w:trPr/>
        <w:tc>
          <w:tcPr>
            <w:tcW w:w="6031" w:type="dxa"/>
            <w:tcBorders/>
            <w:shd w:fill="auto" w:val="clear"/>
            <w:vAlign w:val="center"/>
          </w:tcPr>
          <w:p>
            <w:pPr>
              <w:pStyle w:val="TableContents"/>
              <w:spacing w:lineRule="auto" w:line="252" w:before="0" w:after="0"/>
              <w:ind w:left="0" w:right="0" w:hanging="0"/>
              <w:jc w:val="left"/>
              <w:rPr>
                <w:rFonts w:ascii="Times New Roman" w:hAnsi="Times New Roman"/>
                <w:b/>
                <w:sz w:val="20"/>
              </w:rPr>
            </w:pPr>
            <w:r>
              <w:rPr>
                <w:rFonts w:ascii="Times New Roman" w:hAnsi="Times New Roman"/>
                <w:b/>
                <w:sz w:val="20"/>
              </w:rPr>
              <w:t>Cash flows from operating activities</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992" w:type="dxa"/>
            <w:gridSpan w:val="2"/>
            <w:tcBorders/>
            <w:shd w:fill="auto" w:val="clear"/>
            <w:vAlign w:val="center"/>
          </w:tcPr>
          <w:p>
            <w:pPr>
              <w:pStyle w:val="TableContents"/>
              <w:spacing w:lineRule="auto" w:line="252" w:before="0" w:after="0"/>
              <w:ind w:left="0" w:right="0" w:hanging="0"/>
              <w:jc w:val="right"/>
              <w:rPr/>
            </w:pPr>
            <w:r>
              <w:rPr/>
              <w:t> </w:t>
            </w:r>
          </w:p>
        </w:tc>
        <w:tc>
          <w:tcPr>
            <w:tcW w:w="166" w:type="dxa"/>
            <w:tcBorders/>
            <w:shd w:fill="auto" w:val="clear"/>
            <w:vAlign w:val="center"/>
          </w:tcPr>
          <w:p>
            <w:pPr>
              <w:pStyle w:val="TableContents"/>
              <w:spacing w:lineRule="auto" w:line="252" w:before="0" w:after="0"/>
              <w:ind w:left="0" w:right="0" w:hanging="0"/>
              <w:jc w:val="right"/>
              <w:rPr/>
            </w:pPr>
            <w:r>
              <w:rPr/>
              <w:t> </w:t>
            </w:r>
          </w:p>
        </w:tc>
        <w:tc>
          <w:tcPr>
            <w:tcW w:w="146" w:type="dxa"/>
            <w:tcBorders/>
            <w:shd w:fill="auto" w:val="clear"/>
            <w:vAlign w:val="center"/>
          </w:tcPr>
          <w:p>
            <w:pPr>
              <w:pStyle w:val="TableContents"/>
              <w:spacing w:lineRule="auto" w:line="252" w:before="0" w:after="0"/>
              <w:ind w:left="0" w:right="0" w:hanging="0"/>
              <w:jc w:val="right"/>
              <w:rPr/>
            </w:pPr>
            <w:r>
              <w:rPr/>
              <w:t> </w:t>
            </w:r>
          </w:p>
        </w:tc>
        <w:tc>
          <w:tcPr>
            <w:tcW w:w="992" w:type="dxa"/>
            <w:gridSpan w:val="2"/>
            <w:tcBorders/>
            <w:shd w:fill="auto" w:val="clear"/>
            <w:vAlign w:val="center"/>
          </w:tcPr>
          <w:p>
            <w:pPr>
              <w:pStyle w:val="TableContents"/>
              <w:spacing w:lineRule="auto" w:line="252" w:before="0" w:after="0"/>
              <w:ind w:left="0" w:right="0" w:hanging="0"/>
              <w:jc w:val="right"/>
              <w:rPr/>
            </w:pPr>
            <w:r>
              <w:rPr/>
              <w:t> </w:t>
            </w:r>
          </w:p>
        </w:tc>
        <w:tc>
          <w:tcPr>
            <w:tcW w:w="811" w:type="dxa"/>
            <w:tcBorders/>
            <w:shd w:fill="auto" w:val="clear"/>
            <w:vAlign w:val="center"/>
          </w:tcPr>
          <w:p>
            <w:pPr>
              <w:pStyle w:val="TableContents"/>
              <w:spacing w:lineRule="auto" w:line="252" w:before="0" w:after="0"/>
              <w:ind w:left="0" w:right="0" w:hanging="0"/>
              <w:jc w:val="right"/>
              <w:rPr/>
            </w:pPr>
            <w:r>
              <w:rPr/>
              <w:t> </w:t>
            </w:r>
          </w:p>
        </w:tc>
      </w:tr>
      <w:tr>
        <w:trPr/>
        <w:tc>
          <w:tcPr>
            <w:tcW w:w="6031" w:type="dxa"/>
            <w:tcBorders/>
            <w:shd w:fill="auto" w:val="clear"/>
            <w:vAlign w:val="center"/>
          </w:tcPr>
          <w:p>
            <w:pPr>
              <w:pStyle w:val="TableContents"/>
              <w:spacing w:lineRule="auto" w:line="252" w:before="0" w:after="0"/>
              <w:ind w:left="0" w:right="0" w:hanging="0"/>
              <w:jc w:val="left"/>
              <w:rPr>
                <w:rFonts w:ascii="Times New Roman" w:hAnsi="Times New Roman"/>
                <w:b w:val="false"/>
                <w:sz w:val="20"/>
              </w:rPr>
            </w:pPr>
            <w:r>
              <w:rPr>
                <w:rFonts w:ascii="Times New Roman" w:hAnsi="Times New Roman"/>
                <w:b w:val="false"/>
                <w:sz w:val="20"/>
              </w:rPr>
              <w:t>Net loss</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211" w:type="dxa"/>
            <w:tcBorders/>
            <w:shd w:fill="auto" w:val="clear"/>
            <w:vAlign w:val="center"/>
          </w:tcPr>
          <w:p>
            <w:pPr>
              <w:pStyle w:val="TableContents"/>
              <w:spacing w:lineRule="auto" w:line="252" w:before="0" w:after="0"/>
              <w:ind w:left="0" w:right="0" w:hanging="0"/>
              <w:jc w:val="left"/>
              <w:rPr>
                <w:rFonts w:ascii="Times New Roman" w:hAnsi="Times New Roman"/>
                <w:b w:val="false"/>
                <w:sz w:val="20"/>
              </w:rPr>
            </w:pPr>
            <w:r>
              <w:rPr>
                <w:rFonts w:ascii="Times New Roman" w:hAnsi="Times New Roman"/>
                <w:b w:val="false"/>
                <w:sz w:val="20"/>
              </w:rPr>
              <w:t>$</w:t>
            </w:r>
          </w:p>
        </w:tc>
        <w:tc>
          <w:tcPr>
            <w:tcW w:w="781" w:type="dxa"/>
            <w:tcBorders/>
            <w:shd w:fill="auto" w:val="clear"/>
            <w:vAlign w:val="center"/>
          </w:tcPr>
          <w:p>
            <w:pPr>
              <w:pStyle w:val="TableContents"/>
              <w:spacing w:lineRule="auto" w:line="252" w:before="0" w:after="0"/>
              <w:ind w:left="0" w:right="0" w:hanging="0"/>
              <w:jc w:val="right"/>
              <w:rPr>
                <w:rFonts w:ascii="Times New Roman" w:hAnsi="Times New Roman"/>
                <w:b w:val="false"/>
                <w:sz w:val="20"/>
              </w:rPr>
            </w:pPr>
            <w:r>
              <w:rPr>
                <w:rFonts w:ascii="Times New Roman" w:hAnsi="Times New Roman"/>
                <w:b w:val="false"/>
                <w:sz w:val="20"/>
              </w:rPr>
              <w:t>(27,747</w:t>
            </w:r>
          </w:p>
        </w:tc>
        <w:tc>
          <w:tcPr>
            <w:tcW w:w="166" w:type="dxa"/>
            <w:tcBorders/>
            <w:shd w:fill="auto" w:val="clear"/>
            <w:vAlign w:val="center"/>
          </w:tcPr>
          <w:p>
            <w:pPr>
              <w:pStyle w:val="TableContents"/>
              <w:spacing w:lineRule="auto" w:line="252" w:before="0" w:after="0"/>
              <w:ind w:left="0" w:right="0" w:hanging="0"/>
              <w:jc w:val="left"/>
              <w:rPr>
                <w:rFonts w:ascii="Times New Roman" w:hAnsi="Times New Roman"/>
                <w:b w:val="false"/>
                <w:sz w:val="20"/>
              </w:rPr>
            </w:pPr>
            <w:r>
              <w:rPr>
                <w:rFonts w:ascii="Times New Roman" w:hAnsi="Times New Roman"/>
                <w:b w:val="false"/>
                <w:sz w:val="20"/>
              </w:rPr>
              <w:t>)</w:t>
            </w:r>
          </w:p>
        </w:tc>
        <w:tc>
          <w:tcPr>
            <w:tcW w:w="146" w:type="dxa"/>
            <w:tcBorders/>
            <w:shd w:fill="auto" w:val="clear"/>
            <w:vAlign w:val="center"/>
          </w:tcPr>
          <w:p>
            <w:pPr>
              <w:pStyle w:val="TableContents"/>
              <w:spacing w:lineRule="auto" w:line="252" w:before="0" w:after="0"/>
              <w:ind w:left="0" w:right="0" w:hanging="0"/>
              <w:jc w:val="right"/>
              <w:rPr/>
            </w:pPr>
            <w:r>
              <w:rPr/>
              <w:t> </w:t>
            </w:r>
          </w:p>
        </w:tc>
        <w:tc>
          <w:tcPr>
            <w:tcW w:w="211" w:type="dxa"/>
            <w:tcBorders/>
            <w:shd w:fill="auto" w:val="clear"/>
            <w:vAlign w:val="center"/>
          </w:tcPr>
          <w:p>
            <w:pPr>
              <w:pStyle w:val="TableContents"/>
              <w:spacing w:lineRule="auto" w:line="252" w:before="0" w:after="0"/>
              <w:ind w:left="0" w:right="0" w:hanging="0"/>
              <w:jc w:val="left"/>
              <w:rPr>
                <w:rFonts w:ascii="Times New Roman" w:hAnsi="Times New Roman"/>
                <w:b w:val="false"/>
                <w:sz w:val="20"/>
              </w:rPr>
            </w:pPr>
            <w:r>
              <w:rPr>
                <w:rFonts w:ascii="Times New Roman" w:hAnsi="Times New Roman"/>
                <w:b w:val="false"/>
                <w:sz w:val="20"/>
              </w:rPr>
              <w:t>$</w:t>
            </w:r>
          </w:p>
        </w:tc>
        <w:tc>
          <w:tcPr>
            <w:tcW w:w="781" w:type="dxa"/>
            <w:tcBorders/>
            <w:shd w:fill="auto" w:val="clear"/>
            <w:vAlign w:val="center"/>
          </w:tcPr>
          <w:p>
            <w:pPr>
              <w:pStyle w:val="TableContents"/>
              <w:spacing w:lineRule="auto" w:line="252" w:before="0" w:after="0"/>
              <w:ind w:left="0" w:right="0" w:hanging="0"/>
              <w:jc w:val="right"/>
              <w:rPr>
                <w:rFonts w:ascii="Times New Roman" w:hAnsi="Times New Roman"/>
                <w:b w:val="false"/>
                <w:sz w:val="20"/>
              </w:rPr>
            </w:pPr>
            <w:r>
              <w:rPr>
                <w:rFonts w:ascii="Times New Roman" w:hAnsi="Times New Roman"/>
                <w:b w:val="false"/>
                <w:sz w:val="20"/>
              </w:rPr>
              <w:t>(16,101</w:t>
            </w:r>
          </w:p>
        </w:tc>
        <w:tc>
          <w:tcPr>
            <w:tcW w:w="811" w:type="dxa"/>
            <w:tcBorders/>
            <w:shd w:fill="auto" w:val="clear"/>
            <w:vAlign w:val="center"/>
          </w:tcPr>
          <w:p>
            <w:pPr>
              <w:pStyle w:val="TableContents"/>
              <w:spacing w:lineRule="auto" w:line="252" w:before="0" w:after="0"/>
              <w:ind w:left="0" w:right="0" w:hanging="0"/>
              <w:jc w:val="left"/>
              <w:rPr>
                <w:rFonts w:ascii="Times New Roman" w:hAnsi="Times New Roman"/>
                <w:b w:val="false"/>
                <w:sz w:val="20"/>
              </w:rPr>
            </w:pPr>
            <w:r>
              <w:rPr>
                <w:rFonts w:ascii="Times New Roman" w:hAnsi="Times New Roman"/>
                <w:b w:val="false"/>
                <w:sz w:val="20"/>
              </w:rPr>
              <w:t>)</w:t>
            </w:r>
          </w:p>
        </w:tc>
      </w:tr>
      <w:tr>
        <w:trPr/>
        <w:tc>
          <w:tcPr>
            <w:tcW w:w="6031" w:type="dxa"/>
            <w:tcBorders/>
            <w:shd w:fill="auto" w:val="clear"/>
            <w:vAlign w:val="center"/>
          </w:tcPr>
          <w:p>
            <w:pPr>
              <w:pStyle w:val="TableContents"/>
              <w:spacing w:lineRule="auto" w:line="252" w:before="0" w:after="0"/>
              <w:ind w:left="0" w:right="0" w:hanging="0"/>
              <w:jc w:val="left"/>
              <w:rPr>
                <w:rFonts w:ascii="Times New Roman" w:hAnsi="Times New Roman"/>
                <w:b w:val="false"/>
                <w:sz w:val="20"/>
              </w:rPr>
            </w:pPr>
            <w:r>
              <w:rPr>
                <w:rFonts w:ascii="Times New Roman" w:hAnsi="Times New Roman"/>
                <w:b w:val="false"/>
                <w:sz w:val="20"/>
              </w:rPr>
              <w:t>Adjustments to reconcile net loss to net cash used in operating activities:</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992" w:type="dxa"/>
            <w:gridSpan w:val="2"/>
            <w:tcBorders/>
            <w:shd w:fill="auto" w:val="clear"/>
            <w:vAlign w:val="center"/>
          </w:tcPr>
          <w:p>
            <w:pPr>
              <w:pStyle w:val="TableContents"/>
              <w:spacing w:lineRule="auto" w:line="252" w:before="0" w:after="0"/>
              <w:ind w:left="0" w:right="0" w:hanging="0"/>
              <w:jc w:val="right"/>
              <w:rPr/>
            </w:pPr>
            <w:r>
              <w:rPr/>
              <w:t> </w:t>
            </w:r>
          </w:p>
        </w:tc>
        <w:tc>
          <w:tcPr>
            <w:tcW w:w="166" w:type="dxa"/>
            <w:tcBorders/>
            <w:shd w:fill="auto" w:val="clear"/>
            <w:vAlign w:val="center"/>
          </w:tcPr>
          <w:p>
            <w:pPr>
              <w:pStyle w:val="TableContents"/>
              <w:spacing w:lineRule="auto" w:line="252" w:before="0" w:after="0"/>
              <w:ind w:left="0" w:right="0" w:hanging="0"/>
              <w:jc w:val="right"/>
              <w:rPr/>
            </w:pPr>
            <w:r>
              <w:rPr/>
              <w:t> </w:t>
            </w:r>
          </w:p>
        </w:tc>
        <w:tc>
          <w:tcPr>
            <w:tcW w:w="146" w:type="dxa"/>
            <w:tcBorders/>
            <w:shd w:fill="auto" w:val="clear"/>
            <w:vAlign w:val="center"/>
          </w:tcPr>
          <w:p>
            <w:pPr>
              <w:pStyle w:val="TableContents"/>
              <w:spacing w:lineRule="auto" w:line="252" w:before="0" w:after="0"/>
              <w:ind w:left="0" w:right="0" w:hanging="0"/>
              <w:jc w:val="right"/>
              <w:rPr/>
            </w:pPr>
            <w:r>
              <w:rPr/>
              <w:t> </w:t>
            </w:r>
          </w:p>
        </w:tc>
        <w:tc>
          <w:tcPr>
            <w:tcW w:w="992" w:type="dxa"/>
            <w:gridSpan w:val="2"/>
            <w:tcBorders/>
            <w:shd w:fill="auto" w:val="clear"/>
            <w:vAlign w:val="center"/>
          </w:tcPr>
          <w:p>
            <w:pPr>
              <w:pStyle w:val="TableContents"/>
              <w:spacing w:lineRule="auto" w:line="252" w:before="0" w:after="0"/>
              <w:ind w:left="0" w:right="0" w:hanging="0"/>
              <w:jc w:val="right"/>
              <w:rPr/>
            </w:pPr>
            <w:r>
              <w:rPr/>
              <w:t> </w:t>
            </w:r>
          </w:p>
        </w:tc>
        <w:tc>
          <w:tcPr>
            <w:tcW w:w="811" w:type="dxa"/>
            <w:tcBorders/>
            <w:shd w:fill="auto" w:val="clear"/>
            <w:vAlign w:val="center"/>
          </w:tcPr>
          <w:p>
            <w:pPr>
              <w:pStyle w:val="TableContents"/>
              <w:spacing w:lineRule="auto" w:line="252" w:before="0" w:after="0"/>
              <w:ind w:left="0" w:right="0" w:firstLine="200"/>
              <w:jc w:val="right"/>
              <w:rPr/>
            </w:pPr>
            <w:r>
              <w:rPr/>
              <w:t> </w:t>
            </w:r>
          </w:p>
        </w:tc>
      </w:tr>
      <w:tr>
        <w:trPr/>
        <w:tc>
          <w:tcPr>
            <w:tcW w:w="6031" w:type="dxa"/>
            <w:tcBorders/>
            <w:shd w:fill="auto" w:val="clear"/>
            <w:vAlign w:val="center"/>
          </w:tcPr>
          <w:p>
            <w:pPr>
              <w:pStyle w:val="TableContents"/>
              <w:spacing w:lineRule="auto" w:line="252" w:before="0" w:after="0"/>
              <w:ind w:left="200" w:right="0" w:hanging="0"/>
              <w:jc w:val="left"/>
              <w:rPr>
                <w:rFonts w:ascii="Times New Roman" w:hAnsi="Times New Roman"/>
                <w:b w:val="false"/>
                <w:sz w:val="20"/>
              </w:rPr>
            </w:pPr>
            <w:r>
              <w:rPr>
                <w:rFonts w:ascii="Times New Roman" w:hAnsi="Times New Roman"/>
                <w:b w:val="false"/>
                <w:sz w:val="20"/>
              </w:rPr>
              <w:t>Acquired in-process research and development assets</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211" w:type="dxa"/>
            <w:tcBorders/>
            <w:shd w:fill="auto" w:val="clear"/>
            <w:vAlign w:val="center"/>
          </w:tcPr>
          <w:p>
            <w:pPr>
              <w:pStyle w:val="TableContents"/>
              <w:spacing w:lineRule="auto" w:line="252" w:before="0" w:after="0"/>
              <w:ind w:left="0" w:right="0" w:hanging="0"/>
              <w:jc w:val="left"/>
              <w:rPr/>
            </w:pPr>
            <w:r>
              <w:rPr/>
              <w:t> </w:t>
            </w:r>
          </w:p>
        </w:tc>
        <w:tc>
          <w:tcPr>
            <w:tcW w:w="781" w:type="dxa"/>
            <w:tcBorders/>
            <w:shd w:fill="auto" w:val="clear"/>
            <w:vAlign w:val="center"/>
          </w:tcPr>
          <w:p>
            <w:pPr>
              <w:pStyle w:val="TableContents"/>
              <w:spacing w:lineRule="auto" w:line="252" w:before="0" w:after="0"/>
              <w:ind w:left="0" w:right="0" w:hanging="0"/>
              <w:jc w:val="right"/>
              <w:rPr/>
            </w:pPr>
            <w:r>
              <w:rPr/>
              <w:t>—</w:t>
            </w:r>
          </w:p>
        </w:tc>
        <w:tc>
          <w:tcPr>
            <w:tcW w:w="166" w:type="dxa"/>
            <w:tcBorders/>
            <w:shd w:fill="auto" w:val="cle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right"/>
              <w:rPr/>
            </w:pPr>
            <w:r>
              <w:rPr/>
              <w:t> </w:t>
            </w:r>
          </w:p>
        </w:tc>
        <w:tc>
          <w:tcPr>
            <w:tcW w:w="211" w:type="dxa"/>
            <w:tcBorders/>
            <w:shd w:fill="auto" w:val="clear"/>
            <w:vAlign w:val="center"/>
          </w:tcPr>
          <w:p>
            <w:pPr>
              <w:pStyle w:val="TableContents"/>
              <w:spacing w:lineRule="auto" w:line="252" w:before="0" w:after="0"/>
              <w:ind w:left="0" w:right="0" w:hanging="0"/>
              <w:jc w:val="left"/>
              <w:rPr/>
            </w:pPr>
            <w:r>
              <w:rPr/>
              <w:t> </w:t>
            </w:r>
          </w:p>
        </w:tc>
        <w:tc>
          <w:tcPr>
            <w:tcW w:w="781" w:type="dxa"/>
            <w:tcBorders/>
            <w:shd w:fill="auto" w:val="clear"/>
            <w:vAlign w:val="center"/>
          </w:tcPr>
          <w:p>
            <w:pPr>
              <w:pStyle w:val="TableContents"/>
              <w:spacing w:lineRule="auto" w:line="252" w:before="0" w:after="0"/>
              <w:ind w:left="0" w:right="0" w:hanging="0"/>
              <w:jc w:val="right"/>
              <w:rPr>
                <w:rFonts w:ascii="Times New Roman" w:hAnsi="Times New Roman"/>
                <w:b w:val="false"/>
                <w:sz w:val="20"/>
              </w:rPr>
            </w:pPr>
            <w:r>
              <w:rPr>
                <w:rFonts w:ascii="Times New Roman" w:hAnsi="Times New Roman"/>
                <w:b w:val="false"/>
                <w:sz w:val="20"/>
              </w:rPr>
              <w:t>8,000</w:t>
            </w:r>
          </w:p>
        </w:tc>
        <w:tc>
          <w:tcPr>
            <w:tcW w:w="811" w:type="dxa"/>
            <w:tcBorders/>
            <w:shd w:fill="auto" w:val="clear"/>
            <w:vAlign w:val="center"/>
          </w:tcPr>
          <w:p>
            <w:pPr>
              <w:pStyle w:val="TableContents"/>
              <w:spacing w:lineRule="auto" w:line="252" w:before="0" w:after="0"/>
              <w:ind w:left="0" w:right="0" w:firstLine="200"/>
              <w:jc w:val="left"/>
              <w:rPr/>
            </w:pPr>
            <w:r>
              <w:rPr/>
              <w:t> </w:t>
            </w:r>
          </w:p>
        </w:tc>
      </w:tr>
      <w:tr>
        <w:trPr/>
        <w:tc>
          <w:tcPr>
            <w:tcW w:w="6031" w:type="dxa"/>
            <w:tcBorders/>
            <w:shd w:fill="auto" w:val="clear"/>
            <w:vAlign w:val="center"/>
          </w:tcPr>
          <w:p>
            <w:pPr>
              <w:pStyle w:val="TableContents"/>
              <w:spacing w:lineRule="auto" w:line="252" w:before="0" w:after="0"/>
              <w:ind w:left="200" w:right="0" w:hanging="0"/>
              <w:jc w:val="left"/>
              <w:rPr>
                <w:rFonts w:ascii="Times New Roman" w:hAnsi="Times New Roman"/>
                <w:b w:val="false"/>
                <w:sz w:val="20"/>
              </w:rPr>
            </w:pPr>
            <w:r>
              <w:rPr>
                <w:rFonts w:ascii="Times New Roman" w:hAnsi="Times New Roman"/>
                <w:b w:val="false"/>
                <w:sz w:val="20"/>
              </w:rPr>
              <w:t>Share-based compensation expense</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211" w:type="dxa"/>
            <w:tcBorders/>
            <w:shd w:fill="auto" w:val="clear"/>
            <w:vAlign w:val="center"/>
          </w:tcPr>
          <w:p>
            <w:pPr>
              <w:pStyle w:val="TableContents"/>
              <w:spacing w:lineRule="auto" w:line="252" w:before="0" w:after="0"/>
              <w:ind w:left="0" w:right="0" w:hanging="0"/>
              <w:jc w:val="left"/>
              <w:rPr/>
            </w:pPr>
            <w:r>
              <w:rPr/>
              <w:t> </w:t>
            </w:r>
          </w:p>
        </w:tc>
        <w:tc>
          <w:tcPr>
            <w:tcW w:w="781" w:type="dxa"/>
            <w:tcBorders/>
            <w:shd w:fill="auto" w:val="clear"/>
            <w:vAlign w:val="center"/>
          </w:tcPr>
          <w:p>
            <w:pPr>
              <w:pStyle w:val="TableContents"/>
              <w:spacing w:lineRule="auto" w:line="252" w:before="0" w:after="0"/>
              <w:ind w:left="0" w:right="0" w:hanging="0"/>
              <w:jc w:val="right"/>
              <w:rPr>
                <w:rFonts w:ascii="Times New Roman" w:hAnsi="Times New Roman"/>
                <w:b w:val="false"/>
                <w:sz w:val="20"/>
              </w:rPr>
            </w:pPr>
            <w:r>
              <w:rPr>
                <w:rFonts w:ascii="Times New Roman" w:hAnsi="Times New Roman"/>
                <w:b w:val="false"/>
                <w:sz w:val="20"/>
              </w:rPr>
              <w:t>6,202</w:t>
            </w:r>
          </w:p>
        </w:tc>
        <w:tc>
          <w:tcPr>
            <w:tcW w:w="166" w:type="dxa"/>
            <w:tcBorders/>
            <w:shd w:fill="auto" w:val="cle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right"/>
              <w:rPr/>
            </w:pPr>
            <w:r>
              <w:rPr/>
              <w:t> </w:t>
            </w:r>
          </w:p>
        </w:tc>
        <w:tc>
          <w:tcPr>
            <w:tcW w:w="211" w:type="dxa"/>
            <w:tcBorders/>
            <w:shd w:fill="auto" w:val="clear"/>
            <w:vAlign w:val="center"/>
          </w:tcPr>
          <w:p>
            <w:pPr>
              <w:pStyle w:val="TableContents"/>
              <w:spacing w:lineRule="auto" w:line="252" w:before="0" w:after="0"/>
              <w:ind w:left="0" w:right="0" w:hanging="0"/>
              <w:jc w:val="left"/>
              <w:rPr/>
            </w:pPr>
            <w:r>
              <w:rPr/>
              <w:t> </w:t>
            </w:r>
          </w:p>
        </w:tc>
        <w:tc>
          <w:tcPr>
            <w:tcW w:w="781" w:type="dxa"/>
            <w:tcBorders/>
            <w:shd w:fill="auto" w:val="clear"/>
            <w:vAlign w:val="center"/>
          </w:tcPr>
          <w:p>
            <w:pPr>
              <w:pStyle w:val="TableContents"/>
              <w:spacing w:lineRule="auto" w:line="252" w:before="0" w:after="0"/>
              <w:ind w:left="0" w:right="0" w:hanging="0"/>
              <w:jc w:val="right"/>
              <w:rPr>
                <w:rFonts w:ascii="Times New Roman" w:hAnsi="Times New Roman"/>
                <w:b w:val="false"/>
                <w:sz w:val="20"/>
              </w:rPr>
            </w:pPr>
            <w:r>
              <w:rPr>
                <w:rFonts w:ascii="Times New Roman" w:hAnsi="Times New Roman"/>
                <w:b w:val="false"/>
                <w:sz w:val="20"/>
              </w:rPr>
              <w:t>538</w:t>
            </w:r>
          </w:p>
        </w:tc>
        <w:tc>
          <w:tcPr>
            <w:tcW w:w="811" w:type="dxa"/>
            <w:tcBorders/>
            <w:shd w:fill="auto" w:val="clear"/>
            <w:vAlign w:val="center"/>
          </w:tcPr>
          <w:p>
            <w:pPr>
              <w:pStyle w:val="TableContents"/>
              <w:spacing w:lineRule="auto" w:line="252" w:before="0" w:after="0"/>
              <w:ind w:left="0" w:right="0" w:firstLine="200"/>
              <w:jc w:val="left"/>
              <w:rPr/>
            </w:pPr>
            <w:r>
              <w:rPr/>
              <w:t> </w:t>
            </w:r>
          </w:p>
        </w:tc>
      </w:tr>
      <w:tr>
        <w:trPr/>
        <w:tc>
          <w:tcPr>
            <w:tcW w:w="6031" w:type="dxa"/>
            <w:tcBorders/>
            <w:shd w:fill="auto" w:val="clear"/>
            <w:vAlign w:val="center"/>
          </w:tcPr>
          <w:p>
            <w:pPr>
              <w:pStyle w:val="TableContents"/>
              <w:spacing w:lineRule="auto" w:line="252" w:before="0" w:after="0"/>
              <w:ind w:left="200" w:right="0" w:hanging="0"/>
              <w:jc w:val="left"/>
              <w:rPr>
                <w:rFonts w:ascii="Times New Roman" w:hAnsi="Times New Roman"/>
                <w:b w:val="false"/>
                <w:sz w:val="20"/>
              </w:rPr>
            </w:pPr>
            <w:r>
              <w:rPr>
                <w:rFonts w:ascii="Times New Roman" w:hAnsi="Times New Roman"/>
                <w:b w:val="false"/>
                <w:sz w:val="20"/>
              </w:rPr>
              <w:t>Depreciation expense</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211" w:type="dxa"/>
            <w:tcBorders/>
            <w:shd w:fill="auto" w:val="clear"/>
            <w:vAlign w:val="center"/>
          </w:tcPr>
          <w:p>
            <w:pPr>
              <w:pStyle w:val="TableContents"/>
              <w:spacing w:lineRule="auto" w:line="252" w:before="0" w:after="0"/>
              <w:ind w:left="0" w:right="0" w:hanging="0"/>
              <w:jc w:val="left"/>
              <w:rPr/>
            </w:pPr>
            <w:r>
              <w:rPr/>
              <w:t> </w:t>
            </w:r>
          </w:p>
        </w:tc>
        <w:tc>
          <w:tcPr>
            <w:tcW w:w="781" w:type="dxa"/>
            <w:tcBorders/>
            <w:shd w:fill="auto" w:val="clear"/>
            <w:vAlign w:val="center"/>
          </w:tcPr>
          <w:p>
            <w:pPr>
              <w:pStyle w:val="TableContents"/>
              <w:spacing w:lineRule="auto" w:line="252" w:before="0" w:after="0"/>
              <w:ind w:left="0" w:right="0" w:hanging="0"/>
              <w:jc w:val="right"/>
              <w:rPr>
                <w:rFonts w:ascii="Times New Roman" w:hAnsi="Times New Roman"/>
                <w:b w:val="false"/>
                <w:sz w:val="20"/>
              </w:rPr>
            </w:pPr>
            <w:r>
              <w:rPr>
                <w:rFonts w:ascii="Times New Roman" w:hAnsi="Times New Roman"/>
                <w:b w:val="false"/>
                <w:sz w:val="20"/>
              </w:rPr>
              <w:t>6</w:t>
            </w:r>
          </w:p>
        </w:tc>
        <w:tc>
          <w:tcPr>
            <w:tcW w:w="166" w:type="dxa"/>
            <w:tcBorders/>
            <w:shd w:fill="auto" w:val="cle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right"/>
              <w:rPr/>
            </w:pPr>
            <w:r>
              <w:rPr/>
              <w:t> </w:t>
            </w:r>
          </w:p>
        </w:tc>
        <w:tc>
          <w:tcPr>
            <w:tcW w:w="211" w:type="dxa"/>
            <w:tcBorders/>
            <w:shd w:fill="auto" w:val="clear"/>
            <w:vAlign w:val="center"/>
          </w:tcPr>
          <w:p>
            <w:pPr>
              <w:pStyle w:val="TableContents"/>
              <w:spacing w:lineRule="auto" w:line="252" w:before="0" w:after="0"/>
              <w:ind w:left="0" w:right="0" w:hanging="0"/>
              <w:jc w:val="left"/>
              <w:rPr/>
            </w:pPr>
            <w:r>
              <w:rPr/>
              <w:t> </w:t>
            </w:r>
          </w:p>
        </w:tc>
        <w:tc>
          <w:tcPr>
            <w:tcW w:w="781" w:type="dxa"/>
            <w:tcBorders/>
            <w:shd w:fill="auto" w:val="clear"/>
            <w:vAlign w:val="center"/>
          </w:tcPr>
          <w:p>
            <w:pPr>
              <w:pStyle w:val="TableContents"/>
              <w:spacing w:lineRule="auto" w:line="252" w:before="0" w:after="0"/>
              <w:ind w:left="0" w:right="0" w:hanging="0"/>
              <w:jc w:val="right"/>
              <w:rPr>
                <w:rFonts w:ascii="Times New Roman" w:hAnsi="Times New Roman"/>
                <w:b w:val="false"/>
                <w:sz w:val="20"/>
              </w:rPr>
            </w:pPr>
            <w:r>
              <w:rPr>
                <w:rFonts w:ascii="Times New Roman" w:hAnsi="Times New Roman"/>
                <w:b w:val="false"/>
                <w:sz w:val="20"/>
              </w:rPr>
              <w:t>5</w:t>
            </w:r>
          </w:p>
        </w:tc>
        <w:tc>
          <w:tcPr>
            <w:tcW w:w="811" w:type="dxa"/>
            <w:tcBorders/>
            <w:shd w:fill="auto" w:val="clear"/>
            <w:vAlign w:val="center"/>
          </w:tcPr>
          <w:p>
            <w:pPr>
              <w:pStyle w:val="TableContents"/>
              <w:spacing w:lineRule="auto" w:line="252" w:before="0" w:after="0"/>
              <w:ind w:left="0" w:right="0" w:firstLine="200"/>
              <w:jc w:val="left"/>
              <w:rPr/>
            </w:pPr>
            <w:r>
              <w:rPr/>
              <w:t> </w:t>
            </w:r>
          </w:p>
        </w:tc>
      </w:tr>
      <w:tr>
        <w:trPr/>
        <w:tc>
          <w:tcPr>
            <w:tcW w:w="6031" w:type="dxa"/>
            <w:tcBorders/>
            <w:shd w:fill="auto" w:val="clear"/>
            <w:vAlign w:val="center"/>
          </w:tcPr>
          <w:p>
            <w:pPr>
              <w:pStyle w:val="TableContents"/>
              <w:spacing w:lineRule="auto" w:line="252" w:before="0" w:after="0"/>
              <w:ind w:left="200" w:right="0" w:hanging="0"/>
              <w:jc w:val="left"/>
              <w:rPr>
                <w:rFonts w:ascii="Times New Roman" w:hAnsi="Times New Roman"/>
                <w:b w:val="false"/>
                <w:sz w:val="20"/>
              </w:rPr>
            </w:pPr>
            <w:r>
              <w:rPr>
                <w:rFonts w:ascii="Times New Roman" w:hAnsi="Times New Roman"/>
                <w:b w:val="false"/>
                <w:sz w:val="20"/>
              </w:rPr>
              <w:t>Amortization of operating right-of-use assets</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211" w:type="dxa"/>
            <w:tcBorders/>
            <w:shd w:fill="auto" w:val="clear"/>
            <w:vAlign w:val="center"/>
          </w:tcPr>
          <w:p>
            <w:pPr>
              <w:pStyle w:val="TableContents"/>
              <w:spacing w:lineRule="auto" w:line="252" w:before="0" w:after="0"/>
              <w:ind w:left="0" w:right="0" w:hanging="0"/>
              <w:jc w:val="left"/>
              <w:rPr/>
            </w:pPr>
            <w:r>
              <w:rPr/>
              <w:t> </w:t>
            </w:r>
          </w:p>
        </w:tc>
        <w:tc>
          <w:tcPr>
            <w:tcW w:w="781" w:type="dxa"/>
            <w:tcBorders/>
            <w:shd w:fill="auto" w:val="clear"/>
            <w:vAlign w:val="center"/>
          </w:tcPr>
          <w:p>
            <w:pPr>
              <w:pStyle w:val="TableContents"/>
              <w:spacing w:lineRule="auto" w:line="252" w:before="0" w:after="0"/>
              <w:ind w:left="0" w:right="0" w:hanging="0"/>
              <w:jc w:val="right"/>
              <w:rPr>
                <w:rFonts w:ascii="Times New Roman" w:hAnsi="Times New Roman"/>
                <w:b w:val="false"/>
                <w:sz w:val="20"/>
              </w:rPr>
            </w:pPr>
            <w:r>
              <w:rPr>
                <w:rFonts w:ascii="Times New Roman" w:hAnsi="Times New Roman"/>
                <w:b w:val="false"/>
                <w:sz w:val="20"/>
              </w:rPr>
              <w:t>47</w:t>
            </w:r>
          </w:p>
        </w:tc>
        <w:tc>
          <w:tcPr>
            <w:tcW w:w="166" w:type="dxa"/>
            <w:tcBorders/>
            <w:shd w:fill="auto" w:val="cle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right"/>
              <w:rPr/>
            </w:pPr>
            <w:r>
              <w:rPr/>
              <w:t> </w:t>
            </w:r>
          </w:p>
        </w:tc>
        <w:tc>
          <w:tcPr>
            <w:tcW w:w="211" w:type="dxa"/>
            <w:tcBorders/>
            <w:shd w:fill="auto" w:val="clear"/>
            <w:vAlign w:val="center"/>
          </w:tcPr>
          <w:p>
            <w:pPr>
              <w:pStyle w:val="TableContents"/>
              <w:spacing w:lineRule="auto" w:line="252" w:before="0" w:after="0"/>
              <w:ind w:left="0" w:right="0" w:hanging="0"/>
              <w:jc w:val="left"/>
              <w:rPr/>
            </w:pPr>
            <w:r>
              <w:rPr/>
              <w:t> </w:t>
            </w:r>
          </w:p>
        </w:tc>
        <w:tc>
          <w:tcPr>
            <w:tcW w:w="781" w:type="dxa"/>
            <w:tcBorders/>
            <w:shd w:fill="auto" w:val="clear"/>
            <w:vAlign w:val="center"/>
          </w:tcPr>
          <w:p>
            <w:pPr>
              <w:pStyle w:val="TableContents"/>
              <w:spacing w:lineRule="auto" w:line="252" w:before="0" w:after="0"/>
              <w:ind w:left="0" w:right="0" w:hanging="0"/>
              <w:jc w:val="right"/>
              <w:rPr>
                <w:rFonts w:ascii="Times New Roman" w:hAnsi="Times New Roman"/>
                <w:b w:val="false"/>
                <w:sz w:val="20"/>
              </w:rPr>
            </w:pPr>
            <w:r>
              <w:rPr>
                <w:rFonts w:ascii="Times New Roman" w:hAnsi="Times New Roman"/>
                <w:b w:val="false"/>
                <w:sz w:val="20"/>
              </w:rPr>
              <w:t>44</w:t>
            </w:r>
          </w:p>
        </w:tc>
        <w:tc>
          <w:tcPr>
            <w:tcW w:w="811" w:type="dxa"/>
            <w:tcBorders/>
            <w:shd w:fill="auto" w:val="clear"/>
            <w:vAlign w:val="center"/>
          </w:tcPr>
          <w:p>
            <w:pPr>
              <w:pStyle w:val="TableContents"/>
              <w:spacing w:lineRule="auto" w:line="252" w:before="0" w:after="0"/>
              <w:ind w:left="0" w:right="0" w:firstLine="200"/>
              <w:jc w:val="left"/>
              <w:rPr/>
            </w:pPr>
            <w:r>
              <w:rPr/>
              <w:t> </w:t>
            </w:r>
          </w:p>
        </w:tc>
      </w:tr>
      <w:tr>
        <w:trPr/>
        <w:tc>
          <w:tcPr>
            <w:tcW w:w="6031" w:type="dxa"/>
            <w:tcBorders/>
            <w:shd w:fill="auto" w:val="clear"/>
            <w:vAlign w:val="center"/>
          </w:tcPr>
          <w:p>
            <w:pPr>
              <w:pStyle w:val="TableContents"/>
              <w:spacing w:lineRule="auto" w:line="252" w:before="0" w:after="0"/>
              <w:ind w:left="200" w:right="0" w:hanging="0"/>
              <w:jc w:val="left"/>
              <w:rPr>
                <w:rFonts w:ascii="Times New Roman" w:hAnsi="Times New Roman"/>
                <w:b w:val="false"/>
                <w:sz w:val="20"/>
              </w:rPr>
            </w:pPr>
            <w:r>
              <w:rPr>
                <w:rFonts w:ascii="Times New Roman" w:hAnsi="Times New Roman"/>
                <w:b w:val="false"/>
                <w:sz w:val="20"/>
              </w:rPr>
              <w:t>Non-cash interest expense</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211" w:type="dxa"/>
            <w:tcBorders/>
            <w:shd w:fill="auto" w:val="clear"/>
            <w:vAlign w:val="center"/>
          </w:tcPr>
          <w:p>
            <w:pPr>
              <w:pStyle w:val="TableContents"/>
              <w:spacing w:lineRule="auto" w:line="252" w:before="0" w:after="0"/>
              <w:ind w:left="0" w:right="0" w:hanging="0"/>
              <w:jc w:val="left"/>
              <w:rPr/>
            </w:pPr>
            <w:r>
              <w:rPr/>
              <w:t> </w:t>
            </w:r>
          </w:p>
        </w:tc>
        <w:tc>
          <w:tcPr>
            <w:tcW w:w="781" w:type="dxa"/>
            <w:tcBorders/>
            <w:shd w:fill="auto" w:val="clear"/>
            <w:vAlign w:val="center"/>
          </w:tcPr>
          <w:p>
            <w:pPr>
              <w:pStyle w:val="TableContents"/>
              <w:spacing w:lineRule="auto" w:line="252" w:before="0" w:after="0"/>
              <w:ind w:left="0" w:right="0" w:hanging="0"/>
              <w:jc w:val="right"/>
              <w:rPr/>
            </w:pPr>
            <w:r>
              <w:rPr/>
              <w:t>—</w:t>
            </w:r>
          </w:p>
        </w:tc>
        <w:tc>
          <w:tcPr>
            <w:tcW w:w="166" w:type="dxa"/>
            <w:tcBorders/>
            <w:shd w:fill="auto" w:val="cle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right"/>
              <w:rPr/>
            </w:pPr>
            <w:r>
              <w:rPr/>
              <w:t> </w:t>
            </w:r>
          </w:p>
        </w:tc>
        <w:tc>
          <w:tcPr>
            <w:tcW w:w="211" w:type="dxa"/>
            <w:tcBorders/>
            <w:shd w:fill="auto" w:val="clear"/>
            <w:vAlign w:val="center"/>
          </w:tcPr>
          <w:p>
            <w:pPr>
              <w:pStyle w:val="TableContents"/>
              <w:spacing w:lineRule="auto" w:line="252" w:before="0" w:after="0"/>
              <w:ind w:left="0" w:right="0" w:hanging="0"/>
              <w:jc w:val="left"/>
              <w:rPr/>
            </w:pPr>
            <w:r>
              <w:rPr/>
              <w:t> </w:t>
            </w:r>
          </w:p>
        </w:tc>
        <w:tc>
          <w:tcPr>
            <w:tcW w:w="781" w:type="dxa"/>
            <w:tcBorders/>
            <w:shd w:fill="auto" w:val="clear"/>
            <w:vAlign w:val="center"/>
          </w:tcPr>
          <w:p>
            <w:pPr>
              <w:pStyle w:val="TableContents"/>
              <w:spacing w:lineRule="auto" w:line="252" w:before="0" w:after="0"/>
              <w:ind w:left="0" w:right="0" w:hanging="0"/>
              <w:jc w:val="right"/>
              <w:rPr>
                <w:rFonts w:ascii="Times New Roman" w:hAnsi="Times New Roman"/>
                <w:b w:val="false"/>
                <w:sz w:val="20"/>
              </w:rPr>
            </w:pPr>
            <w:r>
              <w:rPr>
                <w:rFonts w:ascii="Times New Roman" w:hAnsi="Times New Roman"/>
                <w:b w:val="false"/>
                <w:sz w:val="20"/>
              </w:rPr>
              <w:t>7</w:t>
            </w:r>
          </w:p>
        </w:tc>
        <w:tc>
          <w:tcPr>
            <w:tcW w:w="811" w:type="dxa"/>
            <w:tcBorders/>
            <w:shd w:fill="auto" w:val="clear"/>
            <w:vAlign w:val="center"/>
          </w:tcPr>
          <w:p>
            <w:pPr>
              <w:pStyle w:val="TableContents"/>
              <w:spacing w:lineRule="auto" w:line="252" w:before="0" w:after="0"/>
              <w:ind w:left="0" w:right="0" w:firstLine="200"/>
              <w:jc w:val="left"/>
              <w:rPr/>
            </w:pPr>
            <w:r>
              <w:rPr/>
              <w:t> </w:t>
            </w:r>
          </w:p>
        </w:tc>
      </w:tr>
      <w:tr>
        <w:trPr/>
        <w:tc>
          <w:tcPr>
            <w:tcW w:w="6031" w:type="dxa"/>
            <w:tcBorders/>
            <w:shd w:fill="auto" w:val="clear"/>
            <w:vAlign w:val="center"/>
          </w:tcPr>
          <w:p>
            <w:pPr>
              <w:pStyle w:val="TableContents"/>
              <w:spacing w:lineRule="auto" w:line="252" w:before="0" w:after="0"/>
              <w:ind w:left="200" w:right="0" w:hanging="0"/>
              <w:jc w:val="left"/>
              <w:rPr>
                <w:rFonts w:ascii="Times New Roman" w:hAnsi="Times New Roman"/>
                <w:b w:val="false"/>
                <w:sz w:val="20"/>
              </w:rPr>
            </w:pPr>
            <w:r>
              <w:rPr>
                <w:rFonts w:ascii="Times New Roman" w:hAnsi="Times New Roman"/>
                <w:b w:val="false"/>
                <w:sz w:val="20"/>
              </w:rPr>
              <w:t>Changes in operating assets and liabilities:</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992" w:type="dxa"/>
            <w:gridSpan w:val="2"/>
            <w:tcBorders/>
            <w:shd w:fill="auto" w:val="clear"/>
            <w:vAlign w:val="center"/>
          </w:tcPr>
          <w:p>
            <w:pPr>
              <w:pStyle w:val="TableContents"/>
              <w:spacing w:lineRule="auto" w:line="252" w:before="0" w:after="0"/>
              <w:ind w:left="0" w:right="0" w:hanging="0"/>
              <w:jc w:val="right"/>
              <w:rPr/>
            </w:pPr>
            <w:r>
              <w:rPr/>
              <w:t> </w:t>
            </w:r>
          </w:p>
        </w:tc>
        <w:tc>
          <w:tcPr>
            <w:tcW w:w="166" w:type="dxa"/>
            <w:tcBorders/>
            <w:shd w:fill="auto" w:val="clear"/>
            <w:vAlign w:val="center"/>
          </w:tcPr>
          <w:p>
            <w:pPr>
              <w:pStyle w:val="TableContents"/>
              <w:spacing w:lineRule="auto" w:line="252" w:before="0" w:after="0"/>
              <w:ind w:left="0" w:right="0" w:hanging="0"/>
              <w:jc w:val="right"/>
              <w:rPr/>
            </w:pPr>
            <w:r>
              <w:rPr/>
              <w:t> </w:t>
            </w:r>
          </w:p>
        </w:tc>
        <w:tc>
          <w:tcPr>
            <w:tcW w:w="146" w:type="dxa"/>
            <w:tcBorders/>
            <w:shd w:fill="auto" w:val="clear"/>
            <w:vAlign w:val="center"/>
          </w:tcPr>
          <w:p>
            <w:pPr>
              <w:pStyle w:val="TableContents"/>
              <w:spacing w:lineRule="auto" w:line="252" w:before="0" w:after="0"/>
              <w:ind w:left="0" w:right="0" w:hanging="0"/>
              <w:jc w:val="right"/>
              <w:rPr/>
            </w:pPr>
            <w:r>
              <w:rPr/>
              <w:t> </w:t>
            </w:r>
          </w:p>
        </w:tc>
        <w:tc>
          <w:tcPr>
            <w:tcW w:w="992" w:type="dxa"/>
            <w:gridSpan w:val="2"/>
            <w:tcBorders/>
            <w:shd w:fill="auto" w:val="clear"/>
            <w:vAlign w:val="center"/>
          </w:tcPr>
          <w:p>
            <w:pPr>
              <w:pStyle w:val="TableContents"/>
              <w:spacing w:lineRule="auto" w:line="252" w:before="0" w:after="0"/>
              <w:ind w:left="0" w:right="0" w:hanging="0"/>
              <w:jc w:val="right"/>
              <w:rPr/>
            </w:pPr>
            <w:r>
              <w:rPr/>
              <w:t> </w:t>
            </w:r>
          </w:p>
        </w:tc>
        <w:tc>
          <w:tcPr>
            <w:tcW w:w="811" w:type="dxa"/>
            <w:tcBorders/>
            <w:shd w:fill="auto" w:val="clear"/>
            <w:vAlign w:val="center"/>
          </w:tcPr>
          <w:p>
            <w:pPr>
              <w:pStyle w:val="TableContents"/>
              <w:spacing w:lineRule="auto" w:line="252" w:before="0" w:after="0"/>
              <w:ind w:left="0" w:right="0" w:firstLine="400"/>
              <w:jc w:val="right"/>
              <w:rPr/>
            </w:pPr>
            <w:r>
              <w:rPr/>
              <w:t> </w:t>
            </w:r>
          </w:p>
        </w:tc>
      </w:tr>
      <w:tr>
        <w:trPr/>
        <w:tc>
          <w:tcPr>
            <w:tcW w:w="6031" w:type="dxa"/>
            <w:tcBorders/>
            <w:shd w:fill="auto" w:val="clear"/>
            <w:vAlign w:val="center"/>
          </w:tcPr>
          <w:p>
            <w:pPr>
              <w:pStyle w:val="TableContents"/>
              <w:spacing w:lineRule="auto" w:line="252" w:before="0" w:after="0"/>
              <w:ind w:left="400" w:right="0" w:hanging="0"/>
              <w:jc w:val="left"/>
              <w:rPr>
                <w:rFonts w:ascii="Times New Roman" w:hAnsi="Times New Roman"/>
                <w:b w:val="false"/>
                <w:sz w:val="20"/>
              </w:rPr>
            </w:pPr>
            <w:r>
              <w:rPr>
                <w:rFonts w:ascii="Times New Roman" w:hAnsi="Times New Roman"/>
                <w:b w:val="false"/>
                <w:sz w:val="20"/>
              </w:rPr>
              <w:t>Prepaid expenses and other current assets</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211" w:type="dxa"/>
            <w:tcBorders/>
            <w:shd w:fill="auto" w:val="clear"/>
            <w:vAlign w:val="center"/>
          </w:tcPr>
          <w:p>
            <w:pPr>
              <w:pStyle w:val="TableContents"/>
              <w:spacing w:lineRule="auto" w:line="252" w:before="0" w:after="0"/>
              <w:ind w:left="0" w:right="0" w:hanging="0"/>
              <w:jc w:val="left"/>
              <w:rPr/>
            </w:pPr>
            <w:r>
              <w:rPr/>
              <w:t> </w:t>
            </w:r>
          </w:p>
        </w:tc>
        <w:tc>
          <w:tcPr>
            <w:tcW w:w="781" w:type="dxa"/>
            <w:tcBorders/>
            <w:shd w:fill="auto" w:val="clear"/>
            <w:vAlign w:val="center"/>
          </w:tcPr>
          <w:p>
            <w:pPr>
              <w:pStyle w:val="TableContents"/>
              <w:spacing w:lineRule="auto" w:line="252" w:before="0" w:after="0"/>
              <w:ind w:left="0" w:right="0" w:hanging="0"/>
              <w:jc w:val="right"/>
              <w:rPr>
                <w:rFonts w:ascii="Times New Roman" w:hAnsi="Times New Roman"/>
                <w:b w:val="false"/>
                <w:sz w:val="20"/>
              </w:rPr>
            </w:pPr>
            <w:r>
              <w:rPr>
                <w:rFonts w:ascii="Times New Roman" w:hAnsi="Times New Roman"/>
                <w:b w:val="false"/>
                <w:sz w:val="20"/>
              </w:rPr>
              <w:t>422</w:t>
            </w:r>
          </w:p>
        </w:tc>
        <w:tc>
          <w:tcPr>
            <w:tcW w:w="166" w:type="dxa"/>
            <w:tcBorders/>
            <w:shd w:fill="auto" w:val="cle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right"/>
              <w:rPr/>
            </w:pPr>
            <w:r>
              <w:rPr/>
              <w:t> </w:t>
            </w:r>
          </w:p>
        </w:tc>
        <w:tc>
          <w:tcPr>
            <w:tcW w:w="211" w:type="dxa"/>
            <w:tcBorders/>
            <w:shd w:fill="auto" w:val="clear"/>
            <w:vAlign w:val="center"/>
          </w:tcPr>
          <w:p>
            <w:pPr>
              <w:pStyle w:val="TableContents"/>
              <w:spacing w:lineRule="auto" w:line="252" w:before="0" w:after="0"/>
              <w:ind w:left="0" w:right="0" w:hanging="0"/>
              <w:jc w:val="left"/>
              <w:rPr/>
            </w:pPr>
            <w:r>
              <w:rPr/>
              <w:t> </w:t>
            </w:r>
          </w:p>
        </w:tc>
        <w:tc>
          <w:tcPr>
            <w:tcW w:w="781" w:type="dxa"/>
            <w:tcBorders/>
            <w:shd w:fill="auto" w:val="clear"/>
            <w:vAlign w:val="center"/>
          </w:tcPr>
          <w:p>
            <w:pPr>
              <w:pStyle w:val="TableContents"/>
              <w:spacing w:lineRule="auto" w:line="252" w:before="0" w:after="0"/>
              <w:ind w:left="0" w:right="0" w:hanging="0"/>
              <w:jc w:val="right"/>
              <w:rPr>
                <w:rFonts w:ascii="Times New Roman" w:hAnsi="Times New Roman"/>
                <w:b w:val="false"/>
                <w:sz w:val="20"/>
              </w:rPr>
            </w:pPr>
            <w:r>
              <w:rPr>
                <w:rFonts w:ascii="Times New Roman" w:hAnsi="Times New Roman"/>
                <w:b w:val="false"/>
                <w:sz w:val="20"/>
              </w:rPr>
              <w:t>(2,542</w:t>
            </w:r>
          </w:p>
        </w:tc>
        <w:tc>
          <w:tcPr>
            <w:tcW w:w="811" w:type="dxa"/>
            <w:tcBorders/>
            <w:shd w:fill="auto" w:val="clear"/>
            <w:vAlign w:val="center"/>
          </w:tcPr>
          <w:p>
            <w:pPr>
              <w:pStyle w:val="TableContents"/>
              <w:spacing w:lineRule="auto" w:line="252" w:before="0" w:after="0"/>
              <w:ind w:left="0" w:right="0" w:firstLine="400"/>
              <w:jc w:val="left"/>
              <w:rPr>
                <w:rFonts w:ascii="Times New Roman" w:hAnsi="Times New Roman"/>
                <w:b w:val="false"/>
                <w:sz w:val="20"/>
              </w:rPr>
            </w:pPr>
            <w:r>
              <w:rPr>
                <w:rFonts w:ascii="Times New Roman" w:hAnsi="Times New Roman"/>
                <w:b w:val="false"/>
                <w:sz w:val="20"/>
              </w:rPr>
              <w:t>)</w:t>
            </w:r>
          </w:p>
        </w:tc>
      </w:tr>
      <w:tr>
        <w:trPr/>
        <w:tc>
          <w:tcPr>
            <w:tcW w:w="6031" w:type="dxa"/>
            <w:tcBorders/>
            <w:shd w:fill="auto" w:val="clear"/>
            <w:vAlign w:val="center"/>
          </w:tcPr>
          <w:p>
            <w:pPr>
              <w:pStyle w:val="TableContents"/>
              <w:spacing w:lineRule="auto" w:line="252" w:before="0" w:after="0"/>
              <w:ind w:left="400" w:right="0" w:hanging="0"/>
              <w:jc w:val="left"/>
              <w:rPr>
                <w:rFonts w:ascii="Times New Roman" w:hAnsi="Times New Roman"/>
                <w:b w:val="false"/>
                <w:sz w:val="20"/>
              </w:rPr>
            </w:pPr>
            <w:r>
              <w:rPr>
                <w:rFonts w:ascii="Times New Roman" w:hAnsi="Times New Roman"/>
                <w:b w:val="false"/>
                <w:sz w:val="20"/>
              </w:rPr>
              <w:t>Deposits and other long-term assets</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211" w:type="dxa"/>
            <w:tcBorders/>
            <w:shd w:fill="auto" w:val="clear"/>
            <w:vAlign w:val="center"/>
          </w:tcPr>
          <w:p>
            <w:pPr>
              <w:pStyle w:val="TableContents"/>
              <w:spacing w:lineRule="auto" w:line="252" w:before="0" w:after="0"/>
              <w:ind w:left="0" w:right="0" w:hanging="0"/>
              <w:jc w:val="left"/>
              <w:rPr/>
            </w:pPr>
            <w:r>
              <w:rPr/>
              <w:t> </w:t>
            </w:r>
          </w:p>
        </w:tc>
        <w:tc>
          <w:tcPr>
            <w:tcW w:w="781" w:type="dxa"/>
            <w:tcBorders/>
            <w:shd w:fill="auto" w:val="clear"/>
            <w:vAlign w:val="center"/>
          </w:tcPr>
          <w:p>
            <w:pPr>
              <w:pStyle w:val="TableContents"/>
              <w:spacing w:lineRule="auto" w:line="252" w:before="0" w:after="0"/>
              <w:ind w:left="0" w:right="0" w:hanging="0"/>
              <w:jc w:val="right"/>
              <w:rPr>
                <w:rFonts w:ascii="Times New Roman" w:hAnsi="Times New Roman"/>
                <w:b w:val="false"/>
                <w:sz w:val="20"/>
              </w:rPr>
            </w:pPr>
            <w:r>
              <w:rPr>
                <w:rFonts w:ascii="Times New Roman" w:hAnsi="Times New Roman"/>
                <w:b w:val="false"/>
                <w:sz w:val="20"/>
              </w:rPr>
              <w:t>4</w:t>
            </w:r>
          </w:p>
        </w:tc>
        <w:tc>
          <w:tcPr>
            <w:tcW w:w="166" w:type="dxa"/>
            <w:tcBorders/>
            <w:shd w:fill="auto" w:val="cle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right"/>
              <w:rPr/>
            </w:pPr>
            <w:r>
              <w:rPr/>
              <w:t> </w:t>
            </w:r>
          </w:p>
        </w:tc>
        <w:tc>
          <w:tcPr>
            <w:tcW w:w="211" w:type="dxa"/>
            <w:tcBorders/>
            <w:shd w:fill="auto" w:val="clear"/>
            <w:vAlign w:val="center"/>
          </w:tcPr>
          <w:p>
            <w:pPr>
              <w:pStyle w:val="TableContents"/>
              <w:spacing w:lineRule="auto" w:line="252" w:before="0" w:after="0"/>
              <w:ind w:left="0" w:right="0" w:hanging="0"/>
              <w:jc w:val="left"/>
              <w:rPr/>
            </w:pPr>
            <w:r>
              <w:rPr/>
              <w:t> </w:t>
            </w:r>
          </w:p>
        </w:tc>
        <w:tc>
          <w:tcPr>
            <w:tcW w:w="781" w:type="dxa"/>
            <w:tcBorders/>
            <w:shd w:fill="auto" w:val="clear"/>
            <w:vAlign w:val="center"/>
          </w:tcPr>
          <w:p>
            <w:pPr>
              <w:pStyle w:val="TableContents"/>
              <w:spacing w:lineRule="auto" w:line="252" w:before="0" w:after="0"/>
              <w:ind w:left="0" w:right="0" w:hanging="0"/>
              <w:jc w:val="right"/>
              <w:rPr>
                <w:rFonts w:ascii="Times New Roman" w:hAnsi="Times New Roman"/>
                <w:b w:val="false"/>
                <w:sz w:val="20"/>
              </w:rPr>
            </w:pPr>
            <w:r>
              <w:rPr>
                <w:rFonts w:ascii="Times New Roman" w:hAnsi="Times New Roman"/>
                <w:b w:val="false"/>
                <w:sz w:val="20"/>
              </w:rPr>
              <w:t>(26</w:t>
            </w:r>
          </w:p>
        </w:tc>
        <w:tc>
          <w:tcPr>
            <w:tcW w:w="811" w:type="dxa"/>
            <w:tcBorders/>
            <w:shd w:fill="auto" w:val="clear"/>
            <w:vAlign w:val="center"/>
          </w:tcPr>
          <w:p>
            <w:pPr>
              <w:pStyle w:val="TableContents"/>
              <w:spacing w:lineRule="auto" w:line="252" w:before="0" w:after="0"/>
              <w:ind w:left="0" w:right="0" w:firstLine="400"/>
              <w:jc w:val="left"/>
              <w:rPr>
                <w:rFonts w:ascii="Times New Roman" w:hAnsi="Times New Roman"/>
                <w:b w:val="false"/>
                <w:sz w:val="20"/>
              </w:rPr>
            </w:pPr>
            <w:r>
              <w:rPr>
                <w:rFonts w:ascii="Times New Roman" w:hAnsi="Times New Roman"/>
                <w:b w:val="false"/>
                <w:sz w:val="20"/>
              </w:rPr>
              <w:t>)</w:t>
            </w:r>
          </w:p>
        </w:tc>
      </w:tr>
      <w:tr>
        <w:trPr/>
        <w:tc>
          <w:tcPr>
            <w:tcW w:w="6031" w:type="dxa"/>
            <w:tcBorders/>
            <w:shd w:fill="auto" w:val="clear"/>
            <w:vAlign w:val="center"/>
          </w:tcPr>
          <w:p>
            <w:pPr>
              <w:pStyle w:val="TableContents"/>
              <w:spacing w:lineRule="auto" w:line="252" w:before="0" w:after="0"/>
              <w:ind w:left="400" w:right="0" w:hanging="0"/>
              <w:jc w:val="left"/>
              <w:rPr>
                <w:rFonts w:ascii="Times New Roman" w:hAnsi="Times New Roman"/>
                <w:b w:val="false"/>
                <w:sz w:val="20"/>
              </w:rPr>
            </w:pPr>
            <w:r>
              <w:rPr>
                <w:rFonts w:ascii="Times New Roman" w:hAnsi="Times New Roman"/>
                <w:b w:val="false"/>
                <w:sz w:val="20"/>
              </w:rPr>
              <w:t>Accounts payable</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211" w:type="dxa"/>
            <w:tcBorders/>
            <w:shd w:fill="auto" w:val="clear"/>
            <w:vAlign w:val="center"/>
          </w:tcPr>
          <w:p>
            <w:pPr>
              <w:pStyle w:val="TableContents"/>
              <w:spacing w:lineRule="auto" w:line="252" w:before="0" w:after="0"/>
              <w:ind w:left="0" w:right="0" w:hanging="0"/>
              <w:jc w:val="left"/>
              <w:rPr/>
            </w:pPr>
            <w:r>
              <w:rPr/>
              <w:t> </w:t>
            </w:r>
          </w:p>
        </w:tc>
        <w:tc>
          <w:tcPr>
            <w:tcW w:w="781" w:type="dxa"/>
            <w:tcBorders/>
            <w:shd w:fill="auto" w:val="clear"/>
            <w:vAlign w:val="center"/>
          </w:tcPr>
          <w:p>
            <w:pPr>
              <w:pStyle w:val="TableContents"/>
              <w:spacing w:lineRule="auto" w:line="252" w:before="0" w:after="0"/>
              <w:ind w:left="0" w:right="0" w:hanging="0"/>
              <w:jc w:val="right"/>
              <w:rPr>
                <w:rFonts w:ascii="Times New Roman" w:hAnsi="Times New Roman"/>
                <w:b w:val="false"/>
                <w:sz w:val="20"/>
              </w:rPr>
            </w:pPr>
            <w:r>
              <w:rPr>
                <w:rFonts w:ascii="Times New Roman" w:hAnsi="Times New Roman"/>
                <w:b w:val="false"/>
                <w:sz w:val="20"/>
              </w:rPr>
              <w:t>(1,043</w:t>
            </w:r>
          </w:p>
        </w:tc>
        <w:tc>
          <w:tcPr>
            <w:tcW w:w="166" w:type="dxa"/>
            <w:tcBorders/>
            <w:shd w:fill="auto" w:val="clear"/>
            <w:vAlign w:val="center"/>
          </w:tcPr>
          <w:p>
            <w:pPr>
              <w:pStyle w:val="TableContents"/>
              <w:spacing w:lineRule="auto" w:line="252" w:before="0" w:after="0"/>
              <w:ind w:left="0" w:right="0" w:hanging="0"/>
              <w:jc w:val="left"/>
              <w:rPr>
                <w:rFonts w:ascii="Times New Roman" w:hAnsi="Times New Roman"/>
                <w:b w:val="false"/>
                <w:sz w:val="20"/>
              </w:rPr>
            </w:pPr>
            <w:r>
              <w:rPr>
                <w:rFonts w:ascii="Times New Roman" w:hAnsi="Times New Roman"/>
                <w:b w:val="false"/>
                <w:sz w:val="20"/>
              </w:rPr>
              <w:t>)</w:t>
            </w:r>
          </w:p>
        </w:tc>
        <w:tc>
          <w:tcPr>
            <w:tcW w:w="146" w:type="dxa"/>
            <w:tcBorders/>
            <w:shd w:fill="auto" w:val="clear"/>
            <w:vAlign w:val="center"/>
          </w:tcPr>
          <w:p>
            <w:pPr>
              <w:pStyle w:val="TableContents"/>
              <w:spacing w:lineRule="auto" w:line="252" w:before="0" w:after="0"/>
              <w:ind w:left="0" w:right="0" w:hanging="0"/>
              <w:jc w:val="right"/>
              <w:rPr/>
            </w:pPr>
            <w:r>
              <w:rPr/>
              <w:t> </w:t>
            </w:r>
          </w:p>
        </w:tc>
        <w:tc>
          <w:tcPr>
            <w:tcW w:w="211" w:type="dxa"/>
            <w:tcBorders/>
            <w:shd w:fill="auto" w:val="clear"/>
            <w:vAlign w:val="center"/>
          </w:tcPr>
          <w:p>
            <w:pPr>
              <w:pStyle w:val="TableContents"/>
              <w:spacing w:lineRule="auto" w:line="252" w:before="0" w:after="0"/>
              <w:ind w:left="0" w:right="0" w:hanging="0"/>
              <w:jc w:val="left"/>
              <w:rPr/>
            </w:pPr>
            <w:r>
              <w:rPr/>
              <w:t> </w:t>
            </w:r>
          </w:p>
        </w:tc>
        <w:tc>
          <w:tcPr>
            <w:tcW w:w="781" w:type="dxa"/>
            <w:tcBorders/>
            <w:shd w:fill="auto" w:val="clear"/>
            <w:vAlign w:val="center"/>
          </w:tcPr>
          <w:p>
            <w:pPr>
              <w:pStyle w:val="TableContents"/>
              <w:spacing w:lineRule="auto" w:line="252" w:before="0" w:after="0"/>
              <w:ind w:left="0" w:right="0" w:hanging="0"/>
              <w:jc w:val="right"/>
              <w:rPr>
                <w:rFonts w:ascii="Times New Roman" w:hAnsi="Times New Roman"/>
                <w:b w:val="false"/>
                <w:sz w:val="20"/>
              </w:rPr>
            </w:pPr>
            <w:r>
              <w:rPr>
                <w:rFonts w:ascii="Times New Roman" w:hAnsi="Times New Roman"/>
                <w:b w:val="false"/>
                <w:sz w:val="20"/>
              </w:rPr>
              <w:t>484</w:t>
            </w:r>
          </w:p>
        </w:tc>
        <w:tc>
          <w:tcPr>
            <w:tcW w:w="811" w:type="dxa"/>
            <w:tcBorders/>
            <w:shd w:fill="auto" w:val="clear"/>
            <w:vAlign w:val="center"/>
          </w:tcPr>
          <w:p>
            <w:pPr>
              <w:pStyle w:val="TableContents"/>
              <w:spacing w:lineRule="auto" w:line="252" w:before="0" w:after="0"/>
              <w:ind w:left="0" w:right="0" w:firstLine="400"/>
              <w:jc w:val="left"/>
              <w:rPr/>
            </w:pPr>
            <w:r>
              <w:rPr/>
              <w:t> </w:t>
            </w:r>
          </w:p>
        </w:tc>
      </w:tr>
      <w:tr>
        <w:trPr/>
        <w:tc>
          <w:tcPr>
            <w:tcW w:w="6031" w:type="dxa"/>
            <w:tcBorders/>
            <w:shd w:fill="auto" w:val="clear"/>
            <w:vAlign w:val="center"/>
          </w:tcPr>
          <w:p>
            <w:pPr>
              <w:pStyle w:val="TableContents"/>
              <w:spacing w:lineRule="auto" w:line="252" w:before="0" w:after="0"/>
              <w:ind w:left="400" w:right="0" w:hanging="0"/>
              <w:jc w:val="left"/>
              <w:rPr>
                <w:rFonts w:ascii="Times New Roman" w:hAnsi="Times New Roman"/>
                <w:b w:val="false"/>
                <w:sz w:val="20"/>
              </w:rPr>
            </w:pPr>
            <w:r>
              <w:rPr>
                <w:rFonts w:ascii="Times New Roman" w:hAnsi="Times New Roman"/>
                <w:b w:val="false"/>
                <w:sz w:val="20"/>
              </w:rPr>
              <w:t>Accrued expenses and other current liabilities</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211" w:type="dxa"/>
            <w:tcBorders/>
            <w:shd w:fill="auto" w:val="clear"/>
            <w:vAlign w:val="center"/>
          </w:tcPr>
          <w:p>
            <w:pPr>
              <w:pStyle w:val="TableContents"/>
              <w:spacing w:lineRule="auto" w:line="252" w:before="0" w:after="0"/>
              <w:ind w:left="0" w:right="0" w:hanging="0"/>
              <w:jc w:val="left"/>
              <w:rPr/>
            </w:pPr>
            <w:r>
              <w:rPr/>
              <w:t> </w:t>
            </w:r>
          </w:p>
        </w:tc>
        <w:tc>
          <w:tcPr>
            <w:tcW w:w="781" w:type="dxa"/>
            <w:tcBorders/>
            <w:shd w:fill="auto" w:val="clear"/>
            <w:vAlign w:val="center"/>
          </w:tcPr>
          <w:p>
            <w:pPr>
              <w:pStyle w:val="TableContents"/>
              <w:spacing w:lineRule="auto" w:line="252" w:before="0" w:after="0"/>
              <w:ind w:left="0" w:right="0" w:hanging="0"/>
              <w:jc w:val="right"/>
              <w:rPr>
                <w:rFonts w:ascii="Times New Roman" w:hAnsi="Times New Roman"/>
                <w:b w:val="false"/>
                <w:sz w:val="20"/>
              </w:rPr>
            </w:pPr>
            <w:r>
              <w:rPr>
                <w:rFonts w:ascii="Times New Roman" w:hAnsi="Times New Roman"/>
                <w:b w:val="false"/>
                <w:sz w:val="20"/>
              </w:rPr>
              <w:t>595</w:t>
            </w:r>
          </w:p>
        </w:tc>
        <w:tc>
          <w:tcPr>
            <w:tcW w:w="166" w:type="dxa"/>
            <w:tcBorders/>
            <w:shd w:fill="auto" w:val="cle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right"/>
              <w:rPr/>
            </w:pPr>
            <w:r>
              <w:rPr/>
              <w:t> </w:t>
            </w:r>
          </w:p>
        </w:tc>
        <w:tc>
          <w:tcPr>
            <w:tcW w:w="211" w:type="dxa"/>
            <w:tcBorders/>
            <w:shd w:fill="auto" w:val="clear"/>
            <w:vAlign w:val="center"/>
          </w:tcPr>
          <w:p>
            <w:pPr>
              <w:pStyle w:val="TableContents"/>
              <w:spacing w:lineRule="auto" w:line="252" w:before="0" w:after="0"/>
              <w:ind w:left="0" w:right="0" w:hanging="0"/>
              <w:jc w:val="left"/>
              <w:rPr/>
            </w:pPr>
            <w:r>
              <w:rPr/>
              <w:t> </w:t>
            </w:r>
          </w:p>
        </w:tc>
        <w:tc>
          <w:tcPr>
            <w:tcW w:w="781" w:type="dxa"/>
            <w:tcBorders/>
            <w:shd w:fill="auto" w:val="clear"/>
            <w:vAlign w:val="center"/>
          </w:tcPr>
          <w:p>
            <w:pPr>
              <w:pStyle w:val="TableContents"/>
              <w:spacing w:lineRule="auto" w:line="252" w:before="0" w:after="0"/>
              <w:ind w:left="0" w:right="0" w:hanging="0"/>
              <w:jc w:val="right"/>
              <w:rPr>
                <w:rFonts w:ascii="Times New Roman" w:hAnsi="Times New Roman"/>
                <w:b w:val="false"/>
                <w:sz w:val="20"/>
              </w:rPr>
            </w:pPr>
            <w:r>
              <w:rPr>
                <w:rFonts w:ascii="Times New Roman" w:hAnsi="Times New Roman"/>
                <w:b w:val="false"/>
                <w:sz w:val="20"/>
              </w:rPr>
              <w:t>(101</w:t>
            </w:r>
          </w:p>
        </w:tc>
        <w:tc>
          <w:tcPr>
            <w:tcW w:w="811" w:type="dxa"/>
            <w:tcBorders/>
            <w:shd w:fill="auto" w:val="clear"/>
            <w:vAlign w:val="center"/>
          </w:tcPr>
          <w:p>
            <w:pPr>
              <w:pStyle w:val="TableContents"/>
              <w:spacing w:lineRule="auto" w:line="252" w:before="0" w:after="0"/>
              <w:ind w:left="0" w:right="0" w:firstLine="400"/>
              <w:jc w:val="left"/>
              <w:rPr>
                <w:rFonts w:ascii="Times New Roman" w:hAnsi="Times New Roman"/>
                <w:b w:val="false"/>
                <w:sz w:val="20"/>
              </w:rPr>
            </w:pPr>
            <w:r>
              <w:rPr>
                <w:rFonts w:ascii="Times New Roman" w:hAnsi="Times New Roman"/>
                <w:b w:val="false"/>
                <w:sz w:val="20"/>
              </w:rPr>
              <w:t>)</w:t>
            </w:r>
          </w:p>
        </w:tc>
      </w:tr>
      <w:tr>
        <w:trPr/>
        <w:tc>
          <w:tcPr>
            <w:tcW w:w="6031" w:type="dxa"/>
            <w:tcBorders/>
            <w:shd w:fill="auto" w:val="clear"/>
            <w:vAlign w:val="center"/>
          </w:tcPr>
          <w:p>
            <w:pPr>
              <w:pStyle w:val="TableContents"/>
              <w:spacing w:lineRule="auto" w:line="252" w:before="0" w:after="0"/>
              <w:ind w:left="400" w:right="0" w:hanging="0"/>
              <w:jc w:val="left"/>
              <w:rPr>
                <w:rFonts w:ascii="Times New Roman" w:hAnsi="Times New Roman"/>
                <w:b w:val="false"/>
                <w:sz w:val="20"/>
              </w:rPr>
            </w:pPr>
            <w:r>
              <w:rPr>
                <w:rFonts w:ascii="Times New Roman" w:hAnsi="Times New Roman"/>
                <w:b w:val="false"/>
                <w:sz w:val="20"/>
              </w:rPr>
              <w:t>Operating lease liabilities</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211"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c>
          <w:tcPr>
            <w:tcW w:w="781"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right"/>
              <w:rPr>
                <w:rFonts w:ascii="Times New Roman" w:hAnsi="Times New Roman"/>
                <w:b w:val="false"/>
                <w:sz w:val="20"/>
              </w:rPr>
            </w:pPr>
            <w:r>
              <w:rPr>
                <w:rFonts w:ascii="Times New Roman" w:hAnsi="Times New Roman"/>
                <w:b w:val="false"/>
                <w:sz w:val="20"/>
              </w:rPr>
              <w:t>(49</w:t>
            </w:r>
          </w:p>
        </w:tc>
        <w:tc>
          <w:tcPr>
            <w:tcW w:w="166"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rFonts w:ascii="Times New Roman" w:hAnsi="Times New Roman"/>
                <w:b w:val="false"/>
                <w:sz w:val="20"/>
              </w:rPr>
            </w:pPr>
            <w:r>
              <w:rPr>
                <w:rFonts w:ascii="Times New Roman" w:hAnsi="Times New Roman"/>
                <w:b w:val="false"/>
                <w:sz w:val="20"/>
              </w:rPr>
              <w:t>)</w:t>
            </w:r>
          </w:p>
        </w:tc>
        <w:tc>
          <w:tcPr>
            <w:tcW w:w="146" w:type="dxa"/>
            <w:tcBorders/>
            <w:shd w:fill="auto" w:val="clear"/>
            <w:vAlign w:val="center"/>
          </w:tcPr>
          <w:p>
            <w:pPr>
              <w:pStyle w:val="TableContents"/>
              <w:spacing w:lineRule="auto" w:line="252" w:before="0" w:after="0"/>
              <w:ind w:left="0" w:right="0" w:hanging="0"/>
              <w:jc w:val="right"/>
              <w:rPr/>
            </w:pPr>
            <w:r>
              <w:rPr/>
              <w:t> </w:t>
            </w:r>
          </w:p>
        </w:tc>
        <w:tc>
          <w:tcPr>
            <w:tcW w:w="211"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c>
          <w:tcPr>
            <w:tcW w:w="781"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right"/>
              <w:rPr>
                <w:rFonts w:ascii="Times New Roman" w:hAnsi="Times New Roman"/>
                <w:b w:val="false"/>
                <w:sz w:val="20"/>
              </w:rPr>
            </w:pPr>
            <w:r>
              <w:rPr>
                <w:rFonts w:ascii="Times New Roman" w:hAnsi="Times New Roman"/>
                <w:b w:val="false"/>
                <w:sz w:val="20"/>
              </w:rPr>
              <w:t>(51</w:t>
            </w:r>
          </w:p>
        </w:tc>
        <w:tc>
          <w:tcPr>
            <w:tcW w:w="811"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firstLine="600"/>
              <w:jc w:val="left"/>
              <w:rPr>
                <w:rFonts w:ascii="Times New Roman" w:hAnsi="Times New Roman"/>
                <w:b w:val="false"/>
                <w:sz w:val="20"/>
              </w:rPr>
            </w:pPr>
            <w:r>
              <w:rPr>
                <w:rFonts w:ascii="Times New Roman" w:hAnsi="Times New Roman"/>
                <w:b w:val="false"/>
                <w:sz w:val="20"/>
              </w:rPr>
              <w:t>)</w:t>
            </w:r>
          </w:p>
        </w:tc>
      </w:tr>
      <w:tr>
        <w:trPr/>
        <w:tc>
          <w:tcPr>
            <w:tcW w:w="6031" w:type="dxa"/>
            <w:tcBorders/>
            <w:shd w:fill="auto" w:val="clear"/>
            <w:vAlign w:val="center"/>
          </w:tcPr>
          <w:p>
            <w:pPr>
              <w:pStyle w:val="TableContents"/>
              <w:spacing w:lineRule="auto" w:line="252" w:before="0" w:after="0"/>
              <w:ind w:left="600" w:right="0" w:hanging="0"/>
              <w:jc w:val="left"/>
              <w:rPr>
                <w:rFonts w:ascii="Times New Roman" w:hAnsi="Times New Roman"/>
                <w:b w:val="false"/>
                <w:sz w:val="20"/>
              </w:rPr>
            </w:pPr>
            <w:r>
              <w:rPr>
                <w:rFonts w:ascii="Times New Roman" w:hAnsi="Times New Roman"/>
                <w:b w:val="false"/>
                <w:sz w:val="20"/>
              </w:rPr>
              <w:t>Net cash used in operating activities</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211" w:type="dxa"/>
            <w:tcBorders/>
            <w:shd w:fill="auto" w:val="clear"/>
            <w:vAlign w:val="center"/>
          </w:tcPr>
          <w:p>
            <w:pPr>
              <w:pStyle w:val="TableContents"/>
              <w:spacing w:lineRule="auto" w:line="252" w:before="0" w:after="0"/>
              <w:ind w:left="0" w:right="0" w:hanging="0"/>
              <w:jc w:val="left"/>
              <w:rPr/>
            </w:pPr>
            <w:r>
              <w:rPr/>
              <w:t> </w:t>
            </w:r>
          </w:p>
        </w:tc>
        <w:tc>
          <w:tcPr>
            <w:tcW w:w="781" w:type="dxa"/>
            <w:tcBorders/>
            <w:shd w:fill="auto" w:val="clear"/>
            <w:vAlign w:val="center"/>
          </w:tcPr>
          <w:p>
            <w:pPr>
              <w:pStyle w:val="TableContents"/>
              <w:spacing w:lineRule="auto" w:line="252" w:before="0" w:after="0"/>
              <w:ind w:left="0" w:right="0" w:hanging="0"/>
              <w:jc w:val="right"/>
              <w:rPr>
                <w:rFonts w:ascii="Times New Roman" w:hAnsi="Times New Roman"/>
                <w:b w:val="false"/>
                <w:sz w:val="20"/>
              </w:rPr>
            </w:pPr>
            <w:r>
              <w:rPr>
                <w:rFonts w:ascii="Times New Roman" w:hAnsi="Times New Roman"/>
                <w:b w:val="false"/>
                <w:sz w:val="20"/>
              </w:rPr>
              <w:t>(21,563</w:t>
            </w:r>
          </w:p>
        </w:tc>
        <w:tc>
          <w:tcPr>
            <w:tcW w:w="166" w:type="dxa"/>
            <w:tcBorders/>
            <w:shd w:fill="auto" w:val="clear"/>
            <w:vAlign w:val="center"/>
          </w:tcPr>
          <w:p>
            <w:pPr>
              <w:pStyle w:val="TableContents"/>
              <w:spacing w:lineRule="auto" w:line="252" w:before="0" w:after="0"/>
              <w:ind w:left="0" w:right="0" w:hanging="0"/>
              <w:jc w:val="left"/>
              <w:rPr>
                <w:rFonts w:ascii="Times New Roman" w:hAnsi="Times New Roman"/>
                <w:b w:val="false"/>
                <w:sz w:val="20"/>
              </w:rPr>
            </w:pPr>
            <w:r>
              <w:rPr>
                <w:rFonts w:ascii="Times New Roman" w:hAnsi="Times New Roman"/>
                <w:b w:val="false"/>
                <w:sz w:val="20"/>
              </w:rPr>
              <w:t>)</w:t>
            </w:r>
          </w:p>
        </w:tc>
        <w:tc>
          <w:tcPr>
            <w:tcW w:w="146" w:type="dxa"/>
            <w:tcBorders/>
            <w:shd w:fill="auto" w:val="clear"/>
            <w:vAlign w:val="center"/>
          </w:tcPr>
          <w:p>
            <w:pPr>
              <w:pStyle w:val="TableContents"/>
              <w:spacing w:lineRule="auto" w:line="252" w:before="0" w:after="0"/>
              <w:ind w:left="0" w:right="0" w:hanging="0"/>
              <w:jc w:val="right"/>
              <w:rPr/>
            </w:pPr>
            <w:r>
              <w:rPr/>
              <w:t> </w:t>
            </w:r>
          </w:p>
        </w:tc>
        <w:tc>
          <w:tcPr>
            <w:tcW w:w="211" w:type="dxa"/>
            <w:tcBorders/>
            <w:shd w:fill="auto" w:val="clear"/>
            <w:vAlign w:val="center"/>
          </w:tcPr>
          <w:p>
            <w:pPr>
              <w:pStyle w:val="TableContents"/>
              <w:spacing w:lineRule="auto" w:line="252" w:before="0" w:after="0"/>
              <w:ind w:left="0" w:right="0" w:hanging="0"/>
              <w:jc w:val="left"/>
              <w:rPr/>
            </w:pPr>
            <w:r>
              <w:rPr/>
              <w:t> </w:t>
            </w:r>
          </w:p>
        </w:tc>
        <w:tc>
          <w:tcPr>
            <w:tcW w:w="781" w:type="dxa"/>
            <w:tcBorders/>
            <w:shd w:fill="auto" w:val="clear"/>
            <w:vAlign w:val="center"/>
          </w:tcPr>
          <w:p>
            <w:pPr>
              <w:pStyle w:val="TableContents"/>
              <w:spacing w:lineRule="auto" w:line="252" w:before="0" w:after="0"/>
              <w:ind w:left="0" w:right="0" w:hanging="0"/>
              <w:jc w:val="right"/>
              <w:rPr>
                <w:rFonts w:ascii="Times New Roman" w:hAnsi="Times New Roman"/>
                <w:b w:val="false"/>
                <w:sz w:val="20"/>
              </w:rPr>
            </w:pPr>
            <w:r>
              <w:rPr>
                <w:rFonts w:ascii="Times New Roman" w:hAnsi="Times New Roman"/>
                <w:b w:val="false"/>
                <w:sz w:val="20"/>
              </w:rPr>
              <w:t>(9,743</w:t>
            </w:r>
          </w:p>
        </w:tc>
        <w:tc>
          <w:tcPr>
            <w:tcW w:w="811" w:type="dxa"/>
            <w:tcBorders/>
            <w:shd w:fill="auto" w:val="clear"/>
            <w:vAlign w:val="center"/>
          </w:tcPr>
          <w:p>
            <w:pPr>
              <w:pStyle w:val="TableContents"/>
              <w:spacing w:lineRule="auto" w:line="252" w:before="0" w:after="0"/>
              <w:ind w:left="0" w:right="0" w:hanging="0"/>
              <w:jc w:val="left"/>
              <w:rPr>
                <w:rFonts w:ascii="Times New Roman" w:hAnsi="Times New Roman"/>
                <w:b w:val="false"/>
                <w:sz w:val="20"/>
              </w:rPr>
            </w:pPr>
            <w:r>
              <w:rPr>
                <w:rFonts w:ascii="Times New Roman" w:hAnsi="Times New Roman"/>
                <w:b w:val="false"/>
                <w:sz w:val="20"/>
              </w:rPr>
              <w:t>)</w:t>
            </w:r>
          </w:p>
        </w:tc>
      </w:tr>
      <w:tr>
        <w:trPr/>
        <w:tc>
          <w:tcPr>
            <w:tcW w:w="6031" w:type="dxa"/>
            <w:tcBorders/>
            <w:shd w:fill="auto" w:val="clear"/>
            <w:vAlign w:val="center"/>
          </w:tcPr>
          <w:p>
            <w:pPr>
              <w:pStyle w:val="TableContents"/>
              <w:spacing w:lineRule="auto" w:line="252" w:before="0" w:after="0"/>
              <w:ind w:left="0" w:right="0" w:hanging="0"/>
              <w:jc w:val="left"/>
              <w:rPr>
                <w:rFonts w:ascii="Times New Roman" w:hAnsi="Times New Roman"/>
                <w:b/>
                <w:sz w:val="20"/>
              </w:rPr>
            </w:pPr>
            <w:r>
              <w:rPr>
                <w:rFonts w:ascii="Times New Roman" w:hAnsi="Times New Roman"/>
                <w:b/>
                <w:sz w:val="20"/>
              </w:rPr>
              <w:t>Cash flows from investing activities</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992" w:type="dxa"/>
            <w:gridSpan w:val="2"/>
            <w:tcBorders/>
            <w:shd w:fill="auto" w:val="clear"/>
            <w:vAlign w:val="center"/>
          </w:tcPr>
          <w:p>
            <w:pPr>
              <w:pStyle w:val="TableContents"/>
              <w:spacing w:lineRule="auto" w:line="252" w:before="0" w:after="0"/>
              <w:ind w:left="0" w:right="0" w:hanging="0"/>
              <w:jc w:val="right"/>
              <w:rPr/>
            </w:pPr>
            <w:r>
              <w:rPr/>
              <w:t> </w:t>
            </w:r>
          </w:p>
        </w:tc>
        <w:tc>
          <w:tcPr>
            <w:tcW w:w="166" w:type="dxa"/>
            <w:tcBorders/>
            <w:shd w:fill="auto" w:val="clear"/>
            <w:vAlign w:val="center"/>
          </w:tcPr>
          <w:p>
            <w:pPr>
              <w:pStyle w:val="TableContents"/>
              <w:spacing w:lineRule="auto" w:line="252" w:before="0" w:after="0"/>
              <w:ind w:left="0" w:right="0" w:hanging="0"/>
              <w:jc w:val="right"/>
              <w:rPr/>
            </w:pPr>
            <w:r>
              <w:rPr/>
              <w:t> </w:t>
            </w:r>
          </w:p>
        </w:tc>
        <w:tc>
          <w:tcPr>
            <w:tcW w:w="146" w:type="dxa"/>
            <w:tcBorders/>
            <w:shd w:fill="auto" w:val="clear"/>
            <w:vAlign w:val="center"/>
          </w:tcPr>
          <w:p>
            <w:pPr>
              <w:pStyle w:val="TableContents"/>
              <w:spacing w:lineRule="auto" w:line="252" w:before="0" w:after="0"/>
              <w:ind w:left="0" w:right="0" w:hanging="0"/>
              <w:jc w:val="right"/>
              <w:rPr/>
            </w:pPr>
            <w:r>
              <w:rPr/>
              <w:t> </w:t>
            </w:r>
          </w:p>
        </w:tc>
        <w:tc>
          <w:tcPr>
            <w:tcW w:w="992" w:type="dxa"/>
            <w:gridSpan w:val="2"/>
            <w:tcBorders/>
            <w:shd w:fill="auto" w:val="clear"/>
            <w:vAlign w:val="center"/>
          </w:tcPr>
          <w:p>
            <w:pPr>
              <w:pStyle w:val="TableContents"/>
              <w:spacing w:lineRule="auto" w:line="252" w:before="0" w:after="0"/>
              <w:ind w:left="0" w:right="0" w:hanging="0"/>
              <w:jc w:val="right"/>
              <w:rPr/>
            </w:pPr>
            <w:r>
              <w:rPr/>
              <w:t> </w:t>
            </w:r>
          </w:p>
        </w:tc>
        <w:tc>
          <w:tcPr>
            <w:tcW w:w="811" w:type="dxa"/>
            <w:tcBorders/>
            <w:shd w:fill="auto" w:val="clear"/>
            <w:vAlign w:val="center"/>
          </w:tcPr>
          <w:p>
            <w:pPr>
              <w:pStyle w:val="TableContents"/>
              <w:spacing w:lineRule="auto" w:line="252" w:before="0" w:after="0"/>
              <w:ind w:left="0" w:right="0" w:firstLine="200"/>
              <w:jc w:val="right"/>
              <w:rPr/>
            </w:pPr>
            <w:r>
              <w:rPr/>
              <w:t> </w:t>
            </w:r>
          </w:p>
        </w:tc>
      </w:tr>
      <w:tr>
        <w:trPr/>
        <w:tc>
          <w:tcPr>
            <w:tcW w:w="6031" w:type="dxa"/>
            <w:tcBorders/>
            <w:shd w:fill="auto" w:val="clear"/>
            <w:vAlign w:val="center"/>
          </w:tcPr>
          <w:p>
            <w:pPr>
              <w:pStyle w:val="TableContents"/>
              <w:spacing w:lineRule="auto" w:line="252" w:before="0" w:after="0"/>
              <w:ind w:left="200" w:right="0" w:hanging="0"/>
              <w:jc w:val="left"/>
              <w:rPr>
                <w:rFonts w:ascii="Times New Roman" w:hAnsi="Times New Roman"/>
                <w:b w:val="false"/>
                <w:sz w:val="20"/>
              </w:rPr>
            </w:pPr>
            <w:r>
              <w:rPr>
                <w:rFonts w:ascii="Times New Roman" w:hAnsi="Times New Roman"/>
                <w:b w:val="false"/>
                <w:sz w:val="20"/>
              </w:rPr>
              <w:t>Cash paid for acquired in-process research and development assets</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211" w:type="dxa"/>
            <w:tcBorders/>
            <w:shd w:fill="auto" w:val="clear"/>
            <w:vAlign w:val="center"/>
          </w:tcPr>
          <w:p>
            <w:pPr>
              <w:pStyle w:val="TableContents"/>
              <w:spacing w:lineRule="auto" w:line="252" w:before="0" w:after="0"/>
              <w:ind w:left="0" w:right="0" w:hanging="0"/>
              <w:jc w:val="left"/>
              <w:rPr/>
            </w:pPr>
            <w:r>
              <w:rPr/>
              <w:t> </w:t>
            </w:r>
          </w:p>
        </w:tc>
        <w:tc>
          <w:tcPr>
            <w:tcW w:w="781" w:type="dxa"/>
            <w:tcBorders/>
            <w:shd w:fill="auto" w:val="clear"/>
            <w:vAlign w:val="center"/>
          </w:tcPr>
          <w:p>
            <w:pPr>
              <w:pStyle w:val="TableContents"/>
              <w:spacing w:lineRule="auto" w:line="252" w:before="0" w:after="0"/>
              <w:ind w:left="0" w:right="0" w:hanging="0"/>
              <w:jc w:val="right"/>
              <w:rPr/>
            </w:pPr>
            <w:r>
              <w:rPr/>
              <w:t>—</w:t>
            </w:r>
          </w:p>
        </w:tc>
        <w:tc>
          <w:tcPr>
            <w:tcW w:w="166" w:type="dxa"/>
            <w:tcBorders/>
            <w:shd w:fill="auto" w:val="cle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right"/>
              <w:rPr/>
            </w:pPr>
            <w:r>
              <w:rPr/>
              <w:t> </w:t>
            </w:r>
          </w:p>
        </w:tc>
        <w:tc>
          <w:tcPr>
            <w:tcW w:w="211" w:type="dxa"/>
            <w:tcBorders/>
            <w:shd w:fill="auto" w:val="clear"/>
            <w:vAlign w:val="center"/>
          </w:tcPr>
          <w:p>
            <w:pPr>
              <w:pStyle w:val="TableContents"/>
              <w:spacing w:lineRule="auto" w:line="252" w:before="0" w:after="0"/>
              <w:ind w:left="0" w:right="0" w:hanging="0"/>
              <w:jc w:val="left"/>
              <w:rPr/>
            </w:pPr>
            <w:r>
              <w:rPr/>
              <w:t> </w:t>
            </w:r>
          </w:p>
        </w:tc>
        <w:tc>
          <w:tcPr>
            <w:tcW w:w="781" w:type="dxa"/>
            <w:tcBorders/>
            <w:shd w:fill="auto" w:val="clear"/>
            <w:vAlign w:val="center"/>
          </w:tcPr>
          <w:p>
            <w:pPr>
              <w:pStyle w:val="TableContents"/>
              <w:spacing w:lineRule="auto" w:line="252" w:before="0" w:after="0"/>
              <w:ind w:left="0" w:right="0" w:hanging="0"/>
              <w:jc w:val="right"/>
              <w:rPr>
                <w:rFonts w:ascii="Times New Roman" w:hAnsi="Times New Roman"/>
                <w:b w:val="false"/>
                <w:sz w:val="20"/>
              </w:rPr>
            </w:pPr>
            <w:r>
              <w:rPr>
                <w:rFonts w:ascii="Times New Roman" w:hAnsi="Times New Roman"/>
                <w:b w:val="false"/>
                <w:sz w:val="20"/>
              </w:rPr>
              <w:t>(8,000</w:t>
            </w:r>
          </w:p>
        </w:tc>
        <w:tc>
          <w:tcPr>
            <w:tcW w:w="811" w:type="dxa"/>
            <w:tcBorders/>
            <w:shd w:fill="auto" w:val="clear"/>
            <w:vAlign w:val="center"/>
          </w:tcPr>
          <w:p>
            <w:pPr>
              <w:pStyle w:val="TableContents"/>
              <w:spacing w:lineRule="auto" w:line="252" w:before="0" w:after="0"/>
              <w:ind w:left="0" w:right="0" w:firstLine="200"/>
              <w:jc w:val="left"/>
              <w:rPr>
                <w:rFonts w:ascii="Times New Roman" w:hAnsi="Times New Roman"/>
                <w:b w:val="false"/>
                <w:sz w:val="20"/>
              </w:rPr>
            </w:pPr>
            <w:r>
              <w:rPr>
                <w:rFonts w:ascii="Times New Roman" w:hAnsi="Times New Roman"/>
                <w:b w:val="false"/>
                <w:sz w:val="20"/>
              </w:rPr>
              <w:t>)</w:t>
            </w:r>
          </w:p>
        </w:tc>
      </w:tr>
      <w:tr>
        <w:trPr/>
        <w:tc>
          <w:tcPr>
            <w:tcW w:w="6031" w:type="dxa"/>
            <w:tcBorders/>
            <w:shd w:fill="auto" w:val="clear"/>
            <w:vAlign w:val="center"/>
          </w:tcPr>
          <w:p>
            <w:pPr>
              <w:pStyle w:val="TableContents"/>
              <w:spacing w:lineRule="auto" w:line="252" w:before="0" w:after="0"/>
              <w:ind w:left="200" w:right="0" w:hanging="0"/>
              <w:jc w:val="left"/>
              <w:rPr>
                <w:rFonts w:ascii="Times New Roman" w:hAnsi="Times New Roman"/>
                <w:b w:val="false"/>
                <w:sz w:val="20"/>
              </w:rPr>
            </w:pPr>
            <w:r>
              <w:rPr>
                <w:rFonts w:ascii="Times New Roman" w:hAnsi="Times New Roman"/>
                <w:b w:val="false"/>
                <w:sz w:val="20"/>
              </w:rPr>
              <w:t>Property and equipment expenditures</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211"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c>
          <w:tcPr>
            <w:tcW w:w="781"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right"/>
              <w:rPr>
                <w:rFonts w:ascii="Times New Roman" w:hAnsi="Times New Roman"/>
                <w:b w:val="false"/>
                <w:sz w:val="20"/>
              </w:rPr>
            </w:pPr>
            <w:r>
              <w:rPr>
                <w:rFonts w:ascii="Times New Roman" w:hAnsi="Times New Roman"/>
                <w:b w:val="false"/>
                <w:sz w:val="20"/>
              </w:rPr>
              <w:t>(15</w:t>
            </w:r>
          </w:p>
        </w:tc>
        <w:tc>
          <w:tcPr>
            <w:tcW w:w="166"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rFonts w:ascii="Times New Roman" w:hAnsi="Times New Roman"/>
                <w:b w:val="false"/>
                <w:sz w:val="20"/>
              </w:rPr>
            </w:pPr>
            <w:r>
              <w:rPr>
                <w:rFonts w:ascii="Times New Roman" w:hAnsi="Times New Roman"/>
                <w:b w:val="false"/>
                <w:sz w:val="20"/>
              </w:rPr>
              <w:t>)</w:t>
            </w:r>
          </w:p>
        </w:tc>
        <w:tc>
          <w:tcPr>
            <w:tcW w:w="146" w:type="dxa"/>
            <w:tcBorders/>
            <w:shd w:fill="auto" w:val="clear"/>
            <w:vAlign w:val="center"/>
          </w:tcPr>
          <w:p>
            <w:pPr>
              <w:pStyle w:val="TableContents"/>
              <w:spacing w:lineRule="auto" w:line="252" w:before="0" w:after="0"/>
              <w:ind w:left="0" w:right="0" w:hanging="0"/>
              <w:jc w:val="right"/>
              <w:rPr/>
            </w:pPr>
            <w:r>
              <w:rPr/>
              <w:t> </w:t>
            </w:r>
          </w:p>
        </w:tc>
        <w:tc>
          <w:tcPr>
            <w:tcW w:w="211"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c>
          <w:tcPr>
            <w:tcW w:w="781"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right"/>
              <w:rPr/>
            </w:pPr>
            <w:r>
              <w:rPr/>
              <w:t>—</w:t>
            </w:r>
          </w:p>
        </w:tc>
        <w:tc>
          <w:tcPr>
            <w:tcW w:w="811"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firstLine="600"/>
              <w:jc w:val="left"/>
              <w:rPr/>
            </w:pPr>
            <w:r>
              <w:rPr/>
              <w:t> </w:t>
            </w:r>
          </w:p>
        </w:tc>
      </w:tr>
      <w:tr>
        <w:trPr/>
        <w:tc>
          <w:tcPr>
            <w:tcW w:w="6031" w:type="dxa"/>
            <w:tcBorders/>
            <w:shd w:fill="auto" w:val="clear"/>
            <w:vAlign w:val="center"/>
          </w:tcPr>
          <w:p>
            <w:pPr>
              <w:pStyle w:val="TableContents"/>
              <w:spacing w:lineRule="auto" w:line="252" w:before="0" w:after="0"/>
              <w:ind w:left="600" w:right="0" w:hanging="0"/>
              <w:jc w:val="left"/>
              <w:rPr>
                <w:rFonts w:ascii="Times New Roman" w:hAnsi="Times New Roman"/>
                <w:b w:val="false"/>
                <w:sz w:val="20"/>
              </w:rPr>
            </w:pPr>
            <w:r>
              <w:rPr>
                <w:rFonts w:ascii="Times New Roman" w:hAnsi="Times New Roman"/>
                <w:b w:val="false"/>
                <w:sz w:val="20"/>
              </w:rPr>
              <w:t>Cash used in investing activities</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211" w:type="dxa"/>
            <w:tcBorders/>
            <w:shd w:fill="auto" w:val="clear"/>
            <w:vAlign w:val="center"/>
          </w:tcPr>
          <w:p>
            <w:pPr>
              <w:pStyle w:val="TableContents"/>
              <w:spacing w:lineRule="auto" w:line="252" w:before="0" w:after="0"/>
              <w:ind w:left="0" w:right="0" w:hanging="0"/>
              <w:jc w:val="left"/>
              <w:rPr/>
            </w:pPr>
            <w:r>
              <w:rPr/>
              <w:t> </w:t>
            </w:r>
          </w:p>
        </w:tc>
        <w:tc>
          <w:tcPr>
            <w:tcW w:w="781" w:type="dxa"/>
            <w:tcBorders/>
            <w:shd w:fill="auto" w:val="clear"/>
            <w:vAlign w:val="center"/>
          </w:tcPr>
          <w:p>
            <w:pPr>
              <w:pStyle w:val="TableContents"/>
              <w:spacing w:lineRule="auto" w:line="252" w:before="0" w:after="0"/>
              <w:ind w:left="0" w:right="0" w:hanging="0"/>
              <w:jc w:val="right"/>
              <w:rPr>
                <w:rFonts w:ascii="Times New Roman" w:hAnsi="Times New Roman"/>
                <w:b w:val="false"/>
                <w:sz w:val="20"/>
              </w:rPr>
            </w:pPr>
            <w:r>
              <w:rPr>
                <w:rFonts w:ascii="Times New Roman" w:hAnsi="Times New Roman"/>
                <w:b w:val="false"/>
                <w:sz w:val="20"/>
              </w:rPr>
              <w:t>(15</w:t>
            </w:r>
          </w:p>
        </w:tc>
        <w:tc>
          <w:tcPr>
            <w:tcW w:w="166" w:type="dxa"/>
            <w:tcBorders/>
            <w:shd w:fill="auto" w:val="clear"/>
            <w:vAlign w:val="center"/>
          </w:tcPr>
          <w:p>
            <w:pPr>
              <w:pStyle w:val="TableContents"/>
              <w:spacing w:lineRule="auto" w:line="252" w:before="0" w:after="0"/>
              <w:ind w:left="0" w:right="0" w:hanging="0"/>
              <w:jc w:val="left"/>
              <w:rPr>
                <w:rFonts w:ascii="Times New Roman" w:hAnsi="Times New Roman"/>
                <w:b w:val="false"/>
                <w:sz w:val="20"/>
              </w:rPr>
            </w:pPr>
            <w:r>
              <w:rPr>
                <w:rFonts w:ascii="Times New Roman" w:hAnsi="Times New Roman"/>
                <w:b w:val="false"/>
                <w:sz w:val="20"/>
              </w:rPr>
              <w:t>)</w:t>
            </w:r>
          </w:p>
        </w:tc>
        <w:tc>
          <w:tcPr>
            <w:tcW w:w="146" w:type="dxa"/>
            <w:tcBorders/>
            <w:shd w:fill="auto" w:val="clear"/>
            <w:vAlign w:val="center"/>
          </w:tcPr>
          <w:p>
            <w:pPr>
              <w:pStyle w:val="TableContents"/>
              <w:spacing w:lineRule="auto" w:line="252" w:before="0" w:after="0"/>
              <w:ind w:left="0" w:right="0" w:hanging="0"/>
              <w:jc w:val="right"/>
              <w:rPr/>
            </w:pPr>
            <w:r>
              <w:rPr/>
              <w:t> </w:t>
            </w:r>
          </w:p>
        </w:tc>
        <w:tc>
          <w:tcPr>
            <w:tcW w:w="211" w:type="dxa"/>
            <w:tcBorders/>
            <w:shd w:fill="auto" w:val="clear"/>
            <w:vAlign w:val="center"/>
          </w:tcPr>
          <w:p>
            <w:pPr>
              <w:pStyle w:val="TableContents"/>
              <w:spacing w:lineRule="auto" w:line="252" w:before="0" w:after="0"/>
              <w:ind w:left="0" w:right="0" w:hanging="0"/>
              <w:jc w:val="left"/>
              <w:rPr/>
            </w:pPr>
            <w:r>
              <w:rPr/>
              <w:t> </w:t>
            </w:r>
          </w:p>
        </w:tc>
        <w:tc>
          <w:tcPr>
            <w:tcW w:w="781" w:type="dxa"/>
            <w:tcBorders/>
            <w:shd w:fill="auto" w:val="clear"/>
            <w:vAlign w:val="center"/>
          </w:tcPr>
          <w:p>
            <w:pPr>
              <w:pStyle w:val="TableContents"/>
              <w:spacing w:lineRule="auto" w:line="252" w:before="0" w:after="0"/>
              <w:ind w:left="0" w:right="0" w:hanging="0"/>
              <w:jc w:val="right"/>
              <w:rPr>
                <w:rFonts w:ascii="Times New Roman" w:hAnsi="Times New Roman"/>
                <w:b w:val="false"/>
                <w:sz w:val="20"/>
              </w:rPr>
            </w:pPr>
            <w:r>
              <w:rPr>
                <w:rFonts w:ascii="Times New Roman" w:hAnsi="Times New Roman"/>
                <w:b w:val="false"/>
                <w:sz w:val="20"/>
              </w:rPr>
              <w:t>(8,000</w:t>
            </w:r>
          </w:p>
        </w:tc>
        <w:tc>
          <w:tcPr>
            <w:tcW w:w="811" w:type="dxa"/>
            <w:tcBorders/>
            <w:shd w:fill="auto" w:val="clear"/>
            <w:vAlign w:val="center"/>
          </w:tcPr>
          <w:p>
            <w:pPr>
              <w:pStyle w:val="TableContents"/>
              <w:spacing w:lineRule="auto" w:line="252" w:before="0" w:after="0"/>
              <w:ind w:left="0" w:right="0" w:hanging="0"/>
              <w:jc w:val="left"/>
              <w:rPr>
                <w:rFonts w:ascii="Times New Roman" w:hAnsi="Times New Roman"/>
                <w:b w:val="false"/>
                <w:sz w:val="20"/>
              </w:rPr>
            </w:pPr>
            <w:r>
              <w:rPr>
                <w:rFonts w:ascii="Times New Roman" w:hAnsi="Times New Roman"/>
                <w:b w:val="false"/>
                <w:sz w:val="20"/>
              </w:rPr>
              <w:t>)</w:t>
            </w:r>
          </w:p>
        </w:tc>
      </w:tr>
      <w:tr>
        <w:trPr/>
        <w:tc>
          <w:tcPr>
            <w:tcW w:w="6031" w:type="dxa"/>
            <w:tcBorders/>
            <w:shd w:fill="auto" w:val="clear"/>
            <w:vAlign w:val="center"/>
          </w:tcPr>
          <w:p>
            <w:pPr>
              <w:pStyle w:val="TableContents"/>
              <w:spacing w:lineRule="auto" w:line="252" w:before="0" w:after="0"/>
              <w:ind w:left="0" w:right="0" w:hanging="0"/>
              <w:jc w:val="left"/>
              <w:rPr>
                <w:rFonts w:ascii="Times New Roman" w:hAnsi="Times New Roman"/>
                <w:b/>
                <w:sz w:val="20"/>
              </w:rPr>
            </w:pPr>
            <w:r>
              <w:rPr>
                <w:rFonts w:ascii="Times New Roman" w:hAnsi="Times New Roman"/>
                <w:b/>
                <w:sz w:val="20"/>
              </w:rPr>
              <w:t>Cash flows from financing activities</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992" w:type="dxa"/>
            <w:gridSpan w:val="2"/>
            <w:tcBorders/>
            <w:shd w:fill="auto" w:val="clear"/>
            <w:vAlign w:val="center"/>
          </w:tcPr>
          <w:p>
            <w:pPr>
              <w:pStyle w:val="TableContents"/>
              <w:spacing w:lineRule="auto" w:line="252" w:before="0" w:after="0"/>
              <w:ind w:left="0" w:right="0" w:hanging="0"/>
              <w:jc w:val="right"/>
              <w:rPr/>
            </w:pPr>
            <w:r>
              <w:rPr/>
              <w:t> </w:t>
            </w:r>
          </w:p>
        </w:tc>
        <w:tc>
          <w:tcPr>
            <w:tcW w:w="166" w:type="dxa"/>
            <w:tcBorders/>
            <w:shd w:fill="auto" w:val="clear"/>
            <w:vAlign w:val="center"/>
          </w:tcPr>
          <w:p>
            <w:pPr>
              <w:pStyle w:val="TableContents"/>
              <w:spacing w:lineRule="auto" w:line="252" w:before="0" w:after="0"/>
              <w:ind w:left="0" w:right="0" w:hanging="0"/>
              <w:jc w:val="right"/>
              <w:rPr/>
            </w:pPr>
            <w:r>
              <w:rPr/>
              <w:t> </w:t>
            </w:r>
          </w:p>
        </w:tc>
        <w:tc>
          <w:tcPr>
            <w:tcW w:w="146" w:type="dxa"/>
            <w:tcBorders/>
            <w:shd w:fill="auto" w:val="clear"/>
            <w:vAlign w:val="center"/>
          </w:tcPr>
          <w:p>
            <w:pPr>
              <w:pStyle w:val="TableContents"/>
              <w:spacing w:lineRule="auto" w:line="252" w:before="0" w:after="0"/>
              <w:ind w:left="0" w:right="0" w:hanging="0"/>
              <w:jc w:val="right"/>
              <w:rPr/>
            </w:pPr>
            <w:r>
              <w:rPr/>
              <w:t> </w:t>
            </w:r>
          </w:p>
        </w:tc>
        <w:tc>
          <w:tcPr>
            <w:tcW w:w="992" w:type="dxa"/>
            <w:gridSpan w:val="2"/>
            <w:tcBorders/>
            <w:shd w:fill="auto" w:val="clear"/>
            <w:vAlign w:val="center"/>
          </w:tcPr>
          <w:p>
            <w:pPr>
              <w:pStyle w:val="TableContents"/>
              <w:spacing w:lineRule="auto" w:line="252" w:before="0" w:after="0"/>
              <w:ind w:left="0" w:right="0" w:hanging="0"/>
              <w:jc w:val="right"/>
              <w:rPr/>
            </w:pPr>
            <w:r>
              <w:rPr/>
              <w:t> </w:t>
            </w:r>
          </w:p>
        </w:tc>
        <w:tc>
          <w:tcPr>
            <w:tcW w:w="811" w:type="dxa"/>
            <w:tcBorders/>
            <w:shd w:fill="auto" w:val="clear"/>
            <w:vAlign w:val="center"/>
          </w:tcPr>
          <w:p>
            <w:pPr>
              <w:pStyle w:val="TableContents"/>
              <w:spacing w:lineRule="auto" w:line="252" w:before="0" w:after="0"/>
              <w:ind w:left="0" w:right="0" w:firstLine="200"/>
              <w:jc w:val="right"/>
              <w:rPr/>
            </w:pPr>
            <w:r>
              <w:rPr/>
              <w:t> </w:t>
            </w:r>
          </w:p>
        </w:tc>
      </w:tr>
      <w:tr>
        <w:trPr/>
        <w:tc>
          <w:tcPr>
            <w:tcW w:w="6031" w:type="dxa"/>
            <w:tcBorders/>
            <w:shd w:fill="auto" w:val="clear"/>
            <w:vAlign w:val="center"/>
          </w:tcPr>
          <w:p>
            <w:pPr>
              <w:pStyle w:val="TableContents"/>
              <w:spacing w:lineRule="auto" w:line="252" w:before="0" w:after="0"/>
              <w:ind w:left="200" w:right="0" w:hanging="0"/>
              <w:jc w:val="left"/>
              <w:rPr>
                <w:rFonts w:ascii="Times New Roman" w:hAnsi="Times New Roman"/>
                <w:b w:val="false"/>
                <w:sz w:val="20"/>
              </w:rPr>
            </w:pPr>
            <w:r>
              <w:rPr>
                <w:rFonts w:ascii="Times New Roman" w:hAnsi="Times New Roman"/>
                <w:b w:val="false"/>
                <w:sz w:val="20"/>
              </w:rPr>
              <w:t xml:space="preserve">Proceeds from issuance of Series B redeemable convertible </w:t>
              <w:br/>
              <w:t>   preferred shares, net of issuance costs</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211" w:type="dxa"/>
            <w:tcBorders/>
            <w:shd w:fill="auto" w:val="clear"/>
            <w:vAlign w:val="center"/>
          </w:tcPr>
          <w:p>
            <w:pPr>
              <w:pStyle w:val="TableContents"/>
              <w:spacing w:lineRule="auto" w:line="252" w:before="0" w:after="0"/>
              <w:ind w:left="0" w:right="0" w:hanging="0"/>
              <w:jc w:val="left"/>
              <w:rPr/>
            </w:pPr>
            <w:r>
              <w:rPr/>
              <w:t> </w:t>
            </w:r>
          </w:p>
        </w:tc>
        <w:tc>
          <w:tcPr>
            <w:tcW w:w="781" w:type="dxa"/>
            <w:tcBorders/>
            <w:shd w:fill="auto" w:val="clear"/>
            <w:vAlign w:val="center"/>
          </w:tcPr>
          <w:p>
            <w:pPr>
              <w:pStyle w:val="TableContents"/>
              <w:spacing w:lineRule="auto" w:line="252" w:before="0" w:after="0"/>
              <w:ind w:left="0" w:right="0" w:hanging="0"/>
              <w:jc w:val="right"/>
              <w:rPr/>
            </w:pPr>
            <w:r>
              <w:rPr/>
              <w:t>—</w:t>
            </w:r>
          </w:p>
        </w:tc>
        <w:tc>
          <w:tcPr>
            <w:tcW w:w="166" w:type="dxa"/>
            <w:tcBorders/>
            <w:shd w:fill="auto" w:val="cle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right"/>
              <w:rPr/>
            </w:pPr>
            <w:r>
              <w:rPr/>
              <w:t> </w:t>
            </w:r>
          </w:p>
        </w:tc>
        <w:tc>
          <w:tcPr>
            <w:tcW w:w="211" w:type="dxa"/>
            <w:tcBorders/>
            <w:shd w:fill="auto" w:val="clear"/>
            <w:vAlign w:val="center"/>
          </w:tcPr>
          <w:p>
            <w:pPr>
              <w:pStyle w:val="TableContents"/>
              <w:spacing w:lineRule="auto" w:line="252" w:before="0" w:after="0"/>
              <w:ind w:left="0" w:right="0" w:hanging="0"/>
              <w:jc w:val="left"/>
              <w:rPr/>
            </w:pPr>
            <w:r>
              <w:rPr/>
              <w:t> </w:t>
            </w:r>
          </w:p>
        </w:tc>
        <w:tc>
          <w:tcPr>
            <w:tcW w:w="781" w:type="dxa"/>
            <w:tcBorders/>
            <w:shd w:fill="auto" w:val="clear"/>
            <w:vAlign w:val="center"/>
          </w:tcPr>
          <w:p>
            <w:pPr>
              <w:pStyle w:val="TableContents"/>
              <w:spacing w:lineRule="auto" w:line="252" w:before="0" w:after="0"/>
              <w:ind w:left="0" w:right="0" w:hanging="0"/>
              <w:jc w:val="right"/>
              <w:rPr>
                <w:rFonts w:ascii="Times New Roman" w:hAnsi="Times New Roman"/>
                <w:b w:val="false"/>
                <w:sz w:val="20"/>
              </w:rPr>
            </w:pPr>
            <w:r>
              <w:rPr>
                <w:rFonts w:ascii="Times New Roman" w:hAnsi="Times New Roman"/>
                <w:b w:val="false"/>
                <w:sz w:val="20"/>
              </w:rPr>
              <w:t>129,757</w:t>
            </w:r>
          </w:p>
        </w:tc>
        <w:tc>
          <w:tcPr>
            <w:tcW w:w="811" w:type="dxa"/>
            <w:tcBorders/>
            <w:shd w:fill="auto" w:val="clear"/>
            <w:vAlign w:val="center"/>
          </w:tcPr>
          <w:p>
            <w:pPr>
              <w:pStyle w:val="TableContents"/>
              <w:spacing w:lineRule="auto" w:line="252" w:before="0" w:after="0"/>
              <w:ind w:left="0" w:right="0" w:firstLine="200"/>
              <w:jc w:val="left"/>
              <w:rPr/>
            </w:pPr>
            <w:r>
              <w:rPr/>
              <w:t> </w:t>
            </w:r>
          </w:p>
        </w:tc>
      </w:tr>
      <w:tr>
        <w:trPr/>
        <w:tc>
          <w:tcPr>
            <w:tcW w:w="6031" w:type="dxa"/>
            <w:tcBorders/>
            <w:shd w:fill="auto" w:val="clear"/>
            <w:vAlign w:val="center"/>
          </w:tcPr>
          <w:p>
            <w:pPr>
              <w:pStyle w:val="TableContents"/>
              <w:spacing w:lineRule="auto" w:line="252" w:before="0" w:after="0"/>
              <w:ind w:left="200" w:right="0" w:hanging="0"/>
              <w:jc w:val="left"/>
              <w:rPr>
                <w:rFonts w:ascii="Times New Roman" w:hAnsi="Times New Roman"/>
                <w:b w:val="false"/>
                <w:sz w:val="20"/>
              </w:rPr>
            </w:pPr>
            <w:r>
              <w:rPr>
                <w:rFonts w:ascii="Times New Roman" w:hAnsi="Times New Roman"/>
                <w:b w:val="false"/>
                <w:sz w:val="20"/>
              </w:rPr>
              <w:t>Payments of financing issuance costs</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211"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c>
          <w:tcPr>
            <w:tcW w:w="781"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right"/>
              <w:rPr/>
            </w:pPr>
            <w:r>
              <w:rPr/>
              <w:t>—</w:t>
            </w:r>
          </w:p>
        </w:tc>
        <w:tc>
          <w:tcPr>
            <w:tcW w:w="166"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right"/>
              <w:rPr/>
            </w:pPr>
            <w:r>
              <w:rPr/>
              <w:t> </w:t>
            </w:r>
          </w:p>
        </w:tc>
        <w:tc>
          <w:tcPr>
            <w:tcW w:w="211"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c>
          <w:tcPr>
            <w:tcW w:w="781"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right"/>
              <w:rPr>
                <w:rFonts w:ascii="Times New Roman" w:hAnsi="Times New Roman"/>
                <w:b w:val="false"/>
                <w:sz w:val="20"/>
              </w:rPr>
            </w:pPr>
            <w:r>
              <w:rPr>
                <w:rFonts w:ascii="Times New Roman" w:hAnsi="Times New Roman"/>
                <w:b w:val="false"/>
                <w:sz w:val="20"/>
              </w:rPr>
              <w:t>(872</w:t>
            </w:r>
          </w:p>
        </w:tc>
        <w:tc>
          <w:tcPr>
            <w:tcW w:w="811"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firstLine="600"/>
              <w:jc w:val="left"/>
              <w:rPr>
                <w:rFonts w:ascii="Times New Roman" w:hAnsi="Times New Roman"/>
                <w:b w:val="false"/>
                <w:sz w:val="20"/>
              </w:rPr>
            </w:pPr>
            <w:r>
              <w:rPr>
                <w:rFonts w:ascii="Times New Roman" w:hAnsi="Times New Roman"/>
                <w:b w:val="false"/>
                <w:sz w:val="20"/>
              </w:rPr>
              <w:t>)</w:t>
            </w:r>
          </w:p>
        </w:tc>
      </w:tr>
      <w:tr>
        <w:trPr/>
        <w:tc>
          <w:tcPr>
            <w:tcW w:w="6031" w:type="dxa"/>
            <w:tcBorders/>
            <w:shd w:fill="auto" w:val="clear"/>
            <w:vAlign w:val="center"/>
          </w:tcPr>
          <w:p>
            <w:pPr>
              <w:pStyle w:val="TableContents"/>
              <w:spacing w:lineRule="auto" w:line="252" w:before="0" w:after="0"/>
              <w:ind w:left="600" w:right="0" w:hanging="0"/>
              <w:jc w:val="left"/>
              <w:rPr>
                <w:rFonts w:ascii="Times New Roman" w:hAnsi="Times New Roman"/>
                <w:b w:val="false"/>
                <w:sz w:val="20"/>
              </w:rPr>
            </w:pPr>
            <w:r>
              <w:rPr>
                <w:rFonts w:ascii="Times New Roman" w:hAnsi="Times New Roman"/>
                <w:b w:val="false"/>
                <w:sz w:val="20"/>
              </w:rPr>
              <w:t>Net cash provided by financing activities</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211"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c>
          <w:tcPr>
            <w:tcW w:w="781"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right"/>
              <w:rPr/>
            </w:pPr>
            <w:r>
              <w:rPr/>
              <w:t>—</w:t>
            </w:r>
          </w:p>
        </w:tc>
        <w:tc>
          <w:tcPr>
            <w:tcW w:w="166"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right"/>
              <w:rPr/>
            </w:pPr>
            <w:r>
              <w:rPr/>
              <w:t> </w:t>
            </w:r>
          </w:p>
        </w:tc>
        <w:tc>
          <w:tcPr>
            <w:tcW w:w="211"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c>
          <w:tcPr>
            <w:tcW w:w="781"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right"/>
              <w:rPr>
                <w:rFonts w:ascii="Times New Roman" w:hAnsi="Times New Roman"/>
                <w:b w:val="false"/>
                <w:sz w:val="20"/>
              </w:rPr>
            </w:pPr>
            <w:r>
              <w:rPr>
                <w:rFonts w:ascii="Times New Roman" w:hAnsi="Times New Roman"/>
                <w:b w:val="false"/>
                <w:sz w:val="20"/>
              </w:rPr>
              <w:t>128,885</w:t>
            </w:r>
          </w:p>
        </w:tc>
        <w:tc>
          <w:tcPr>
            <w:tcW w:w="811"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r>
      <w:tr>
        <w:trPr/>
        <w:tc>
          <w:tcPr>
            <w:tcW w:w="6031" w:type="dxa"/>
            <w:tcBorders/>
            <w:shd w:fill="auto" w:val="clear"/>
            <w:vAlign w:val="center"/>
          </w:tcPr>
          <w:p>
            <w:pPr>
              <w:pStyle w:val="TableContents"/>
              <w:spacing w:lineRule="auto" w:line="252" w:before="0" w:after="0"/>
              <w:ind w:left="0" w:right="0" w:hanging="0"/>
              <w:jc w:val="left"/>
              <w:rPr>
                <w:rFonts w:ascii="Times New Roman" w:hAnsi="Times New Roman"/>
                <w:b w:val="false"/>
                <w:sz w:val="20"/>
              </w:rPr>
            </w:pPr>
            <w:r>
              <w:rPr>
                <w:rFonts w:ascii="Times New Roman" w:hAnsi="Times New Roman"/>
                <w:b w:val="false"/>
                <w:sz w:val="20"/>
              </w:rPr>
              <w:t>Net (decrease) increase in cash and cash equivalents</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211" w:type="dxa"/>
            <w:tcBorders/>
            <w:shd w:fill="auto" w:val="clear"/>
            <w:vAlign w:val="center"/>
          </w:tcPr>
          <w:p>
            <w:pPr>
              <w:pStyle w:val="TableContents"/>
              <w:spacing w:lineRule="auto" w:line="252" w:before="0" w:after="0"/>
              <w:ind w:left="0" w:right="0" w:hanging="0"/>
              <w:jc w:val="left"/>
              <w:rPr/>
            </w:pPr>
            <w:r>
              <w:rPr/>
              <w:t> </w:t>
            </w:r>
          </w:p>
        </w:tc>
        <w:tc>
          <w:tcPr>
            <w:tcW w:w="781" w:type="dxa"/>
            <w:tcBorders/>
            <w:shd w:fill="auto" w:val="clear"/>
            <w:vAlign w:val="center"/>
          </w:tcPr>
          <w:p>
            <w:pPr>
              <w:pStyle w:val="TableContents"/>
              <w:spacing w:lineRule="auto" w:line="252" w:before="0" w:after="0"/>
              <w:ind w:left="0" w:right="0" w:hanging="0"/>
              <w:jc w:val="right"/>
              <w:rPr>
                <w:rFonts w:ascii="Times New Roman" w:hAnsi="Times New Roman"/>
                <w:b w:val="false"/>
                <w:sz w:val="20"/>
              </w:rPr>
            </w:pPr>
            <w:r>
              <w:rPr>
                <w:rFonts w:ascii="Times New Roman" w:hAnsi="Times New Roman"/>
                <w:b w:val="false"/>
                <w:sz w:val="20"/>
              </w:rPr>
              <w:t>(21,578</w:t>
            </w:r>
          </w:p>
        </w:tc>
        <w:tc>
          <w:tcPr>
            <w:tcW w:w="166" w:type="dxa"/>
            <w:tcBorders/>
            <w:shd w:fill="auto" w:val="clear"/>
            <w:vAlign w:val="center"/>
          </w:tcPr>
          <w:p>
            <w:pPr>
              <w:pStyle w:val="TableContents"/>
              <w:spacing w:lineRule="auto" w:line="252" w:before="0" w:after="0"/>
              <w:ind w:left="0" w:right="0" w:hanging="0"/>
              <w:jc w:val="left"/>
              <w:rPr>
                <w:rFonts w:ascii="Times New Roman" w:hAnsi="Times New Roman"/>
                <w:b w:val="false"/>
                <w:sz w:val="20"/>
              </w:rPr>
            </w:pPr>
            <w:r>
              <w:rPr>
                <w:rFonts w:ascii="Times New Roman" w:hAnsi="Times New Roman"/>
                <w:b w:val="false"/>
                <w:sz w:val="20"/>
              </w:rPr>
              <w:t>)</w:t>
            </w:r>
          </w:p>
        </w:tc>
        <w:tc>
          <w:tcPr>
            <w:tcW w:w="146" w:type="dxa"/>
            <w:tcBorders/>
            <w:shd w:fill="auto" w:val="clear"/>
            <w:vAlign w:val="center"/>
          </w:tcPr>
          <w:p>
            <w:pPr>
              <w:pStyle w:val="TableContents"/>
              <w:spacing w:lineRule="auto" w:line="252" w:before="0" w:after="0"/>
              <w:ind w:left="0" w:right="0" w:hanging="0"/>
              <w:jc w:val="right"/>
              <w:rPr/>
            </w:pPr>
            <w:r>
              <w:rPr/>
              <w:t> </w:t>
            </w:r>
          </w:p>
        </w:tc>
        <w:tc>
          <w:tcPr>
            <w:tcW w:w="211" w:type="dxa"/>
            <w:tcBorders/>
            <w:shd w:fill="auto" w:val="clear"/>
            <w:vAlign w:val="center"/>
          </w:tcPr>
          <w:p>
            <w:pPr>
              <w:pStyle w:val="TableContents"/>
              <w:spacing w:lineRule="auto" w:line="252" w:before="0" w:after="0"/>
              <w:ind w:left="0" w:right="0" w:hanging="0"/>
              <w:jc w:val="left"/>
              <w:rPr/>
            </w:pPr>
            <w:r>
              <w:rPr/>
              <w:t> </w:t>
            </w:r>
          </w:p>
        </w:tc>
        <w:tc>
          <w:tcPr>
            <w:tcW w:w="781" w:type="dxa"/>
            <w:tcBorders/>
            <w:shd w:fill="auto" w:val="clear"/>
            <w:vAlign w:val="center"/>
          </w:tcPr>
          <w:p>
            <w:pPr>
              <w:pStyle w:val="TableContents"/>
              <w:spacing w:lineRule="auto" w:line="252" w:before="0" w:after="0"/>
              <w:ind w:left="0" w:right="0" w:hanging="0"/>
              <w:jc w:val="right"/>
              <w:rPr>
                <w:rFonts w:ascii="Times New Roman" w:hAnsi="Times New Roman"/>
                <w:b w:val="false"/>
                <w:sz w:val="20"/>
              </w:rPr>
            </w:pPr>
            <w:r>
              <w:rPr>
                <w:rFonts w:ascii="Times New Roman" w:hAnsi="Times New Roman"/>
                <w:b w:val="false"/>
                <w:sz w:val="20"/>
              </w:rPr>
              <w:t>111,142</w:t>
            </w:r>
          </w:p>
        </w:tc>
        <w:tc>
          <w:tcPr>
            <w:tcW w:w="811" w:type="dxa"/>
            <w:tcBorders/>
            <w:shd w:fill="auto" w:val="clear"/>
            <w:vAlign w:val="center"/>
          </w:tcPr>
          <w:p>
            <w:pPr>
              <w:pStyle w:val="TableContents"/>
              <w:spacing w:lineRule="auto" w:line="252" w:before="0" w:after="0"/>
              <w:ind w:left="0" w:right="0" w:hanging="0"/>
              <w:jc w:val="left"/>
              <w:rPr/>
            </w:pPr>
            <w:r>
              <w:rPr/>
              <w:t> </w:t>
            </w:r>
          </w:p>
        </w:tc>
      </w:tr>
      <w:tr>
        <w:trPr/>
        <w:tc>
          <w:tcPr>
            <w:tcW w:w="6031" w:type="dxa"/>
            <w:tcBorders/>
            <w:shd w:fill="auto" w:val="clear"/>
            <w:vAlign w:val="center"/>
          </w:tcPr>
          <w:p>
            <w:pPr>
              <w:pStyle w:val="TableContents"/>
              <w:spacing w:lineRule="auto" w:line="252" w:before="0" w:after="0"/>
              <w:ind w:left="0" w:right="0" w:hanging="0"/>
              <w:jc w:val="left"/>
              <w:rPr>
                <w:rFonts w:ascii="Times New Roman" w:hAnsi="Times New Roman"/>
                <w:b w:val="false"/>
                <w:sz w:val="20"/>
              </w:rPr>
            </w:pPr>
            <w:r>
              <w:rPr>
                <w:rFonts w:ascii="Times New Roman" w:hAnsi="Times New Roman"/>
                <w:b w:val="false"/>
                <w:sz w:val="20"/>
              </w:rPr>
              <w:t>Cash and cash equivalents, beginning of period</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211"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c>
          <w:tcPr>
            <w:tcW w:w="781"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right"/>
              <w:rPr>
                <w:rFonts w:ascii="Times New Roman" w:hAnsi="Times New Roman"/>
                <w:b w:val="false"/>
                <w:sz w:val="20"/>
              </w:rPr>
            </w:pPr>
            <w:r>
              <w:rPr>
                <w:rFonts w:ascii="Times New Roman" w:hAnsi="Times New Roman"/>
                <w:b w:val="false"/>
                <w:sz w:val="20"/>
              </w:rPr>
              <w:t>284,309</w:t>
            </w:r>
          </w:p>
        </w:tc>
        <w:tc>
          <w:tcPr>
            <w:tcW w:w="166"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211"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c>
          <w:tcPr>
            <w:tcW w:w="781"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right"/>
              <w:rPr>
                <w:rFonts w:ascii="Times New Roman" w:hAnsi="Times New Roman"/>
                <w:b w:val="false"/>
                <w:sz w:val="20"/>
              </w:rPr>
            </w:pPr>
            <w:r>
              <w:rPr>
                <w:rFonts w:ascii="Times New Roman" w:hAnsi="Times New Roman"/>
                <w:b w:val="false"/>
                <w:sz w:val="20"/>
              </w:rPr>
              <w:t>43,728</w:t>
            </w:r>
          </w:p>
        </w:tc>
        <w:tc>
          <w:tcPr>
            <w:tcW w:w="811"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r>
      <w:tr>
        <w:trPr/>
        <w:tc>
          <w:tcPr>
            <w:tcW w:w="6031" w:type="dxa"/>
            <w:tcBorders/>
            <w:shd w:fill="auto" w:val="clear"/>
            <w:vAlign w:val="center"/>
          </w:tcPr>
          <w:p>
            <w:pPr>
              <w:pStyle w:val="TableContents"/>
              <w:spacing w:lineRule="auto" w:line="252" w:before="0" w:after="0"/>
              <w:ind w:left="0" w:right="0" w:hanging="0"/>
              <w:jc w:val="left"/>
              <w:rPr>
                <w:rFonts w:ascii="Times New Roman" w:hAnsi="Times New Roman"/>
                <w:b w:val="false"/>
                <w:sz w:val="20"/>
              </w:rPr>
            </w:pPr>
            <w:r>
              <w:rPr>
                <w:rFonts w:ascii="Times New Roman" w:hAnsi="Times New Roman"/>
                <w:b w:val="false"/>
                <w:sz w:val="20"/>
              </w:rPr>
              <w:t>Cash and cash equivalents, end of period</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211" w:type="dxa"/>
            <w:tcBorders>
              <w:bottom w:val="double" w:sz="6"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rFonts w:ascii="Times New Roman" w:hAnsi="Times New Roman"/>
                <w:b w:val="false"/>
                <w:sz w:val="20"/>
              </w:rPr>
            </w:pPr>
            <w:r>
              <w:rPr>
                <w:rFonts w:ascii="Times New Roman" w:hAnsi="Times New Roman"/>
                <w:b w:val="false"/>
                <w:sz w:val="20"/>
              </w:rPr>
              <w:t>$</w:t>
            </w:r>
          </w:p>
        </w:tc>
        <w:tc>
          <w:tcPr>
            <w:tcW w:w="781" w:type="dxa"/>
            <w:tcBorders>
              <w:bottom w:val="double" w:sz="6" w:space="0" w:color="000000"/>
            </w:tcBorders>
            <w:shd w:fill="auto" w:val="clear"/>
            <w:tcMar>
              <w:top w:w="0" w:type="dxa"/>
              <w:left w:w="0" w:type="dxa"/>
              <w:right w:w="0" w:type="dxa"/>
            </w:tcMar>
            <w:vAlign w:val="center"/>
          </w:tcPr>
          <w:p>
            <w:pPr>
              <w:pStyle w:val="TableContents"/>
              <w:spacing w:lineRule="auto" w:line="252" w:before="0" w:after="0"/>
              <w:ind w:left="0" w:right="0" w:hanging="0"/>
              <w:jc w:val="right"/>
              <w:rPr>
                <w:rFonts w:ascii="Times New Roman" w:hAnsi="Times New Roman"/>
                <w:b w:val="false"/>
                <w:sz w:val="20"/>
              </w:rPr>
            </w:pPr>
            <w:r>
              <w:rPr>
                <w:rFonts w:ascii="Times New Roman" w:hAnsi="Times New Roman"/>
                <w:b w:val="false"/>
                <w:sz w:val="20"/>
              </w:rPr>
              <w:t>262,731</w:t>
            </w:r>
          </w:p>
        </w:tc>
        <w:tc>
          <w:tcPr>
            <w:tcW w:w="166" w:type="dxa"/>
            <w:tcBorders>
              <w:bottom w:val="double" w:sz="6"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211" w:type="dxa"/>
            <w:tcBorders>
              <w:bottom w:val="double" w:sz="6"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rFonts w:ascii="Times New Roman" w:hAnsi="Times New Roman"/>
                <w:b w:val="false"/>
                <w:sz w:val="20"/>
              </w:rPr>
            </w:pPr>
            <w:r>
              <w:rPr>
                <w:rFonts w:ascii="Times New Roman" w:hAnsi="Times New Roman"/>
                <w:b w:val="false"/>
                <w:sz w:val="20"/>
              </w:rPr>
              <w:t>$</w:t>
            </w:r>
          </w:p>
        </w:tc>
        <w:tc>
          <w:tcPr>
            <w:tcW w:w="781" w:type="dxa"/>
            <w:tcBorders>
              <w:bottom w:val="double" w:sz="6" w:space="0" w:color="000000"/>
            </w:tcBorders>
            <w:shd w:fill="auto" w:val="clear"/>
            <w:tcMar>
              <w:top w:w="0" w:type="dxa"/>
              <w:left w:w="0" w:type="dxa"/>
              <w:right w:w="0" w:type="dxa"/>
            </w:tcMar>
            <w:vAlign w:val="center"/>
          </w:tcPr>
          <w:p>
            <w:pPr>
              <w:pStyle w:val="TableContents"/>
              <w:spacing w:lineRule="auto" w:line="252" w:before="0" w:after="0"/>
              <w:ind w:left="0" w:right="0" w:hanging="0"/>
              <w:jc w:val="right"/>
              <w:rPr>
                <w:rFonts w:ascii="Times New Roman" w:hAnsi="Times New Roman"/>
                <w:b w:val="false"/>
                <w:sz w:val="20"/>
              </w:rPr>
            </w:pPr>
            <w:r>
              <w:rPr>
                <w:rFonts w:ascii="Times New Roman" w:hAnsi="Times New Roman"/>
                <w:b w:val="false"/>
                <w:sz w:val="20"/>
              </w:rPr>
              <w:t>154,870</w:t>
            </w:r>
          </w:p>
        </w:tc>
        <w:tc>
          <w:tcPr>
            <w:tcW w:w="811" w:type="dxa"/>
            <w:tcBorders>
              <w:bottom w:val="double" w:sz="6"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r>
      <w:tr>
        <w:trPr/>
        <w:tc>
          <w:tcPr>
            <w:tcW w:w="6031" w:type="dxa"/>
            <w:tcBorders/>
            <w:shd w:fill="auto" w:val="clear"/>
            <w:vAlign w:val="center"/>
          </w:tcPr>
          <w:p>
            <w:pPr>
              <w:pStyle w:val="TableContents"/>
              <w:spacing w:lineRule="auto" w:line="252" w:before="0" w:after="0"/>
              <w:ind w:left="0" w:right="0" w:hanging="0"/>
              <w:jc w:val="left"/>
              <w:rPr>
                <w:rFonts w:ascii="Times New Roman" w:hAnsi="Times New Roman"/>
                <w:b/>
                <w:sz w:val="20"/>
              </w:rPr>
            </w:pPr>
            <w:r>
              <w:rPr>
                <w:rFonts w:ascii="Times New Roman" w:hAnsi="Times New Roman"/>
                <w:b/>
                <w:sz w:val="20"/>
              </w:rPr>
              <w:t>Supplemental disclosures of noncash activities</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992" w:type="dxa"/>
            <w:gridSpan w:val="2"/>
            <w:tcBorders/>
            <w:shd w:fill="auto" w:val="clear"/>
            <w:vAlign w:val="center"/>
          </w:tcPr>
          <w:p>
            <w:pPr>
              <w:pStyle w:val="TableContents"/>
              <w:spacing w:lineRule="auto" w:line="252" w:before="0" w:after="0"/>
              <w:ind w:left="0" w:right="0" w:hanging="0"/>
              <w:jc w:val="right"/>
              <w:rPr/>
            </w:pPr>
            <w:r>
              <w:rPr/>
              <w:t> </w:t>
            </w:r>
          </w:p>
        </w:tc>
        <w:tc>
          <w:tcPr>
            <w:tcW w:w="166" w:type="dxa"/>
            <w:tcBorders/>
            <w:shd w:fill="auto" w:val="clear"/>
            <w:vAlign w:val="center"/>
          </w:tcPr>
          <w:p>
            <w:pPr>
              <w:pStyle w:val="TableContents"/>
              <w:spacing w:lineRule="auto" w:line="252" w:before="0" w:after="0"/>
              <w:ind w:left="0" w:right="0" w:hanging="0"/>
              <w:jc w:val="right"/>
              <w:rPr/>
            </w:pPr>
            <w:r>
              <w:rPr/>
              <w:t> </w:t>
            </w:r>
          </w:p>
        </w:tc>
        <w:tc>
          <w:tcPr>
            <w:tcW w:w="146" w:type="dxa"/>
            <w:tcBorders/>
            <w:shd w:fill="auto" w:val="clear"/>
            <w:vAlign w:val="center"/>
          </w:tcPr>
          <w:p>
            <w:pPr>
              <w:pStyle w:val="TableContents"/>
              <w:spacing w:lineRule="auto" w:line="252" w:before="0" w:after="0"/>
              <w:ind w:left="0" w:right="0" w:hanging="0"/>
              <w:jc w:val="right"/>
              <w:rPr/>
            </w:pPr>
            <w:r>
              <w:rPr/>
              <w:t> </w:t>
            </w:r>
          </w:p>
        </w:tc>
        <w:tc>
          <w:tcPr>
            <w:tcW w:w="992" w:type="dxa"/>
            <w:gridSpan w:val="2"/>
            <w:tcBorders/>
            <w:shd w:fill="auto" w:val="clear"/>
            <w:vAlign w:val="center"/>
          </w:tcPr>
          <w:p>
            <w:pPr>
              <w:pStyle w:val="TableContents"/>
              <w:spacing w:lineRule="auto" w:line="252" w:before="0" w:after="0"/>
              <w:ind w:left="0" w:right="0" w:hanging="0"/>
              <w:jc w:val="right"/>
              <w:rPr/>
            </w:pPr>
            <w:r>
              <w:rPr/>
              <w:t> </w:t>
            </w:r>
          </w:p>
        </w:tc>
        <w:tc>
          <w:tcPr>
            <w:tcW w:w="811" w:type="dxa"/>
            <w:tcBorders/>
            <w:shd w:fill="auto" w:val="clear"/>
            <w:vAlign w:val="center"/>
          </w:tcPr>
          <w:p>
            <w:pPr>
              <w:pStyle w:val="TableContents"/>
              <w:spacing w:lineRule="auto" w:line="252" w:before="0" w:after="0"/>
              <w:ind w:left="0" w:right="0" w:firstLine="200"/>
              <w:jc w:val="right"/>
              <w:rPr/>
            </w:pPr>
            <w:r>
              <w:rPr/>
              <w:t> </w:t>
            </w:r>
          </w:p>
        </w:tc>
      </w:tr>
      <w:tr>
        <w:trPr/>
        <w:tc>
          <w:tcPr>
            <w:tcW w:w="6031" w:type="dxa"/>
            <w:tcBorders/>
            <w:shd w:fill="auto" w:val="clear"/>
            <w:vAlign w:val="center"/>
          </w:tcPr>
          <w:p>
            <w:pPr>
              <w:pStyle w:val="TableContents"/>
              <w:spacing w:lineRule="auto" w:line="252" w:before="0" w:after="0"/>
              <w:ind w:left="200" w:right="0" w:hanging="0"/>
              <w:jc w:val="left"/>
              <w:rPr>
                <w:rFonts w:ascii="Times New Roman" w:hAnsi="Times New Roman"/>
                <w:b w:val="false"/>
                <w:sz w:val="20"/>
              </w:rPr>
            </w:pPr>
            <w:r>
              <w:rPr>
                <w:rFonts w:ascii="Times New Roman" w:hAnsi="Times New Roman"/>
                <w:b w:val="false"/>
                <w:sz w:val="20"/>
              </w:rPr>
              <w:t>Deferred offering costs not yet paid</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211" w:type="dxa"/>
            <w:tcBorders/>
            <w:shd w:fill="auto" w:val="clear"/>
            <w:vAlign w:val="center"/>
          </w:tcPr>
          <w:p>
            <w:pPr>
              <w:pStyle w:val="TableContents"/>
              <w:spacing w:lineRule="auto" w:line="252" w:before="0" w:after="0"/>
              <w:ind w:left="0" w:right="0" w:hanging="0"/>
              <w:jc w:val="left"/>
              <w:rPr>
                <w:rFonts w:ascii="Times New Roman" w:hAnsi="Times New Roman"/>
                <w:b w:val="false"/>
                <w:sz w:val="20"/>
              </w:rPr>
            </w:pPr>
            <w:r>
              <w:rPr>
                <w:rFonts w:ascii="Times New Roman" w:hAnsi="Times New Roman"/>
                <w:b w:val="false"/>
                <w:sz w:val="20"/>
              </w:rPr>
              <w:t>$</w:t>
            </w:r>
          </w:p>
        </w:tc>
        <w:tc>
          <w:tcPr>
            <w:tcW w:w="781" w:type="dxa"/>
            <w:tcBorders/>
            <w:shd w:fill="auto" w:val="clear"/>
            <w:vAlign w:val="center"/>
          </w:tcPr>
          <w:p>
            <w:pPr>
              <w:pStyle w:val="TableContents"/>
              <w:spacing w:lineRule="auto" w:line="252" w:before="0" w:after="0"/>
              <w:ind w:left="0" w:right="0" w:hanging="0"/>
              <w:jc w:val="right"/>
              <w:rPr/>
            </w:pPr>
            <w:r>
              <w:rPr/>
              <w:t>—</w:t>
            </w:r>
          </w:p>
        </w:tc>
        <w:tc>
          <w:tcPr>
            <w:tcW w:w="166" w:type="dxa"/>
            <w:tcBorders/>
            <w:shd w:fill="auto" w:val="cle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right"/>
              <w:rPr/>
            </w:pPr>
            <w:r>
              <w:rPr/>
              <w:t> </w:t>
            </w:r>
          </w:p>
        </w:tc>
        <w:tc>
          <w:tcPr>
            <w:tcW w:w="211" w:type="dxa"/>
            <w:tcBorders/>
            <w:shd w:fill="auto" w:val="clear"/>
            <w:vAlign w:val="center"/>
          </w:tcPr>
          <w:p>
            <w:pPr>
              <w:pStyle w:val="TableContents"/>
              <w:spacing w:lineRule="auto" w:line="252" w:before="0" w:after="0"/>
              <w:ind w:left="0" w:right="0" w:hanging="0"/>
              <w:jc w:val="left"/>
              <w:rPr>
                <w:rFonts w:ascii="Times New Roman" w:hAnsi="Times New Roman"/>
                <w:b w:val="false"/>
                <w:sz w:val="20"/>
              </w:rPr>
            </w:pPr>
            <w:r>
              <w:rPr>
                <w:rFonts w:ascii="Times New Roman" w:hAnsi="Times New Roman"/>
                <w:b w:val="false"/>
                <w:sz w:val="20"/>
              </w:rPr>
              <w:t>$</w:t>
            </w:r>
          </w:p>
        </w:tc>
        <w:tc>
          <w:tcPr>
            <w:tcW w:w="781" w:type="dxa"/>
            <w:tcBorders/>
            <w:shd w:fill="auto" w:val="clear"/>
            <w:vAlign w:val="center"/>
          </w:tcPr>
          <w:p>
            <w:pPr>
              <w:pStyle w:val="TableContents"/>
              <w:spacing w:lineRule="auto" w:line="252" w:before="0" w:after="0"/>
              <w:ind w:left="0" w:right="0" w:hanging="0"/>
              <w:jc w:val="right"/>
              <w:rPr>
                <w:rFonts w:ascii="Times New Roman" w:hAnsi="Times New Roman"/>
                <w:b w:val="false"/>
                <w:sz w:val="20"/>
              </w:rPr>
            </w:pPr>
            <w:r>
              <w:rPr>
                <w:rFonts w:ascii="Times New Roman" w:hAnsi="Times New Roman"/>
                <w:b w:val="false"/>
                <w:sz w:val="20"/>
              </w:rPr>
              <w:t>686</w:t>
            </w:r>
          </w:p>
        </w:tc>
        <w:tc>
          <w:tcPr>
            <w:tcW w:w="811" w:type="dxa"/>
            <w:tcBorders/>
            <w:shd w:fill="auto" w:val="clear"/>
            <w:vAlign w:val="center"/>
          </w:tcPr>
          <w:p>
            <w:pPr>
              <w:pStyle w:val="TableContents"/>
              <w:spacing w:lineRule="auto" w:line="252" w:before="0" w:after="0"/>
              <w:ind w:left="0" w:right="0" w:hanging="0"/>
              <w:jc w:val="left"/>
              <w:rPr/>
            </w:pPr>
            <w:r>
              <w:rPr/>
              <w:t> </w:t>
            </w:r>
          </w:p>
        </w:tc>
      </w:tr>
    </w:tbl>
    <w:p>
      <w:pPr>
        <w:pStyle w:val="TextBody"/>
        <w:spacing w:lineRule="auto" w:line="273" w:before="0" w:after="0"/>
        <w:jc w:val="center"/>
        <w:rPr/>
      </w:pPr>
      <w:r>
        <w:rPr/>
        <w:t> </w:t>
      </w:r>
    </w:p>
    <w:p>
      <w:pPr>
        <w:pStyle w:val="TextBody"/>
        <w:spacing w:lineRule="auto" w:line="273" w:before="0" w:after="0"/>
        <w:jc w:val="center"/>
        <w:rPr>
          <w:rFonts w:ascii="Times New Roman" w:hAnsi="Times New Roman"/>
          <w:sz w:val="20"/>
        </w:rPr>
      </w:pPr>
      <w:r>
        <w:rPr>
          <w:rFonts w:ascii="Times New Roman" w:hAnsi="Times New Roman"/>
          <w:b w:val="false"/>
          <w:i/>
          <w:sz w:val="20"/>
        </w:rPr>
        <w:t>See accompanying notes to the condensed consolidated financial statements.</w:t>
      </w:r>
      <w:r>
        <w:rPr>
          <w:rFonts w:ascii="Times New Roman" w:hAnsi="Times New Roman"/>
          <w:sz w:val="20"/>
        </w:rPr>
        <w:t xml:space="preserve"> </w:t>
      </w:r>
    </w:p>
    <w:p>
      <w:pPr>
        <w:pStyle w:val="TextBody"/>
        <w:spacing w:lineRule="auto" w:line="273" w:before="360" w:after="0"/>
        <w:jc w:val="left"/>
        <w:rPr/>
      </w:pPr>
      <w:r>
        <w:rPr/>
        <w:t> </w:t>
      </w:r>
    </w:p>
    <w:p>
      <w:pPr>
        <w:pStyle w:val="TextBody"/>
        <w:spacing w:lineRule="auto" w:line="273" w:before="0" w:after="0"/>
        <w:jc w:val="center"/>
        <w:rPr>
          <w:rFonts w:ascii="Times New Roman" w:hAnsi="Times New Roman"/>
          <w:b w:val="false"/>
          <w:sz w:val="20"/>
        </w:rPr>
      </w:pPr>
      <w:r>
        <w:rPr>
          <w:rFonts w:ascii="Times New Roman" w:hAnsi="Times New Roman"/>
          <w:b w:val="false"/>
          <w:sz w:val="20"/>
        </w:rPr>
        <w:t>7</w:t>
      </w:r>
    </w:p>
    <w:p>
      <w:pPr>
        <w:pStyle w:val="HorizontalLine"/>
        <w:rPr/>
      </w:pPr>
      <w:r>
        <w:rPr/>
      </w:r>
    </w:p>
    <w:p>
      <w:pPr>
        <w:pStyle w:val="TextBody"/>
        <w:spacing w:lineRule="auto" w:line="273" w:before="0" w:after="0"/>
        <w:jc w:val="left"/>
        <w:rPr/>
      </w:pPr>
      <w:r>
        <w:rPr/>
        <w:t> </w:t>
      </w:r>
    </w:p>
    <w:p>
      <w:pPr>
        <w:pStyle w:val="TextBody"/>
        <w:spacing w:lineRule="auto" w:line="273" w:before="0" w:after="0"/>
        <w:jc w:val="center"/>
        <w:rPr>
          <w:rFonts w:ascii="Times New Roman" w:hAnsi="Times New Roman"/>
          <w:b/>
          <w:sz w:val="20"/>
        </w:rPr>
      </w:pPr>
      <w:bookmarkStart w:id="8" w:name="tx180355_8"/>
      <w:bookmarkEnd w:id="8"/>
      <w:r>
        <w:rPr>
          <w:rFonts w:ascii="Times New Roman" w:hAnsi="Times New Roman"/>
          <w:b/>
          <w:sz w:val="20"/>
        </w:rPr>
        <w:t>Day One Biopharmaceuticals, Inc.</w:t>
      </w:r>
    </w:p>
    <w:p>
      <w:pPr>
        <w:pStyle w:val="TextBody"/>
        <w:spacing w:lineRule="auto" w:line="273" w:before="0" w:after="0"/>
        <w:jc w:val="center"/>
        <w:rPr>
          <w:rFonts w:ascii="Times New Roman" w:hAnsi="Times New Roman"/>
          <w:sz w:val="20"/>
        </w:rPr>
      </w:pPr>
      <w:r>
        <w:rPr>
          <w:rFonts w:ascii="Times New Roman" w:hAnsi="Times New Roman"/>
          <w:b/>
          <w:sz w:val="20"/>
        </w:rPr>
        <w:t>Notes to the Condensed Consolidated Financial Statements</w:t>
      </w:r>
      <w:r>
        <w:rPr>
          <w:rFonts w:ascii="Times New Roman" w:hAnsi="Times New Roman"/>
          <w:sz w:val="20"/>
        </w:rPr>
        <w:t xml:space="preserve"> </w:t>
      </w:r>
    </w:p>
    <w:p>
      <w:pPr>
        <w:pStyle w:val="TextBody"/>
        <w:spacing w:lineRule="auto" w:line="273" w:before="240" w:after="0"/>
        <w:jc w:val="left"/>
        <w:rPr>
          <w:rFonts w:ascii="Times New Roman" w:hAnsi="Times New Roman"/>
          <w:b/>
          <w:sz w:val="20"/>
        </w:rPr>
      </w:pPr>
      <w:r>
        <w:rPr>
          <w:rFonts w:ascii="Times New Roman" w:hAnsi="Times New Roman"/>
          <w:b/>
          <w:sz w:val="20"/>
        </w:rPr>
        <w:t>1.</w:t>
      </w:r>
    </w:p>
    <w:p>
      <w:pPr>
        <w:pStyle w:val="TextBody"/>
        <w:spacing w:lineRule="auto" w:line="273" w:before="240" w:after="283"/>
        <w:jc w:val="left"/>
        <w:rPr>
          <w:rFonts w:ascii="Times New Roman" w:hAnsi="Times New Roman"/>
          <w:b/>
          <w:sz w:val="20"/>
        </w:rPr>
      </w:pPr>
      <w:r>
        <w:rPr>
          <w:rFonts w:ascii="Times New Roman" w:hAnsi="Times New Roman"/>
          <w:b/>
          <w:sz w:val="20"/>
        </w:rPr>
        <w:t xml:space="preserve">Description of Business and Organization </w:t>
      </w:r>
    </w:p>
    <w:p>
      <w:pPr>
        <w:pStyle w:val="TextBody"/>
        <w:spacing w:lineRule="auto" w:line="273" w:before="120" w:after="0"/>
        <w:jc w:val="left"/>
        <w:rPr>
          <w:rFonts w:ascii="Times New Roman" w:hAnsi="Times New Roman"/>
          <w:sz w:val="20"/>
        </w:rPr>
      </w:pPr>
      <w:r>
        <w:rPr>
          <w:rFonts w:ascii="Times New Roman" w:hAnsi="Times New Roman"/>
          <w:b/>
          <w:i/>
          <w:sz w:val="20"/>
        </w:rPr>
        <w:t>Organization and Business</w:t>
      </w:r>
      <w:r>
        <w:rPr>
          <w:rFonts w:ascii="Times New Roman" w:hAnsi="Times New Roman"/>
          <w:sz w:val="20"/>
        </w:rPr>
        <w:t xml:space="preserve"> </w:t>
      </w:r>
    </w:p>
    <w:p>
      <w:pPr>
        <w:pStyle w:val="TextBody"/>
        <w:spacing w:lineRule="auto" w:line="273" w:before="120" w:after="0"/>
        <w:jc w:val="left"/>
        <w:rPr>
          <w:rFonts w:ascii="Times New Roman" w:hAnsi="Times New Roman"/>
          <w:b w:val="false"/>
          <w:sz w:val="20"/>
        </w:rPr>
      </w:pPr>
      <w:r>
        <w:rPr>
          <w:rFonts w:ascii="Times New Roman" w:hAnsi="Times New Roman"/>
          <w:b w:val="false"/>
          <w:sz w:val="20"/>
        </w:rPr>
        <w:t>Day One Biopharmaceuticals, Inc., or the Company, is a clinical-stage biopharmaceutical company dedicated to developing and commercializing targeted therapies for patients of all ages with genomically-defined cancers. The Company’s lead product candidate, tovorafenib (DAY101), is an oral, brain-penetrant, highly-selective type II pan-RAF kinase inhibitor. The Company was formed as a limited liability company under the laws of the State of Delaware in November 2018, under the name Hero Therapeutics Holding Company, LLC. Subsequently, the Company changed its name to Day One Therapeutics Holding Company, LLC in December 2018 and to Day One Biopharmaceuticals Holding Company, LLC, or Day One Holding LLC, in March 2020.</w:t>
      </w:r>
    </w:p>
    <w:p>
      <w:pPr>
        <w:pStyle w:val="TextBody"/>
        <w:spacing w:lineRule="auto" w:line="273" w:before="120" w:after="0"/>
        <w:jc w:val="left"/>
        <w:rPr>
          <w:rFonts w:ascii="Times New Roman" w:hAnsi="Times New Roman"/>
          <w:sz w:val="20"/>
        </w:rPr>
      </w:pPr>
      <w:r>
        <w:rPr>
          <w:rFonts w:ascii="Times New Roman" w:hAnsi="Times New Roman"/>
          <w:b w:val="false"/>
          <w:sz w:val="20"/>
        </w:rPr>
        <w:t>On May 26, 2021, the Company completed a conversion by filing a certificate of conversion with the Secretary of State of the State of Delaware and changed its name to Day One Biopharmaceuticals, Inc. Prior to December 31, 2021, the Company had two subsidiaries: DOT Therapeutics-2, Inc. (formerly Hero Therapeutics Inc. and Day One Biopharmaceuticals, Inc.), or DOT-2, incorporated in Delaware in November 2018, and DOT Therapeutics-1, Inc., or DOT-1, incorporated in Delaware in December 2019 (collectively, “the Subsidiaries.”)</w:t>
        <w:br/>
      </w:r>
      <w:r>
        <w:rPr>
          <w:rFonts w:ascii="Times New Roman" w:hAnsi="Times New Roman"/>
          <w:sz w:val="20"/>
        </w:rPr>
        <w:t> </w:t>
      </w:r>
    </w:p>
    <w:p>
      <w:pPr>
        <w:pStyle w:val="TextBody"/>
        <w:spacing w:lineRule="auto" w:line="273" w:before="120" w:after="0"/>
        <w:jc w:val="left"/>
        <w:rPr>
          <w:rFonts w:ascii="Times New Roman" w:hAnsi="Times New Roman"/>
          <w:b w:val="false"/>
          <w:sz w:val="20"/>
        </w:rPr>
      </w:pPr>
      <w:r>
        <w:rPr>
          <w:rFonts w:ascii="Times New Roman" w:hAnsi="Times New Roman"/>
          <w:b w:val="false"/>
          <w:sz w:val="20"/>
        </w:rPr>
        <w:t>In December 2021, the Company’s board of directors approved the merger of the Subsidiaries with and into the Company, with the Company being the surviving corporation (collectively, the “Merger”), effective December 31, 2021. For more information on the financial statement impact of the Merger, refer to the section titled “Basis of Presentation.”</w:t>
      </w:r>
    </w:p>
    <w:p>
      <w:pPr>
        <w:pStyle w:val="TextBody"/>
        <w:spacing w:lineRule="auto" w:line="273" w:before="360" w:after="0"/>
        <w:jc w:val="left"/>
        <w:rPr>
          <w:rFonts w:ascii="Times New Roman" w:hAnsi="Times New Roman"/>
          <w:sz w:val="20"/>
        </w:rPr>
      </w:pPr>
      <w:r>
        <w:rPr>
          <w:rFonts w:ascii="Times New Roman" w:hAnsi="Times New Roman"/>
          <w:b/>
          <w:i/>
          <w:sz w:val="20"/>
        </w:rPr>
        <w:t>Initial Public Offering, Corporate Conversion and Exchange of Takeda’s shares</w:t>
      </w:r>
      <w:r>
        <w:rPr>
          <w:rFonts w:ascii="Times New Roman" w:hAnsi="Times New Roman"/>
          <w:sz w:val="20"/>
        </w:rPr>
        <w:t xml:space="preserve"> </w:t>
      </w:r>
    </w:p>
    <w:p>
      <w:pPr>
        <w:pStyle w:val="TextBody"/>
        <w:spacing w:lineRule="auto" w:line="273" w:before="120" w:after="0"/>
        <w:jc w:val="left"/>
        <w:rPr>
          <w:rFonts w:ascii="Times New Roman" w:hAnsi="Times New Roman"/>
          <w:sz w:val="20"/>
        </w:rPr>
      </w:pPr>
      <w:r>
        <w:rPr>
          <w:rFonts w:ascii="Times New Roman" w:hAnsi="Times New Roman"/>
          <w:b w:val="false"/>
          <w:sz w:val="20"/>
        </w:rPr>
        <w:t>On June 1, 2021, the Company closed its initial public offering, or the IPO, in which it sold an aggregate of 11,500,000</w:t>
      </w:r>
      <w:r>
        <w:rPr>
          <w:rFonts w:ascii="Times New Roman" w:hAnsi="Times New Roman"/>
          <w:sz w:val="20"/>
        </w:rPr>
        <w:t xml:space="preserve"> </w:t>
      </w:r>
      <w:r>
        <w:rPr>
          <w:rFonts w:ascii="Times New Roman" w:hAnsi="Times New Roman"/>
          <w:b w:val="false"/>
          <w:sz w:val="20"/>
        </w:rPr>
        <w:t>shares of common stock at a price to the public of $16.00</w:t>
      </w:r>
      <w:r>
        <w:rPr>
          <w:rFonts w:ascii="Times New Roman" w:hAnsi="Times New Roman"/>
          <w:sz w:val="20"/>
        </w:rPr>
        <w:t xml:space="preserve"> </w:t>
      </w:r>
      <w:r>
        <w:rPr>
          <w:rFonts w:ascii="Times New Roman" w:hAnsi="Times New Roman"/>
          <w:b w:val="false"/>
          <w:sz w:val="20"/>
        </w:rPr>
        <w:t>per share, which included 1,500,000</w:t>
      </w:r>
      <w:r>
        <w:rPr>
          <w:rFonts w:ascii="Times New Roman" w:hAnsi="Times New Roman"/>
          <w:sz w:val="20"/>
        </w:rPr>
        <w:t xml:space="preserve"> </w:t>
      </w:r>
      <w:r>
        <w:rPr>
          <w:rFonts w:ascii="Times New Roman" w:hAnsi="Times New Roman"/>
          <w:b w:val="false"/>
          <w:sz w:val="20"/>
        </w:rPr>
        <w:t>shares issued upon the full exercise by the underwriters of their option to purchase additional shares of common stock. The Company received aggregate net proceeds from the IPO of $167.0</w:t>
      </w:r>
      <w:r>
        <w:rPr>
          <w:rFonts w:ascii="Times New Roman" w:hAnsi="Times New Roman"/>
          <w:sz w:val="20"/>
        </w:rPr>
        <w:t xml:space="preserve"> </w:t>
      </w:r>
      <w:r>
        <w:rPr>
          <w:rFonts w:ascii="Times New Roman" w:hAnsi="Times New Roman"/>
          <w:b w:val="false"/>
          <w:sz w:val="20"/>
        </w:rPr>
        <w:t>million, after deducting underwriting discounts and commissions and offering costs, of $17.0</w:t>
      </w:r>
      <w:r>
        <w:rPr>
          <w:rFonts w:ascii="Times New Roman" w:hAnsi="Times New Roman"/>
          <w:sz w:val="20"/>
        </w:rPr>
        <w:t xml:space="preserve"> </w:t>
      </w:r>
      <w:r>
        <w:rPr>
          <w:rFonts w:ascii="Times New Roman" w:hAnsi="Times New Roman"/>
          <w:b w:val="false"/>
          <w:sz w:val="20"/>
        </w:rPr>
        <w:t>million. The common stock began trading on the Nasdaq Global Select Market on May 27, 2021, under the symbol “DAWN.”</w:t>
      </w:r>
    </w:p>
    <w:p>
      <w:pPr>
        <w:pStyle w:val="TextBody"/>
        <w:spacing w:lineRule="auto" w:line="273" w:before="120" w:after="0"/>
        <w:jc w:val="left"/>
        <w:rPr>
          <w:rFonts w:ascii="Times New Roman" w:hAnsi="Times New Roman"/>
          <w:b w:val="false"/>
          <w:sz w:val="20"/>
        </w:rPr>
      </w:pPr>
      <w:r>
        <w:rPr>
          <w:rFonts w:ascii="Times New Roman" w:hAnsi="Times New Roman"/>
          <w:b w:val="false"/>
          <w:sz w:val="20"/>
        </w:rPr>
        <w:t>In contemplation of the IPO, on May 26, 2021, the Company completed a legal entity conversion, or the Conversion, which included the following: Day One Holding LLC (i) converted from a Delaware limited liability company to a Delaware corporation by filing a certificate of conversion with the Secretary of State of the State of Delaware and (ii) changed its name to Day One Biopharmaceuticals, Inc.</w:t>
      </w:r>
    </w:p>
    <w:p>
      <w:pPr>
        <w:pStyle w:val="TextBody"/>
        <w:spacing w:lineRule="auto" w:line="273" w:before="120" w:after="0"/>
        <w:jc w:val="left"/>
        <w:rPr>
          <w:rFonts w:ascii="Times New Roman" w:hAnsi="Times New Roman"/>
          <w:sz w:val="20"/>
        </w:rPr>
      </w:pPr>
      <w:r>
        <w:rPr>
          <w:rFonts w:ascii="Times New Roman" w:hAnsi="Times New Roman"/>
          <w:b w:val="false"/>
          <w:sz w:val="20"/>
        </w:rPr>
        <w:t>As part of the Conversion:</w:t>
      </w:r>
      <w:r>
        <w:rPr>
          <w:rFonts w:ascii="Times New Roman" w:hAnsi="Times New Roman"/>
          <w:sz w:val="20"/>
        </w:rPr>
        <w:t xml:space="preserve"> </w:t>
      </w:r>
    </w:p>
    <w:p>
      <w:pPr>
        <w:pStyle w:val="TextBody"/>
        <w:spacing w:lineRule="auto" w:line="273" w:before="120" w:after="0"/>
        <w:jc w:val="left"/>
        <w:rPr/>
      </w:pPr>
      <w:r>
        <w:rPr/>
        <w:t>•</w:t>
      </w:r>
    </w:p>
    <w:p>
      <w:pPr>
        <w:pStyle w:val="TextBody"/>
        <w:spacing w:lineRule="auto" w:line="273" w:before="120" w:after="0"/>
        <w:jc w:val="left"/>
        <w:rPr>
          <w:rFonts w:ascii="Times New Roman" w:hAnsi="Times New Roman"/>
          <w:b w:val="false"/>
          <w:sz w:val="20"/>
        </w:rPr>
      </w:pPr>
      <w:r>
        <w:rPr>
          <w:rFonts w:ascii="Times New Roman" w:hAnsi="Times New Roman"/>
          <w:b w:val="false"/>
          <w:sz w:val="20"/>
        </w:rPr>
        <w:t xml:space="preserve">holders of Series A redeemable convertible preferred shares of Day One Holding LLC received one share of Series A redeemable convertible preferred stock of the Company for each Series A redeemable convertible preferred share held immediately prior to the Conversion; </w:t>
      </w:r>
    </w:p>
    <w:p>
      <w:pPr>
        <w:pStyle w:val="TextBody"/>
        <w:spacing w:lineRule="auto" w:line="273" w:before="120" w:after="0"/>
        <w:jc w:val="left"/>
        <w:rPr/>
      </w:pPr>
      <w:r>
        <w:rPr/>
        <w:t>•</w:t>
      </w:r>
    </w:p>
    <w:p>
      <w:pPr>
        <w:pStyle w:val="TextBody"/>
        <w:spacing w:lineRule="auto" w:line="273" w:before="120" w:after="0"/>
        <w:jc w:val="left"/>
        <w:rPr>
          <w:rFonts w:ascii="Times New Roman" w:hAnsi="Times New Roman"/>
          <w:b w:val="false"/>
          <w:sz w:val="20"/>
        </w:rPr>
      </w:pPr>
      <w:r>
        <w:rPr>
          <w:rFonts w:ascii="Times New Roman" w:hAnsi="Times New Roman"/>
          <w:b w:val="false"/>
          <w:sz w:val="20"/>
        </w:rPr>
        <w:t xml:space="preserve">holders of Series B redeemable convertible preferred shares of Day One Holding LLC received one share of Series B redeemable convertible preferred stock of the Company for each Series B redeemable convertible preferred share held immediately prior to the Conversion; </w:t>
      </w:r>
    </w:p>
    <w:p>
      <w:pPr>
        <w:pStyle w:val="TextBody"/>
        <w:spacing w:lineRule="auto" w:line="273" w:before="120" w:after="0"/>
        <w:jc w:val="left"/>
        <w:rPr/>
      </w:pPr>
      <w:r>
        <w:rPr/>
        <w:t>•</w:t>
      </w:r>
    </w:p>
    <w:p>
      <w:pPr>
        <w:pStyle w:val="TextBody"/>
        <w:spacing w:lineRule="auto" w:line="273" w:before="120" w:after="0"/>
        <w:jc w:val="left"/>
        <w:rPr>
          <w:rFonts w:ascii="Times New Roman" w:hAnsi="Times New Roman"/>
          <w:b w:val="false"/>
          <w:sz w:val="20"/>
        </w:rPr>
      </w:pPr>
      <w:r>
        <w:rPr>
          <w:rFonts w:ascii="Times New Roman" w:hAnsi="Times New Roman"/>
          <w:b w:val="false"/>
          <w:sz w:val="20"/>
        </w:rPr>
        <w:t xml:space="preserve">holders of common shares of Day One Holding LLC received one share of common stock of the Company for each common share held immediately prior to the Conversion; </w:t>
      </w:r>
    </w:p>
    <w:p>
      <w:pPr>
        <w:pStyle w:val="TextBody"/>
        <w:spacing w:lineRule="auto" w:line="273" w:before="120" w:after="0"/>
        <w:jc w:val="left"/>
        <w:rPr/>
      </w:pPr>
      <w:r>
        <w:rPr/>
        <w:t>•</w:t>
      </w:r>
    </w:p>
    <w:p>
      <w:pPr>
        <w:pStyle w:val="TextBody"/>
        <w:spacing w:lineRule="auto" w:line="273" w:before="120" w:after="283"/>
        <w:jc w:val="left"/>
        <w:rPr>
          <w:rFonts w:ascii="Times New Roman" w:hAnsi="Times New Roman"/>
          <w:sz w:val="20"/>
        </w:rPr>
      </w:pPr>
      <w:r>
        <w:rPr>
          <w:rFonts w:ascii="Times New Roman" w:hAnsi="Times New Roman"/>
          <w:b w:val="false"/>
          <w:sz w:val="20"/>
        </w:rPr>
        <w:t>each outstanding incentive share in Day One Holding LLC converted into a number of shares of common stock of the Company based upon a conversion price determined by the board of directors. The conversion price was determined as a difference between the IPO price of $16.00</w:t>
      </w:r>
      <w:r>
        <w:rPr>
          <w:rFonts w:ascii="Times New Roman" w:hAnsi="Times New Roman"/>
          <w:sz w:val="20"/>
        </w:rPr>
        <w:t xml:space="preserve"> </w:t>
      </w:r>
      <w:r>
        <w:rPr>
          <w:rFonts w:ascii="Times New Roman" w:hAnsi="Times New Roman"/>
          <w:b w:val="false"/>
          <w:sz w:val="20"/>
        </w:rPr>
        <w:t>per share and the participating threshold for each incentive share. The Company issued 5,433,290</w:t>
      </w:r>
      <w:r>
        <w:rPr>
          <w:rFonts w:ascii="Times New Roman" w:hAnsi="Times New Roman"/>
          <w:sz w:val="20"/>
        </w:rPr>
        <w:t xml:space="preserve"> </w:t>
      </w:r>
      <w:r>
        <w:rPr>
          <w:rFonts w:ascii="Times New Roman" w:hAnsi="Times New Roman"/>
          <w:b w:val="false"/>
          <w:sz w:val="20"/>
        </w:rPr>
        <w:t>common stock shares upon the conversion of incentive shares of Day One Holding LLC, of which 4,719,605</w:t>
      </w:r>
      <w:r>
        <w:rPr>
          <w:rFonts w:ascii="Times New Roman" w:hAnsi="Times New Roman"/>
          <w:sz w:val="20"/>
        </w:rPr>
        <w:t xml:space="preserve"> </w:t>
      </w:r>
      <w:r>
        <w:rPr>
          <w:rFonts w:ascii="Times New Roman" w:hAnsi="Times New Roman"/>
          <w:b w:val="false"/>
          <w:sz w:val="20"/>
        </w:rPr>
        <w:t xml:space="preserve">common stock shares continue to vest as per the original vesting terms of the incentive shares awards. </w:t>
      </w:r>
    </w:p>
    <w:p>
      <w:pPr>
        <w:pStyle w:val="TextBody"/>
        <w:spacing w:lineRule="auto" w:line="273" w:before="120" w:after="0"/>
        <w:jc w:val="left"/>
        <w:rPr>
          <w:rFonts w:ascii="Times New Roman" w:hAnsi="Times New Roman"/>
          <w:sz w:val="20"/>
        </w:rPr>
      </w:pPr>
      <w:r>
        <w:rPr>
          <w:rFonts w:ascii="Times New Roman" w:hAnsi="Times New Roman"/>
          <w:b w:val="false"/>
          <w:sz w:val="20"/>
        </w:rPr>
        <w:t>In connection with the IPO and the Conversion, pursuant to the terms of the Millennium Stock Exchange Agreement, or the Millennium Stock Exchange Agreement, and the Conversion, Millennium Pharmaceuticals, Inc. exchanged 9,857,143</w:t>
      </w:r>
      <w:r>
        <w:rPr>
          <w:rFonts w:ascii="Times New Roman" w:hAnsi="Times New Roman"/>
          <w:sz w:val="20"/>
        </w:rPr>
        <w:t xml:space="preserve"> </w:t>
      </w:r>
      <w:r>
        <w:rPr>
          <w:rFonts w:ascii="Times New Roman" w:hAnsi="Times New Roman"/>
          <w:b w:val="false"/>
          <w:sz w:val="20"/>
        </w:rPr>
        <w:t>shares of Series A redeemable convertible preferred stock of DOT-1, a subsidiary of Day One Holding LLC, for 6,470,382</w:t>
      </w:r>
      <w:r>
        <w:rPr>
          <w:rFonts w:ascii="Times New Roman" w:hAnsi="Times New Roman"/>
          <w:sz w:val="20"/>
        </w:rPr>
        <w:t xml:space="preserve"> </w:t>
      </w:r>
      <w:r>
        <w:rPr>
          <w:rFonts w:ascii="Times New Roman" w:hAnsi="Times New Roman"/>
          <w:b w:val="false"/>
          <w:sz w:val="20"/>
        </w:rPr>
        <w:t>shares of common stock of the Company, or the Exchange.</w:t>
      </w:r>
    </w:p>
    <w:p>
      <w:pPr>
        <w:pStyle w:val="TextBody"/>
        <w:spacing w:lineRule="auto" w:line="273" w:before="0" w:after="0"/>
        <w:jc w:val="center"/>
        <w:rPr>
          <w:rFonts w:ascii="Times New Roman" w:hAnsi="Times New Roman"/>
          <w:b w:val="false"/>
          <w:sz w:val="20"/>
        </w:rPr>
      </w:pPr>
      <w:r>
        <w:rPr>
          <w:rFonts w:ascii="Times New Roman" w:hAnsi="Times New Roman"/>
          <w:b w:val="false"/>
          <w:sz w:val="20"/>
        </w:rPr>
        <w:t>8</w:t>
      </w:r>
    </w:p>
    <w:p>
      <w:pPr>
        <w:pStyle w:val="HorizontalLine"/>
        <w:rPr/>
      </w:pPr>
      <w:r>
        <w:rPr/>
      </w:r>
    </w:p>
    <w:p>
      <w:pPr>
        <w:pStyle w:val="TextBody"/>
        <w:spacing w:lineRule="auto" w:line="273" w:before="0" w:after="120"/>
        <w:jc w:val="center"/>
        <w:rPr>
          <w:rFonts w:ascii="Times New Roman" w:hAnsi="Times New Roman"/>
          <w:b/>
          <w:sz w:val="20"/>
        </w:rPr>
      </w:pPr>
      <w:r>
        <w:rPr>
          <w:rFonts w:ascii="Times New Roman" w:hAnsi="Times New Roman"/>
          <w:b/>
          <w:sz w:val="20"/>
        </w:rPr>
        <w:t>Notes to the Condensed Consolidated Financial Statements</w:t>
      </w:r>
    </w:p>
    <w:p>
      <w:pPr>
        <w:pStyle w:val="TextBody"/>
        <w:spacing w:lineRule="auto" w:line="273" w:before="120" w:after="0"/>
        <w:jc w:val="left"/>
        <w:rPr>
          <w:rFonts w:ascii="Times New Roman" w:hAnsi="Times New Roman"/>
          <w:sz w:val="20"/>
        </w:rPr>
      </w:pPr>
      <w:r>
        <w:rPr>
          <w:rFonts w:ascii="Times New Roman" w:hAnsi="Times New Roman"/>
          <w:b w:val="false"/>
          <w:sz w:val="20"/>
        </w:rPr>
        <w:t>The Company holds all property and assets of Day One Holding LLC and assumed all of the debts and obligations of Day One Holding LLC. Effective on the date of the Conversion, each member of the board of directors and officers of Day One Holding LLC became a member of the board of directors and officers of the Company. The Conversion was a tax-free reorganization, that included authorization to issue capital stock consisting of 500,000,000</w:t>
      </w:r>
      <w:r>
        <w:rPr>
          <w:rFonts w:ascii="Times New Roman" w:hAnsi="Times New Roman"/>
          <w:sz w:val="20"/>
        </w:rPr>
        <w:t xml:space="preserve"> </w:t>
      </w:r>
      <w:r>
        <w:rPr>
          <w:rFonts w:ascii="Times New Roman" w:hAnsi="Times New Roman"/>
          <w:b w:val="false"/>
          <w:sz w:val="20"/>
        </w:rPr>
        <w:t>shares of common stock, $0.0001</w:t>
      </w:r>
      <w:r>
        <w:rPr>
          <w:rFonts w:ascii="Times New Roman" w:hAnsi="Times New Roman"/>
          <w:sz w:val="20"/>
        </w:rPr>
        <w:t xml:space="preserve"> </w:t>
      </w:r>
      <w:r>
        <w:rPr>
          <w:rFonts w:ascii="Times New Roman" w:hAnsi="Times New Roman"/>
          <w:b w:val="false"/>
          <w:sz w:val="20"/>
        </w:rPr>
        <w:t>par value per share, and 10,000,000</w:t>
      </w:r>
      <w:r>
        <w:rPr>
          <w:rFonts w:ascii="Times New Roman" w:hAnsi="Times New Roman"/>
          <w:sz w:val="20"/>
        </w:rPr>
        <w:t xml:space="preserve"> </w:t>
      </w:r>
      <w:r>
        <w:rPr>
          <w:rFonts w:ascii="Times New Roman" w:hAnsi="Times New Roman"/>
          <w:b w:val="false"/>
          <w:sz w:val="20"/>
        </w:rPr>
        <w:t>shares of undesignated preferred stock, $0.0001</w:t>
      </w:r>
      <w:r>
        <w:rPr>
          <w:rFonts w:ascii="Times New Roman" w:hAnsi="Times New Roman"/>
          <w:sz w:val="20"/>
        </w:rPr>
        <w:t xml:space="preserve"> </w:t>
      </w:r>
      <w:r>
        <w:rPr>
          <w:rFonts w:ascii="Times New Roman" w:hAnsi="Times New Roman"/>
          <w:b w:val="false"/>
          <w:sz w:val="20"/>
        </w:rPr>
        <w:t>par value per share.</w:t>
      </w:r>
    </w:p>
    <w:p>
      <w:pPr>
        <w:pStyle w:val="TextBody"/>
        <w:spacing w:lineRule="auto" w:line="273" w:before="120" w:after="0"/>
        <w:jc w:val="left"/>
        <w:rPr>
          <w:rFonts w:ascii="Times New Roman" w:hAnsi="Times New Roman"/>
          <w:sz w:val="20"/>
        </w:rPr>
      </w:pPr>
      <w:r>
        <w:rPr>
          <w:rFonts w:ascii="Times New Roman" w:hAnsi="Times New Roman"/>
          <w:b w:val="false"/>
          <w:sz w:val="20"/>
        </w:rPr>
        <w:t>Upon the closing of the IPO, 32,489,398</w:t>
      </w:r>
      <w:r>
        <w:rPr>
          <w:rFonts w:ascii="Times New Roman" w:hAnsi="Times New Roman"/>
          <w:sz w:val="20"/>
        </w:rPr>
        <w:t xml:space="preserve"> </w:t>
      </w:r>
      <w:r>
        <w:rPr>
          <w:rFonts w:ascii="Times New Roman" w:hAnsi="Times New Roman"/>
          <w:b w:val="false"/>
          <w:sz w:val="20"/>
        </w:rPr>
        <w:t>shares of redeemable convertible preferred stock issued by the Company in the Conversion converted into an equal number of shares of common stock. The Company also granted options for 4,418,874</w:t>
      </w:r>
      <w:r>
        <w:rPr>
          <w:rFonts w:ascii="Times New Roman" w:hAnsi="Times New Roman"/>
          <w:sz w:val="20"/>
        </w:rPr>
        <w:t xml:space="preserve"> </w:t>
      </w:r>
      <w:r>
        <w:rPr>
          <w:rFonts w:ascii="Times New Roman" w:hAnsi="Times New Roman"/>
          <w:b w:val="false"/>
          <w:sz w:val="20"/>
        </w:rPr>
        <w:t>common stock shares at $16.00</w:t>
      </w:r>
      <w:r>
        <w:rPr>
          <w:rFonts w:ascii="Times New Roman" w:hAnsi="Times New Roman"/>
          <w:sz w:val="20"/>
        </w:rPr>
        <w:t xml:space="preserve"> </w:t>
      </w:r>
      <w:r>
        <w:rPr>
          <w:rFonts w:ascii="Times New Roman" w:hAnsi="Times New Roman"/>
          <w:b w:val="false"/>
          <w:sz w:val="20"/>
        </w:rPr>
        <w:t>per share upon the IPO date.</w:t>
      </w:r>
    </w:p>
    <w:p>
      <w:pPr>
        <w:pStyle w:val="TextBody"/>
        <w:spacing w:lineRule="auto" w:line="273" w:before="360" w:after="0"/>
        <w:jc w:val="left"/>
        <w:rPr>
          <w:rFonts w:ascii="Times New Roman" w:hAnsi="Times New Roman"/>
          <w:sz w:val="20"/>
        </w:rPr>
      </w:pPr>
      <w:r>
        <w:rPr>
          <w:rFonts w:ascii="Times New Roman" w:hAnsi="Times New Roman"/>
          <w:b/>
          <w:i/>
          <w:sz w:val="20"/>
        </w:rPr>
        <w:t>Shares Split</w:t>
      </w:r>
      <w:r>
        <w:rPr>
          <w:rFonts w:ascii="Times New Roman" w:hAnsi="Times New Roman"/>
          <w:sz w:val="20"/>
        </w:rPr>
        <w:t xml:space="preserve"> </w:t>
      </w:r>
    </w:p>
    <w:p>
      <w:pPr>
        <w:pStyle w:val="TextBody"/>
        <w:spacing w:lineRule="auto" w:line="273" w:before="120" w:after="0"/>
        <w:jc w:val="left"/>
        <w:rPr>
          <w:rFonts w:ascii="Times New Roman" w:hAnsi="Times New Roman"/>
          <w:sz w:val="20"/>
        </w:rPr>
      </w:pPr>
      <w:r>
        <w:rPr>
          <w:rFonts w:ascii="Times New Roman" w:hAnsi="Times New Roman"/>
          <w:b w:val="false"/>
          <w:sz w:val="20"/>
        </w:rPr>
        <w:t>On May 23, 2021, the board of directors of Day One Holding LLC approved an amendment to its operating agreement to effect a forward split of the Company’s shares at a 2.325-for-1</w:t>
      </w:r>
      <w:r>
        <w:rPr>
          <w:rFonts w:ascii="Times New Roman" w:hAnsi="Times New Roman"/>
          <w:sz w:val="20"/>
        </w:rPr>
        <w:t xml:space="preserve"> </w:t>
      </w:r>
      <w:r>
        <w:rPr>
          <w:rFonts w:ascii="Times New Roman" w:hAnsi="Times New Roman"/>
          <w:b w:val="false"/>
          <w:sz w:val="20"/>
        </w:rPr>
        <w:t>ratio, or the Stock Split. The Stock Split became effective on May 23, 2021, upon approval by the members and execution of the amended LLC operating agreement. All issued and outstanding common shares, redeemable convertible preferred shares, incentive shares and per share amounts contained in these condensed consolidated financial statements have been retroactively adjusted to reflect this Stock Split for all periods presented.</w:t>
      </w:r>
    </w:p>
    <w:p>
      <w:pPr>
        <w:pStyle w:val="TextBody"/>
        <w:spacing w:lineRule="auto" w:line="273" w:before="360" w:after="0"/>
        <w:jc w:val="left"/>
        <w:rPr>
          <w:rFonts w:ascii="Times New Roman" w:hAnsi="Times New Roman"/>
          <w:b/>
          <w:sz w:val="20"/>
        </w:rPr>
      </w:pPr>
      <w:r>
        <w:rPr>
          <w:rFonts w:ascii="Times New Roman" w:hAnsi="Times New Roman"/>
          <w:b/>
          <w:sz w:val="20"/>
        </w:rPr>
        <w:t>2.</w:t>
      </w:r>
    </w:p>
    <w:p>
      <w:pPr>
        <w:pStyle w:val="TextBody"/>
        <w:spacing w:lineRule="auto" w:line="273" w:before="360" w:after="283"/>
        <w:jc w:val="left"/>
        <w:rPr>
          <w:rFonts w:ascii="Times New Roman" w:hAnsi="Times New Roman"/>
          <w:b/>
          <w:sz w:val="20"/>
        </w:rPr>
      </w:pPr>
      <w:r>
        <w:rPr>
          <w:rFonts w:ascii="Times New Roman" w:hAnsi="Times New Roman"/>
          <w:b/>
          <w:sz w:val="20"/>
        </w:rPr>
        <w:t xml:space="preserve">Summary of Significant Accounting Policies </w:t>
      </w:r>
    </w:p>
    <w:p>
      <w:pPr>
        <w:pStyle w:val="TextBody"/>
        <w:spacing w:lineRule="auto" w:line="273" w:before="120" w:after="0"/>
        <w:jc w:val="left"/>
        <w:rPr>
          <w:rFonts w:ascii="Times New Roman" w:hAnsi="Times New Roman"/>
          <w:b w:val="false"/>
          <w:sz w:val="20"/>
        </w:rPr>
      </w:pPr>
      <w:r>
        <w:rPr>
          <w:rFonts w:ascii="Times New Roman" w:hAnsi="Times New Roman"/>
          <w:b w:val="false"/>
          <w:sz w:val="20"/>
        </w:rPr>
        <w:t>There have been no changes to the significant accounting policies as disclosed in Note 2 to the Company’s annual consolidated financial statements for the years ended December 31, 2021 and 2020 included in the Company’s Annual Report on Form 10-K for the year ended December 31, 2021.</w:t>
      </w:r>
    </w:p>
    <w:p>
      <w:pPr>
        <w:pStyle w:val="TextBody"/>
        <w:spacing w:lineRule="auto" w:line="273" w:before="360" w:after="0"/>
        <w:jc w:val="left"/>
        <w:rPr>
          <w:rFonts w:ascii="Times New Roman" w:hAnsi="Times New Roman"/>
          <w:sz w:val="20"/>
        </w:rPr>
      </w:pPr>
      <w:r>
        <w:rPr>
          <w:rFonts w:ascii="Times New Roman" w:hAnsi="Times New Roman"/>
          <w:b/>
          <w:i/>
          <w:sz w:val="20"/>
        </w:rPr>
        <w:t>Basis of Presentation</w:t>
      </w:r>
      <w:r>
        <w:rPr>
          <w:rFonts w:ascii="Times New Roman" w:hAnsi="Times New Roman"/>
          <w:sz w:val="20"/>
        </w:rPr>
        <w:t xml:space="preserve"> </w:t>
      </w:r>
    </w:p>
    <w:p>
      <w:pPr>
        <w:pStyle w:val="TextBody"/>
        <w:spacing w:lineRule="auto" w:line="273" w:before="120" w:after="0"/>
        <w:jc w:val="left"/>
        <w:rPr>
          <w:rFonts w:ascii="Times New Roman" w:hAnsi="Times New Roman"/>
          <w:sz w:val="20"/>
        </w:rPr>
      </w:pPr>
      <w:r>
        <w:rPr>
          <w:rFonts w:ascii="Times New Roman" w:hAnsi="Times New Roman"/>
          <w:b w:val="false"/>
          <w:sz w:val="20"/>
        </w:rPr>
        <w:t>The accompanying unaudited condensed consolidated financial statements have been prepared in accordance with U.S. GAAP for interim financial information and with the instructions to Form 10-Q and Article 10 of Regulation S-X. Accordingly, they do not include all of the information and footnotes required by U.S. GAAP for complete financial statements. In the opinion of management, all adjustments (consisting of normal recurring accruals) considered necessary for a fair presentation have been included. Operating results for the three months ended March 31, 2022 are not necessarily indicative of the results that may be expected for the year ending December 31, 2022.</w:t>
        <w:br/>
      </w:r>
      <w:r>
        <w:rPr>
          <w:rFonts w:ascii="Times New Roman" w:hAnsi="Times New Roman"/>
          <w:sz w:val="20"/>
        </w:rPr>
        <w:t> </w:t>
      </w:r>
    </w:p>
    <w:p>
      <w:pPr>
        <w:pStyle w:val="TextBody"/>
        <w:spacing w:lineRule="auto" w:line="273" w:before="120" w:after="0"/>
        <w:jc w:val="left"/>
        <w:rPr>
          <w:rFonts w:ascii="Times New Roman" w:hAnsi="Times New Roman"/>
          <w:b w:val="false"/>
          <w:sz w:val="20"/>
        </w:rPr>
      </w:pPr>
      <w:r>
        <w:rPr>
          <w:rFonts w:ascii="Times New Roman" w:hAnsi="Times New Roman"/>
          <w:b w:val="false"/>
          <w:sz w:val="20"/>
        </w:rPr>
        <w:t>The condensed consolidated balance sheet at December 31, 2021, has been derived from the audited consolidated financial statements at that date but does not include all of the information and footnotes required by U.S. GAAP for complete financial statements.</w:t>
      </w:r>
    </w:p>
    <w:p>
      <w:pPr>
        <w:pStyle w:val="TextBody"/>
        <w:spacing w:lineRule="auto" w:line="273" w:before="120" w:after="0"/>
        <w:jc w:val="left"/>
        <w:rPr>
          <w:rFonts w:ascii="Times New Roman" w:hAnsi="Times New Roman"/>
          <w:sz w:val="20"/>
        </w:rPr>
      </w:pPr>
      <w:r>
        <w:rPr>
          <w:rFonts w:ascii="Times New Roman" w:hAnsi="Times New Roman"/>
          <w:b w:val="false"/>
          <w:sz w:val="20"/>
        </w:rPr>
        <w:t xml:space="preserve">Because the Merger (refer to the section “Organization and Business”) did not constitute a change in the reporting entity, as defined in ASC 250, </w:t>
      </w:r>
      <w:r>
        <w:rPr>
          <w:rFonts w:ascii="Times New Roman" w:hAnsi="Times New Roman"/>
          <w:b w:val="false"/>
          <w:i/>
          <w:sz w:val="20"/>
        </w:rPr>
        <w:t>Accounting changes and error corrections</w:t>
      </w:r>
      <w:r>
        <w:rPr>
          <w:rFonts w:ascii="Times New Roman" w:hAnsi="Times New Roman"/>
          <w:b w:val="false"/>
          <w:sz w:val="20"/>
        </w:rPr>
        <w:t>, the Company has reported the assets and liabilities transferred from its Subsidiaries at historical carrying value, effective December 31, 2021.</w:t>
      </w:r>
    </w:p>
    <w:p>
      <w:pPr>
        <w:pStyle w:val="TextBody"/>
        <w:spacing w:lineRule="auto" w:line="273" w:before="120" w:after="0"/>
        <w:jc w:val="left"/>
        <w:rPr>
          <w:rFonts w:ascii="Times New Roman" w:hAnsi="Times New Roman"/>
          <w:sz w:val="20"/>
        </w:rPr>
      </w:pPr>
      <w:r>
        <w:rPr>
          <w:rFonts w:ascii="Times New Roman" w:hAnsi="Times New Roman"/>
          <w:b w:val="false"/>
          <w:sz w:val="20"/>
        </w:rPr>
        <w:br/>
      </w:r>
      <w:r>
        <w:rPr>
          <w:rFonts w:ascii="Times New Roman" w:hAnsi="Times New Roman"/>
          <w:sz w:val="20"/>
        </w:rPr>
        <w:t> </w:t>
      </w:r>
    </w:p>
    <w:p>
      <w:pPr>
        <w:pStyle w:val="TextBody"/>
        <w:spacing w:lineRule="auto" w:line="273" w:before="120" w:after="0"/>
        <w:jc w:val="left"/>
        <w:rPr>
          <w:rFonts w:ascii="Times New Roman" w:hAnsi="Times New Roman"/>
          <w:b w:val="false"/>
          <w:sz w:val="20"/>
        </w:rPr>
      </w:pPr>
      <w:r>
        <w:rPr>
          <w:rFonts w:ascii="Times New Roman" w:hAnsi="Times New Roman"/>
          <w:b w:val="false"/>
          <w:sz w:val="20"/>
        </w:rPr>
        <w:t>For further information, refer to the consolidated financial statements and footnotes thereto included in the Company's Annual Report on Form 10-K for the year ended December 31, 2021.</w:t>
      </w:r>
    </w:p>
    <w:p>
      <w:pPr>
        <w:pStyle w:val="TextBody"/>
        <w:spacing w:lineRule="auto" w:line="273" w:before="120" w:after="0"/>
        <w:jc w:val="left"/>
        <w:rPr>
          <w:rFonts w:ascii="Times New Roman" w:hAnsi="Times New Roman"/>
          <w:b w:val="false"/>
          <w:sz w:val="20"/>
        </w:rPr>
      </w:pPr>
      <w:r>
        <w:rPr>
          <w:rFonts w:ascii="Times New Roman" w:hAnsi="Times New Roman"/>
          <w:b w:val="false"/>
          <w:sz w:val="20"/>
        </w:rPr>
        <w:t>Any reference in these notes to applicable guidance is meant to refer to the authoritative generally accepted accounting principles as found in the Accounting Standards Codification, or ASC, and Accounting Standards Updates, or ASU, of the Financial Accounting Standards Board, or FASB.</w:t>
      </w:r>
    </w:p>
    <w:p>
      <w:pPr>
        <w:pStyle w:val="TextBody"/>
        <w:spacing w:lineRule="auto" w:line="273" w:before="360" w:after="0"/>
        <w:jc w:val="left"/>
        <w:rPr>
          <w:rFonts w:ascii="Times New Roman" w:hAnsi="Times New Roman"/>
          <w:sz w:val="20"/>
        </w:rPr>
      </w:pPr>
      <w:r>
        <w:rPr>
          <w:rFonts w:ascii="Times New Roman" w:hAnsi="Times New Roman"/>
          <w:b/>
          <w:i/>
          <w:sz w:val="20"/>
        </w:rPr>
        <w:t>Use of Estimates</w:t>
      </w:r>
      <w:r>
        <w:rPr>
          <w:rFonts w:ascii="Times New Roman" w:hAnsi="Times New Roman"/>
          <w:sz w:val="20"/>
        </w:rPr>
        <w:t xml:space="preserve"> </w:t>
      </w:r>
    </w:p>
    <w:p>
      <w:pPr>
        <w:pStyle w:val="TextBody"/>
        <w:spacing w:lineRule="auto" w:line="273" w:before="120" w:after="0"/>
        <w:jc w:val="left"/>
        <w:rPr>
          <w:rFonts w:ascii="Times New Roman" w:hAnsi="Times New Roman"/>
          <w:b w:val="false"/>
          <w:sz w:val="20"/>
        </w:rPr>
      </w:pPr>
      <w:r>
        <w:rPr>
          <w:rFonts w:ascii="Times New Roman" w:hAnsi="Times New Roman"/>
          <w:b w:val="false"/>
          <w:sz w:val="20"/>
        </w:rPr>
        <w:t>The preparation of condensed consolidated financial statements in conformity with U.S. GAAP requires management to make estimates and assumptions that affect the reported amounts of assets, liabilities and disclosure of contingent assets and liabilities at the date of the condensed consolidated financial statements, and the reported amounts of expenses during the reporting period. Significant estimates and assumptions made in the accompanying condensed consolidated financial statements include, but are not limited to, the valuation of share-based awards, the valuation of deferred tax assets and income tax uncertainties, and accruals for research and development activities. The Company bases its estimates on historical experience and on various other assumptions that are believed to be reasonable. Actual results may differ from those estimates or assumptions.</w:t>
      </w:r>
    </w:p>
    <w:p>
      <w:pPr>
        <w:pStyle w:val="TextBody"/>
        <w:spacing w:lineRule="auto" w:line="273" w:before="0" w:after="0"/>
        <w:jc w:val="center"/>
        <w:rPr>
          <w:rFonts w:ascii="Times New Roman" w:hAnsi="Times New Roman"/>
          <w:b w:val="false"/>
          <w:sz w:val="20"/>
        </w:rPr>
      </w:pPr>
      <w:r>
        <w:rPr>
          <w:rFonts w:ascii="Times New Roman" w:hAnsi="Times New Roman"/>
          <w:b w:val="false"/>
          <w:sz w:val="20"/>
        </w:rPr>
        <w:t>9</w:t>
      </w:r>
    </w:p>
    <w:p>
      <w:pPr>
        <w:pStyle w:val="HorizontalLine"/>
        <w:rPr/>
      </w:pPr>
      <w:r>
        <w:rPr/>
      </w:r>
    </w:p>
    <w:p>
      <w:pPr>
        <w:pStyle w:val="TextBody"/>
        <w:spacing w:lineRule="auto" w:line="273" w:before="0" w:after="120"/>
        <w:jc w:val="center"/>
        <w:rPr>
          <w:rFonts w:ascii="Times New Roman" w:hAnsi="Times New Roman"/>
          <w:b/>
          <w:sz w:val="20"/>
        </w:rPr>
      </w:pPr>
      <w:r>
        <w:rPr>
          <w:rFonts w:ascii="Times New Roman" w:hAnsi="Times New Roman"/>
          <w:b/>
          <w:sz w:val="20"/>
        </w:rPr>
        <w:t>Notes to the Condensed Consolidated Financial Statements</w:t>
      </w:r>
    </w:p>
    <w:p>
      <w:pPr>
        <w:pStyle w:val="TextBody"/>
        <w:spacing w:lineRule="auto" w:line="273" w:before="360" w:after="0"/>
        <w:jc w:val="left"/>
        <w:rPr>
          <w:rFonts w:ascii="Times New Roman" w:hAnsi="Times New Roman"/>
          <w:sz w:val="20"/>
        </w:rPr>
      </w:pPr>
      <w:r>
        <w:rPr>
          <w:rFonts w:ascii="Times New Roman" w:hAnsi="Times New Roman"/>
          <w:b/>
          <w:i/>
          <w:sz w:val="20"/>
        </w:rPr>
        <w:t>Emerging Growth Company Status</w:t>
      </w:r>
      <w:r>
        <w:rPr>
          <w:rFonts w:ascii="Times New Roman" w:hAnsi="Times New Roman"/>
          <w:sz w:val="20"/>
        </w:rPr>
        <w:t xml:space="preserve"> </w:t>
      </w:r>
    </w:p>
    <w:p>
      <w:pPr>
        <w:pStyle w:val="TextBody"/>
        <w:spacing w:lineRule="auto" w:line="273" w:before="120" w:after="0"/>
        <w:jc w:val="left"/>
        <w:rPr>
          <w:rFonts w:ascii="Times New Roman" w:hAnsi="Times New Roman"/>
          <w:b w:val="false"/>
          <w:sz w:val="20"/>
        </w:rPr>
      </w:pPr>
      <w:r>
        <w:rPr>
          <w:rFonts w:ascii="Times New Roman" w:hAnsi="Times New Roman"/>
          <w:b w:val="false"/>
          <w:sz w:val="20"/>
        </w:rPr>
        <w:t>The Company is an emerging growth company, as defined in the Jumpstart Our Business Startups Act of 2012, or the JOBS Act. Under the JOBS Act, emerging growth companies can delay adopting new or revised accounting standards issued subsequent to the enactment of the JOBS Act until such time as those standards apply to private companies. The Company has elected to use this extended transition period for complying with new or revised accounting standards that have different effective dates for public and private companies until the earlier of the date that it (i) is no longer an emerging growth company or (ii) affirmatively and irrevocably opts out of the extended transition period provided in the JOBS Act. As a result, these consolidated financial statements may not be comparable to companies that comply with the new or revised accounting pronouncements as of public company effective dates.</w:t>
      </w:r>
    </w:p>
    <w:p>
      <w:pPr>
        <w:pStyle w:val="TextBody"/>
        <w:spacing w:lineRule="auto" w:line="273" w:before="120" w:after="0"/>
        <w:jc w:val="left"/>
        <w:rPr>
          <w:rFonts w:ascii="Times New Roman" w:hAnsi="Times New Roman"/>
          <w:b w:val="false"/>
          <w:sz w:val="20"/>
        </w:rPr>
      </w:pPr>
      <w:r>
        <w:rPr>
          <w:rFonts w:ascii="Times New Roman" w:hAnsi="Times New Roman"/>
          <w:b w:val="false"/>
          <w:sz w:val="20"/>
        </w:rPr>
        <w:t>The JOBS Act does not preclude an emerging growth company from adopting a new or revised accounting standard earlier than the time that such standard applies to private companies. The Company expects to use the extended transition period for any other new or revised accounting standards during the period in which it remains an emerging growth company.</w:t>
      </w:r>
    </w:p>
    <w:p>
      <w:pPr>
        <w:pStyle w:val="TextBody"/>
        <w:spacing w:lineRule="auto" w:line="273" w:before="360" w:after="0"/>
        <w:jc w:val="left"/>
        <w:rPr>
          <w:rFonts w:ascii="Times New Roman" w:hAnsi="Times New Roman"/>
          <w:b/>
          <w:i/>
          <w:sz w:val="20"/>
        </w:rPr>
      </w:pPr>
      <w:r>
        <w:rPr>
          <w:rFonts w:ascii="Times New Roman" w:hAnsi="Times New Roman"/>
          <w:b/>
          <w:i/>
          <w:sz w:val="20"/>
        </w:rPr>
        <w:t>Recently Adopted Accounting Pronouncements</w:t>
      </w:r>
    </w:p>
    <w:p>
      <w:pPr>
        <w:pStyle w:val="TextBody"/>
        <w:spacing w:lineRule="auto" w:line="273" w:before="120" w:after="0"/>
        <w:jc w:val="left"/>
        <w:rPr>
          <w:rFonts w:ascii="Times New Roman" w:hAnsi="Times New Roman"/>
          <w:b w:val="false"/>
          <w:sz w:val="20"/>
        </w:rPr>
      </w:pPr>
      <w:r>
        <w:rPr>
          <w:rFonts w:ascii="Times New Roman" w:hAnsi="Times New Roman"/>
          <w:b w:val="false"/>
          <w:sz w:val="20"/>
        </w:rPr>
        <w:t>In December 2019, the FASB issued ASU 2019-12, Income Taxes (Topic 740): Simplifying the Accounting for Income Taxes, or ASU 2019-12, which eliminates certain exceptions related to the approach for intra-period tax allocation, the methodology for calculating income taxes in an interim period and the recognition of deferred tax liabilities for outside basis differences. ASU 2019-12 also clarifies and simplifies other aspects of the accounting for income taxes. The standard is effective for fiscal years, and interim periods within those fiscal years, beginning after December 15, 2020, with early adoption permitted. The Company adopted ASU 2019-12 on January 1, 2022, and this adoption had no material impact on the Company’s financial statements and related disclosures.</w:t>
      </w:r>
    </w:p>
    <w:p>
      <w:pPr>
        <w:pStyle w:val="TextBody"/>
        <w:spacing w:lineRule="auto" w:line="273" w:before="120" w:after="0"/>
        <w:jc w:val="left"/>
        <w:rPr/>
      </w:pPr>
      <w:r>
        <w:rPr/>
        <w:t> </w:t>
      </w:r>
    </w:p>
    <w:p>
      <w:pPr>
        <w:pStyle w:val="TextBody"/>
        <w:spacing w:lineRule="auto" w:line="273" w:before="360" w:after="0"/>
        <w:jc w:val="left"/>
        <w:rPr>
          <w:rFonts w:ascii="Times New Roman" w:hAnsi="Times New Roman"/>
          <w:b/>
          <w:sz w:val="20"/>
        </w:rPr>
      </w:pPr>
      <w:r>
        <w:rPr>
          <w:rFonts w:ascii="Times New Roman" w:hAnsi="Times New Roman"/>
          <w:b/>
          <w:sz w:val="20"/>
        </w:rPr>
        <w:t>3.</w:t>
      </w:r>
    </w:p>
    <w:p>
      <w:pPr>
        <w:pStyle w:val="TextBody"/>
        <w:spacing w:lineRule="auto" w:line="273" w:before="360" w:after="283"/>
        <w:jc w:val="left"/>
        <w:rPr>
          <w:rFonts w:ascii="Times New Roman" w:hAnsi="Times New Roman"/>
          <w:b/>
          <w:sz w:val="20"/>
        </w:rPr>
      </w:pPr>
      <w:r>
        <w:rPr>
          <w:rFonts w:ascii="Times New Roman" w:hAnsi="Times New Roman"/>
          <w:b/>
          <w:sz w:val="20"/>
        </w:rPr>
        <w:t xml:space="preserve">Fair Value Measurements </w:t>
      </w:r>
    </w:p>
    <w:p>
      <w:pPr>
        <w:pStyle w:val="TextBody"/>
        <w:spacing w:lineRule="auto" w:line="273" w:before="120" w:after="0"/>
        <w:jc w:val="left"/>
        <w:rPr>
          <w:rFonts w:ascii="Times New Roman" w:hAnsi="Times New Roman"/>
          <w:b w:val="false"/>
          <w:sz w:val="20"/>
        </w:rPr>
      </w:pPr>
      <w:r>
        <w:rPr>
          <w:rFonts w:ascii="Times New Roman" w:hAnsi="Times New Roman"/>
          <w:b w:val="false"/>
          <w:sz w:val="20"/>
        </w:rPr>
        <w:t>The financial instruments of the Company measured at fair value on a recurring basis are U.S. government money market funds, recorded as cash equivalents. The fair value is based on quoted market prices, which represent a Level 1 measurement within the fair value hierarchy.</w:t>
      </w:r>
    </w:p>
    <w:p>
      <w:pPr>
        <w:pStyle w:val="TextBody"/>
        <w:spacing w:lineRule="auto" w:line="273" w:before="120" w:after="0"/>
        <w:jc w:val="left"/>
        <w:rPr>
          <w:rFonts w:ascii="Times New Roman" w:hAnsi="Times New Roman"/>
          <w:b w:val="false"/>
          <w:sz w:val="20"/>
        </w:rPr>
      </w:pPr>
      <w:r>
        <w:rPr>
          <w:rFonts w:ascii="Times New Roman" w:hAnsi="Times New Roman"/>
          <w:b w:val="false"/>
          <w:sz w:val="20"/>
        </w:rPr>
        <w:t>The following table sets forth the Company’s financial instruments as of March 31, 2022 and December 31, 2021, which are measured at fair value on a recurring basis by level within the fair value hierarchy (in thousands):</w:t>
      </w:r>
    </w:p>
    <w:p>
      <w:pPr>
        <w:pStyle w:val="TextBody"/>
        <w:spacing w:lineRule="auto" w:line="273" w:before="120" w:after="0"/>
        <w:jc w:val="left"/>
        <w:rPr/>
      </w:pPr>
      <w:r>
        <w:rPr/>
        <w:t> </w:t>
      </w:r>
    </w:p>
    <w:tbl>
      <w:tblPr>
        <w:tblW w:w="9213" w:type="dxa"/>
        <w:jc w:val="left"/>
        <w:tblInd w:w="0" w:type="dxa"/>
        <w:tblCellMar>
          <w:top w:w="28" w:type="dxa"/>
          <w:left w:w="28" w:type="dxa"/>
          <w:bottom w:w="28" w:type="dxa"/>
          <w:right w:w="28" w:type="dxa"/>
        </w:tblCellMar>
      </w:tblPr>
      <w:tblGrid>
        <w:gridCol w:w="4966"/>
        <w:gridCol w:w="146"/>
        <w:gridCol w:w="211"/>
        <w:gridCol w:w="676"/>
        <w:gridCol w:w="146"/>
        <w:gridCol w:w="146"/>
        <w:gridCol w:w="211"/>
        <w:gridCol w:w="676"/>
        <w:gridCol w:w="146"/>
        <w:gridCol w:w="146"/>
        <w:gridCol w:w="239"/>
        <w:gridCol w:w="391"/>
        <w:gridCol w:w="146"/>
        <w:gridCol w:w="146"/>
        <w:gridCol w:w="239"/>
        <w:gridCol w:w="391"/>
        <w:gridCol w:w="191"/>
      </w:tblGrid>
      <w:tr>
        <w:trPr/>
        <w:tc>
          <w:tcPr>
            <w:tcW w:w="496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67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67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239" w:type="dxa"/>
            <w:tcBorders/>
            <w:shd w:fill="auto" w:val="clear"/>
            <w:vAlign w:val="center"/>
          </w:tcPr>
          <w:p>
            <w:pPr>
              <w:pStyle w:val="TableContents"/>
              <w:spacing w:before="0" w:after="283"/>
              <w:rPr>
                <w:sz w:val="4"/>
                <w:szCs w:val="4"/>
              </w:rPr>
            </w:pPr>
            <w:r>
              <w:rPr>
                <w:sz w:val="4"/>
                <w:szCs w:val="4"/>
              </w:rPr>
            </w:r>
          </w:p>
        </w:tc>
        <w:tc>
          <w:tcPr>
            <w:tcW w:w="391"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239" w:type="dxa"/>
            <w:tcBorders/>
            <w:shd w:fill="auto" w:val="clear"/>
            <w:vAlign w:val="center"/>
          </w:tcPr>
          <w:p>
            <w:pPr>
              <w:pStyle w:val="TableContents"/>
              <w:spacing w:before="0" w:after="283"/>
              <w:rPr>
                <w:sz w:val="4"/>
                <w:szCs w:val="4"/>
              </w:rPr>
            </w:pPr>
            <w:r>
              <w:rPr>
                <w:sz w:val="4"/>
                <w:szCs w:val="4"/>
              </w:rPr>
            </w:r>
          </w:p>
        </w:tc>
        <w:tc>
          <w:tcPr>
            <w:tcW w:w="391" w:type="dxa"/>
            <w:tcBorders/>
            <w:shd w:fill="auto" w:val="clear"/>
            <w:vAlign w:val="center"/>
          </w:tcPr>
          <w:p>
            <w:pPr>
              <w:pStyle w:val="TableContents"/>
              <w:spacing w:before="0" w:after="283"/>
              <w:rPr>
                <w:sz w:val="4"/>
                <w:szCs w:val="4"/>
              </w:rPr>
            </w:pPr>
            <w:r>
              <w:rPr>
                <w:sz w:val="4"/>
                <w:szCs w:val="4"/>
              </w:rPr>
            </w:r>
          </w:p>
        </w:tc>
        <w:tc>
          <w:tcPr>
            <w:tcW w:w="191" w:type="dxa"/>
            <w:tcBorders/>
            <w:shd w:fill="auto" w:val="clear"/>
            <w:vAlign w:val="center"/>
          </w:tcPr>
          <w:p>
            <w:pPr>
              <w:pStyle w:val="TableContents"/>
              <w:spacing w:before="0" w:after="283"/>
              <w:rPr>
                <w:sz w:val="4"/>
                <w:szCs w:val="4"/>
              </w:rPr>
            </w:pPr>
            <w:r>
              <w:rPr>
                <w:sz w:val="4"/>
                <w:szCs w:val="4"/>
              </w:rPr>
            </w:r>
          </w:p>
        </w:tc>
      </w:tr>
      <w:tr>
        <w:trPr/>
        <w:tc>
          <w:tcPr>
            <w:tcW w:w="4966" w:type="dxa"/>
            <w:tcBorders/>
            <w:shd w:fill="auto" w:val="clear"/>
            <w:vAlign w:val="center"/>
          </w:tcPr>
          <w:p>
            <w:pPr>
              <w:pStyle w:val="TableContents"/>
              <w:spacing w:lineRule="auto" w:line="252" w:before="0" w:after="0"/>
              <w:ind w:left="0" w:right="0" w:hanging="0"/>
              <w:jc w:val="center"/>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3910" w:type="dxa"/>
            <w:gridSpan w:val="14"/>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center"/>
              <w:rPr>
                <w:rFonts w:ascii="Times New Roman" w:hAnsi="Times New Roman"/>
                <w:b/>
                <w:sz w:val="16"/>
              </w:rPr>
            </w:pPr>
            <w:r>
              <w:rPr>
                <w:rFonts w:ascii="Times New Roman" w:hAnsi="Times New Roman"/>
                <w:b/>
                <w:sz w:val="16"/>
              </w:rPr>
              <w:t>March 31, 2022</w:t>
            </w:r>
          </w:p>
        </w:tc>
        <w:tc>
          <w:tcPr>
            <w:tcW w:w="191"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center"/>
              <w:rPr/>
            </w:pPr>
            <w:r>
              <w:rPr/>
              <w:t> </w:t>
            </w:r>
          </w:p>
        </w:tc>
      </w:tr>
      <w:tr>
        <w:trPr/>
        <w:tc>
          <w:tcPr>
            <w:tcW w:w="4966" w:type="dxa"/>
            <w:tcBorders/>
            <w:shd w:fill="auto" w:val="clear"/>
            <w:vAlign w:val="center"/>
          </w:tcPr>
          <w:p>
            <w:pPr>
              <w:pStyle w:val="TableContents"/>
              <w:spacing w:lineRule="auto" w:line="252" w:before="0" w:after="0"/>
              <w:ind w:left="0" w:right="0" w:hanging="0"/>
              <w:jc w:val="center"/>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887" w:type="dxa"/>
            <w:gridSpan w:val="2"/>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center"/>
              <w:rPr>
                <w:rFonts w:ascii="Times New Roman" w:hAnsi="Times New Roman"/>
                <w:b/>
                <w:sz w:val="16"/>
              </w:rPr>
            </w:pPr>
            <w:r>
              <w:rPr>
                <w:rFonts w:ascii="Times New Roman" w:hAnsi="Times New Roman"/>
                <w:b/>
                <w:sz w:val="16"/>
              </w:rPr>
              <w:t>Total</w:t>
            </w:r>
          </w:p>
        </w:tc>
        <w:tc>
          <w:tcPr>
            <w:tcW w:w="146"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center"/>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887" w:type="dxa"/>
            <w:gridSpan w:val="2"/>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center"/>
              <w:rPr>
                <w:rFonts w:ascii="Times New Roman" w:hAnsi="Times New Roman"/>
                <w:b/>
                <w:sz w:val="16"/>
              </w:rPr>
            </w:pPr>
            <w:r>
              <w:rPr>
                <w:rFonts w:ascii="Times New Roman" w:hAnsi="Times New Roman"/>
                <w:b/>
                <w:sz w:val="16"/>
              </w:rPr>
              <w:t>Level 1</w:t>
            </w:r>
          </w:p>
        </w:tc>
        <w:tc>
          <w:tcPr>
            <w:tcW w:w="146"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center"/>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630" w:type="dxa"/>
            <w:gridSpan w:val="2"/>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center"/>
              <w:rPr>
                <w:rFonts w:ascii="Times New Roman" w:hAnsi="Times New Roman"/>
                <w:b/>
                <w:sz w:val="16"/>
              </w:rPr>
            </w:pPr>
            <w:r>
              <w:rPr>
                <w:rFonts w:ascii="Times New Roman" w:hAnsi="Times New Roman"/>
                <w:b/>
                <w:sz w:val="16"/>
              </w:rPr>
              <w:t>Level 2</w:t>
            </w:r>
          </w:p>
        </w:tc>
        <w:tc>
          <w:tcPr>
            <w:tcW w:w="146"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center"/>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630" w:type="dxa"/>
            <w:gridSpan w:val="2"/>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center"/>
              <w:rPr>
                <w:rFonts w:ascii="Times New Roman" w:hAnsi="Times New Roman"/>
                <w:b/>
                <w:sz w:val="16"/>
              </w:rPr>
            </w:pPr>
            <w:r>
              <w:rPr>
                <w:rFonts w:ascii="Times New Roman" w:hAnsi="Times New Roman"/>
                <w:b/>
                <w:sz w:val="16"/>
              </w:rPr>
              <w:t>Level 3</w:t>
            </w:r>
          </w:p>
        </w:tc>
        <w:tc>
          <w:tcPr>
            <w:tcW w:w="191"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center"/>
              <w:rPr/>
            </w:pPr>
            <w:r>
              <w:rPr/>
              <w:t> </w:t>
            </w:r>
          </w:p>
        </w:tc>
      </w:tr>
      <w:tr>
        <w:trPr/>
        <w:tc>
          <w:tcPr>
            <w:tcW w:w="4966" w:type="dxa"/>
            <w:tcBorders/>
            <w:shd w:fill="auto" w:val="clear"/>
            <w:vAlign w:val="center"/>
          </w:tcPr>
          <w:p>
            <w:pPr>
              <w:pStyle w:val="TableContents"/>
              <w:spacing w:lineRule="auto" w:line="252" w:before="0" w:after="0"/>
              <w:ind w:left="0" w:right="0" w:hanging="0"/>
              <w:jc w:val="left"/>
              <w:rPr>
                <w:rFonts w:ascii="Times New Roman" w:hAnsi="Times New Roman"/>
                <w:b w:val="false"/>
                <w:sz w:val="20"/>
              </w:rPr>
            </w:pPr>
            <w:r>
              <w:rPr>
                <w:rFonts w:ascii="Times New Roman" w:hAnsi="Times New Roman"/>
                <w:b w:val="false"/>
                <w:sz w:val="20"/>
              </w:rPr>
              <w:t>Money market funds, included in cash and cash equivalents</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211" w:type="dxa"/>
            <w:tcBorders/>
            <w:shd w:fill="auto" w:val="clear"/>
            <w:vAlign w:val="center"/>
          </w:tcPr>
          <w:p>
            <w:pPr>
              <w:pStyle w:val="TableContents"/>
              <w:spacing w:lineRule="auto" w:line="252" w:before="0" w:after="0"/>
              <w:ind w:left="0" w:right="0" w:hanging="0"/>
              <w:jc w:val="left"/>
              <w:rPr>
                <w:rFonts w:ascii="Times New Roman" w:hAnsi="Times New Roman"/>
                <w:b w:val="false"/>
                <w:sz w:val="20"/>
              </w:rPr>
            </w:pPr>
            <w:r>
              <w:rPr>
                <w:rFonts w:ascii="Times New Roman" w:hAnsi="Times New Roman"/>
                <w:b w:val="false"/>
                <w:sz w:val="20"/>
              </w:rPr>
              <w:t>$</w:t>
            </w:r>
          </w:p>
        </w:tc>
        <w:tc>
          <w:tcPr>
            <w:tcW w:w="676" w:type="dxa"/>
            <w:tcBorders/>
            <w:shd w:fill="auto" w:val="clear"/>
            <w:vAlign w:val="center"/>
          </w:tcPr>
          <w:p>
            <w:pPr>
              <w:pStyle w:val="TableContents"/>
              <w:spacing w:lineRule="auto" w:line="252" w:before="0" w:after="0"/>
              <w:ind w:left="0" w:right="0" w:hanging="0"/>
              <w:jc w:val="right"/>
              <w:rPr>
                <w:rFonts w:ascii="Times New Roman" w:hAnsi="Times New Roman"/>
                <w:b w:val="false"/>
                <w:sz w:val="20"/>
              </w:rPr>
            </w:pPr>
            <w:r>
              <w:rPr>
                <w:rFonts w:ascii="Times New Roman" w:hAnsi="Times New Roman"/>
                <w:b w:val="false"/>
                <w:sz w:val="20"/>
              </w:rPr>
              <w:t>90,265</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211" w:type="dxa"/>
            <w:tcBorders/>
            <w:shd w:fill="auto" w:val="clear"/>
            <w:vAlign w:val="center"/>
          </w:tcPr>
          <w:p>
            <w:pPr>
              <w:pStyle w:val="TableContents"/>
              <w:spacing w:lineRule="auto" w:line="252" w:before="0" w:after="0"/>
              <w:ind w:left="0" w:right="0" w:hanging="0"/>
              <w:jc w:val="left"/>
              <w:rPr>
                <w:rFonts w:ascii="Times New Roman" w:hAnsi="Times New Roman"/>
                <w:b w:val="false"/>
                <w:sz w:val="20"/>
              </w:rPr>
            </w:pPr>
            <w:r>
              <w:rPr>
                <w:rFonts w:ascii="Times New Roman" w:hAnsi="Times New Roman"/>
                <w:b w:val="false"/>
                <w:sz w:val="20"/>
              </w:rPr>
              <w:t>$</w:t>
            </w:r>
          </w:p>
        </w:tc>
        <w:tc>
          <w:tcPr>
            <w:tcW w:w="676" w:type="dxa"/>
            <w:tcBorders/>
            <w:shd w:fill="auto" w:val="clear"/>
            <w:vAlign w:val="center"/>
          </w:tcPr>
          <w:p>
            <w:pPr>
              <w:pStyle w:val="TableContents"/>
              <w:spacing w:lineRule="auto" w:line="252" w:before="0" w:after="0"/>
              <w:ind w:left="0" w:right="0" w:hanging="0"/>
              <w:jc w:val="right"/>
              <w:rPr>
                <w:rFonts w:ascii="Times New Roman" w:hAnsi="Times New Roman"/>
                <w:b w:val="false"/>
                <w:sz w:val="20"/>
              </w:rPr>
            </w:pPr>
            <w:r>
              <w:rPr>
                <w:rFonts w:ascii="Times New Roman" w:hAnsi="Times New Roman"/>
                <w:b w:val="false"/>
                <w:sz w:val="20"/>
              </w:rPr>
              <w:t>90,265</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239" w:type="dxa"/>
            <w:tcBorders/>
            <w:shd w:fill="auto" w:val="clear"/>
            <w:vAlign w:val="center"/>
          </w:tcPr>
          <w:p>
            <w:pPr>
              <w:pStyle w:val="TableContents"/>
              <w:spacing w:lineRule="auto" w:line="252" w:before="0" w:after="0"/>
              <w:ind w:left="0" w:right="0" w:hanging="0"/>
              <w:jc w:val="left"/>
              <w:rPr>
                <w:rFonts w:ascii="Times New Roman" w:hAnsi="Times New Roman"/>
                <w:b w:val="false"/>
                <w:sz w:val="20"/>
              </w:rPr>
            </w:pPr>
            <w:r>
              <w:rPr>
                <w:rFonts w:ascii="Times New Roman" w:hAnsi="Times New Roman"/>
                <w:b w:val="false"/>
                <w:sz w:val="20"/>
              </w:rPr>
              <w:t>$</w:t>
            </w:r>
          </w:p>
        </w:tc>
        <w:tc>
          <w:tcPr>
            <w:tcW w:w="391" w:type="dxa"/>
            <w:tcBorders/>
            <w:shd w:fill="auto" w:val="clear"/>
            <w:vAlign w:val="center"/>
          </w:tcPr>
          <w:p>
            <w:pPr>
              <w:pStyle w:val="TableContents"/>
              <w:spacing w:lineRule="auto" w:line="252" w:before="0" w:after="0"/>
              <w:ind w:left="0" w:right="0" w:hanging="0"/>
              <w:jc w:val="right"/>
              <w:rPr/>
            </w:pPr>
            <w:r>
              <w:rPr/>
              <w:t>—</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239" w:type="dxa"/>
            <w:tcBorders/>
            <w:shd w:fill="auto" w:val="clear"/>
            <w:vAlign w:val="center"/>
          </w:tcPr>
          <w:p>
            <w:pPr>
              <w:pStyle w:val="TableContents"/>
              <w:spacing w:lineRule="auto" w:line="252" w:before="0" w:after="0"/>
              <w:ind w:left="0" w:right="0" w:hanging="0"/>
              <w:jc w:val="left"/>
              <w:rPr>
                <w:rFonts w:ascii="Times New Roman" w:hAnsi="Times New Roman"/>
                <w:b w:val="false"/>
                <w:sz w:val="20"/>
              </w:rPr>
            </w:pPr>
            <w:r>
              <w:rPr>
                <w:rFonts w:ascii="Times New Roman" w:hAnsi="Times New Roman"/>
                <w:b w:val="false"/>
                <w:sz w:val="20"/>
              </w:rPr>
              <w:t>$</w:t>
            </w:r>
          </w:p>
        </w:tc>
        <w:tc>
          <w:tcPr>
            <w:tcW w:w="391" w:type="dxa"/>
            <w:tcBorders/>
            <w:shd w:fill="auto" w:val="clear"/>
            <w:vAlign w:val="center"/>
          </w:tcPr>
          <w:p>
            <w:pPr>
              <w:pStyle w:val="TableContents"/>
              <w:spacing w:lineRule="auto" w:line="252" w:before="0" w:after="0"/>
              <w:ind w:left="0" w:right="0" w:hanging="0"/>
              <w:jc w:val="right"/>
              <w:rPr/>
            </w:pPr>
            <w:r>
              <w:rPr/>
              <w:t>—</w:t>
            </w:r>
          </w:p>
        </w:tc>
        <w:tc>
          <w:tcPr>
            <w:tcW w:w="191" w:type="dxa"/>
            <w:tcBorders/>
            <w:shd w:fill="auto" w:val="clear"/>
            <w:vAlign w:val="center"/>
          </w:tcPr>
          <w:p>
            <w:pPr>
              <w:pStyle w:val="TableContents"/>
              <w:spacing w:lineRule="auto" w:line="252" w:before="0" w:after="0"/>
              <w:ind w:left="0" w:right="0" w:hanging="0"/>
              <w:jc w:val="left"/>
              <w:rPr/>
            </w:pPr>
            <w:r>
              <w:rPr/>
              <w:t> </w:t>
            </w:r>
          </w:p>
        </w:tc>
      </w:tr>
    </w:tbl>
    <w:p>
      <w:pPr>
        <w:pStyle w:val="TextBody"/>
        <w:spacing w:lineRule="auto" w:line="273" w:before="0" w:after="0"/>
        <w:jc w:val="left"/>
        <w:rPr/>
      </w:pPr>
      <w:r>
        <w:rPr/>
        <w:t> </w:t>
      </w:r>
    </w:p>
    <w:tbl>
      <w:tblPr>
        <w:tblW w:w="9423" w:type="dxa"/>
        <w:jc w:val="left"/>
        <w:tblInd w:w="0" w:type="dxa"/>
        <w:tblCellMar>
          <w:top w:w="28" w:type="dxa"/>
          <w:left w:w="28" w:type="dxa"/>
          <w:bottom w:w="28" w:type="dxa"/>
          <w:right w:w="28" w:type="dxa"/>
        </w:tblCellMar>
      </w:tblPr>
      <w:tblGrid>
        <w:gridCol w:w="4966"/>
        <w:gridCol w:w="146"/>
        <w:gridCol w:w="211"/>
        <w:gridCol w:w="781"/>
        <w:gridCol w:w="146"/>
        <w:gridCol w:w="146"/>
        <w:gridCol w:w="211"/>
        <w:gridCol w:w="781"/>
        <w:gridCol w:w="146"/>
        <w:gridCol w:w="146"/>
        <w:gridCol w:w="239"/>
        <w:gridCol w:w="391"/>
        <w:gridCol w:w="146"/>
        <w:gridCol w:w="146"/>
        <w:gridCol w:w="239"/>
        <w:gridCol w:w="391"/>
        <w:gridCol w:w="191"/>
      </w:tblGrid>
      <w:tr>
        <w:trPr/>
        <w:tc>
          <w:tcPr>
            <w:tcW w:w="496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781"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781"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239" w:type="dxa"/>
            <w:tcBorders/>
            <w:shd w:fill="auto" w:val="clear"/>
            <w:vAlign w:val="center"/>
          </w:tcPr>
          <w:p>
            <w:pPr>
              <w:pStyle w:val="TableContents"/>
              <w:spacing w:before="0" w:after="283"/>
              <w:rPr>
                <w:sz w:val="4"/>
                <w:szCs w:val="4"/>
              </w:rPr>
            </w:pPr>
            <w:r>
              <w:rPr>
                <w:sz w:val="4"/>
                <w:szCs w:val="4"/>
              </w:rPr>
            </w:r>
          </w:p>
        </w:tc>
        <w:tc>
          <w:tcPr>
            <w:tcW w:w="391"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239" w:type="dxa"/>
            <w:tcBorders/>
            <w:shd w:fill="auto" w:val="clear"/>
            <w:vAlign w:val="center"/>
          </w:tcPr>
          <w:p>
            <w:pPr>
              <w:pStyle w:val="TableContents"/>
              <w:spacing w:before="0" w:after="283"/>
              <w:rPr>
                <w:sz w:val="4"/>
                <w:szCs w:val="4"/>
              </w:rPr>
            </w:pPr>
            <w:r>
              <w:rPr>
                <w:sz w:val="4"/>
                <w:szCs w:val="4"/>
              </w:rPr>
            </w:r>
          </w:p>
        </w:tc>
        <w:tc>
          <w:tcPr>
            <w:tcW w:w="391" w:type="dxa"/>
            <w:tcBorders/>
            <w:shd w:fill="auto" w:val="clear"/>
            <w:vAlign w:val="center"/>
          </w:tcPr>
          <w:p>
            <w:pPr>
              <w:pStyle w:val="TableContents"/>
              <w:spacing w:before="0" w:after="283"/>
              <w:rPr>
                <w:sz w:val="4"/>
                <w:szCs w:val="4"/>
              </w:rPr>
            </w:pPr>
            <w:r>
              <w:rPr>
                <w:sz w:val="4"/>
                <w:szCs w:val="4"/>
              </w:rPr>
            </w:r>
          </w:p>
        </w:tc>
        <w:tc>
          <w:tcPr>
            <w:tcW w:w="191" w:type="dxa"/>
            <w:tcBorders/>
            <w:shd w:fill="auto" w:val="clear"/>
            <w:vAlign w:val="center"/>
          </w:tcPr>
          <w:p>
            <w:pPr>
              <w:pStyle w:val="TableContents"/>
              <w:spacing w:before="0" w:after="283"/>
              <w:rPr>
                <w:sz w:val="4"/>
                <w:szCs w:val="4"/>
              </w:rPr>
            </w:pPr>
            <w:r>
              <w:rPr>
                <w:sz w:val="4"/>
                <w:szCs w:val="4"/>
              </w:rPr>
            </w:r>
          </w:p>
        </w:tc>
      </w:tr>
      <w:tr>
        <w:trPr/>
        <w:tc>
          <w:tcPr>
            <w:tcW w:w="4966" w:type="dxa"/>
            <w:tcBorders/>
            <w:shd w:fill="auto" w:val="clear"/>
            <w:vAlign w:val="center"/>
          </w:tcPr>
          <w:p>
            <w:pPr>
              <w:pStyle w:val="TableContents"/>
              <w:spacing w:lineRule="auto" w:line="252" w:before="0" w:after="0"/>
              <w:ind w:left="0" w:right="0" w:hanging="0"/>
              <w:jc w:val="center"/>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4120" w:type="dxa"/>
            <w:gridSpan w:val="14"/>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center"/>
              <w:rPr>
                <w:rFonts w:ascii="Times New Roman" w:hAnsi="Times New Roman"/>
                <w:b/>
                <w:sz w:val="16"/>
              </w:rPr>
            </w:pPr>
            <w:r>
              <w:rPr>
                <w:rFonts w:ascii="Times New Roman" w:hAnsi="Times New Roman"/>
                <w:b/>
                <w:sz w:val="16"/>
              </w:rPr>
              <w:t>December 31, 2021</w:t>
            </w:r>
          </w:p>
        </w:tc>
        <w:tc>
          <w:tcPr>
            <w:tcW w:w="191"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center"/>
              <w:rPr/>
            </w:pPr>
            <w:r>
              <w:rPr/>
              <w:t> </w:t>
            </w:r>
          </w:p>
        </w:tc>
      </w:tr>
      <w:tr>
        <w:trPr/>
        <w:tc>
          <w:tcPr>
            <w:tcW w:w="4966" w:type="dxa"/>
            <w:tcBorders/>
            <w:shd w:fill="auto" w:val="clear"/>
            <w:vAlign w:val="center"/>
          </w:tcPr>
          <w:p>
            <w:pPr>
              <w:pStyle w:val="TableContents"/>
              <w:spacing w:lineRule="auto" w:line="252" w:before="0" w:after="0"/>
              <w:ind w:left="0" w:right="0" w:hanging="0"/>
              <w:jc w:val="center"/>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992" w:type="dxa"/>
            <w:gridSpan w:val="2"/>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center"/>
              <w:rPr>
                <w:rFonts w:ascii="Times New Roman" w:hAnsi="Times New Roman"/>
                <w:b/>
                <w:sz w:val="16"/>
              </w:rPr>
            </w:pPr>
            <w:r>
              <w:rPr>
                <w:rFonts w:ascii="Times New Roman" w:hAnsi="Times New Roman"/>
                <w:b/>
                <w:sz w:val="16"/>
              </w:rPr>
              <w:t>Total</w:t>
            </w:r>
          </w:p>
        </w:tc>
        <w:tc>
          <w:tcPr>
            <w:tcW w:w="146"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center"/>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992" w:type="dxa"/>
            <w:gridSpan w:val="2"/>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center"/>
              <w:rPr>
                <w:rFonts w:ascii="Times New Roman" w:hAnsi="Times New Roman"/>
                <w:b/>
                <w:sz w:val="16"/>
              </w:rPr>
            </w:pPr>
            <w:r>
              <w:rPr>
                <w:rFonts w:ascii="Times New Roman" w:hAnsi="Times New Roman"/>
                <w:b/>
                <w:sz w:val="16"/>
              </w:rPr>
              <w:t>Level 1</w:t>
            </w:r>
          </w:p>
        </w:tc>
        <w:tc>
          <w:tcPr>
            <w:tcW w:w="146"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center"/>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630" w:type="dxa"/>
            <w:gridSpan w:val="2"/>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center"/>
              <w:rPr>
                <w:rFonts w:ascii="Times New Roman" w:hAnsi="Times New Roman"/>
                <w:b/>
                <w:sz w:val="16"/>
              </w:rPr>
            </w:pPr>
            <w:r>
              <w:rPr>
                <w:rFonts w:ascii="Times New Roman" w:hAnsi="Times New Roman"/>
                <w:b/>
                <w:sz w:val="16"/>
              </w:rPr>
              <w:t>Level 2</w:t>
            </w:r>
          </w:p>
        </w:tc>
        <w:tc>
          <w:tcPr>
            <w:tcW w:w="146"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center"/>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630" w:type="dxa"/>
            <w:gridSpan w:val="2"/>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center"/>
              <w:rPr>
                <w:rFonts w:ascii="Times New Roman" w:hAnsi="Times New Roman"/>
                <w:b/>
                <w:sz w:val="16"/>
              </w:rPr>
            </w:pPr>
            <w:r>
              <w:rPr>
                <w:rFonts w:ascii="Times New Roman" w:hAnsi="Times New Roman"/>
                <w:b/>
                <w:sz w:val="16"/>
              </w:rPr>
              <w:t>Level 3</w:t>
            </w:r>
          </w:p>
        </w:tc>
        <w:tc>
          <w:tcPr>
            <w:tcW w:w="191"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center"/>
              <w:rPr/>
            </w:pPr>
            <w:r>
              <w:rPr/>
              <w:t> </w:t>
            </w:r>
          </w:p>
        </w:tc>
      </w:tr>
      <w:tr>
        <w:trPr/>
        <w:tc>
          <w:tcPr>
            <w:tcW w:w="4966" w:type="dxa"/>
            <w:tcBorders/>
            <w:shd w:fill="auto" w:val="clear"/>
            <w:vAlign w:val="center"/>
          </w:tcPr>
          <w:p>
            <w:pPr>
              <w:pStyle w:val="TableContents"/>
              <w:spacing w:lineRule="auto" w:line="252" w:before="0" w:after="0"/>
              <w:ind w:left="0" w:right="0" w:hanging="0"/>
              <w:jc w:val="left"/>
              <w:rPr>
                <w:rFonts w:ascii="Times New Roman" w:hAnsi="Times New Roman"/>
                <w:b w:val="false"/>
                <w:sz w:val="20"/>
              </w:rPr>
            </w:pPr>
            <w:r>
              <w:rPr>
                <w:rFonts w:ascii="Times New Roman" w:hAnsi="Times New Roman"/>
                <w:b w:val="false"/>
                <w:sz w:val="20"/>
              </w:rPr>
              <w:t>Money market funds, included in cash and cash equivalents</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211" w:type="dxa"/>
            <w:tcBorders/>
            <w:shd w:fill="auto" w:val="clear"/>
            <w:vAlign w:val="center"/>
          </w:tcPr>
          <w:p>
            <w:pPr>
              <w:pStyle w:val="TableContents"/>
              <w:spacing w:lineRule="auto" w:line="252" w:before="0" w:after="0"/>
              <w:ind w:left="0" w:right="0" w:hanging="0"/>
              <w:jc w:val="left"/>
              <w:rPr>
                <w:rFonts w:ascii="Times New Roman" w:hAnsi="Times New Roman"/>
                <w:b w:val="false"/>
                <w:sz w:val="20"/>
              </w:rPr>
            </w:pPr>
            <w:r>
              <w:rPr>
                <w:rFonts w:ascii="Times New Roman" w:hAnsi="Times New Roman"/>
                <w:b w:val="false"/>
                <w:sz w:val="20"/>
              </w:rPr>
              <w:t>$</w:t>
            </w:r>
          </w:p>
        </w:tc>
        <w:tc>
          <w:tcPr>
            <w:tcW w:w="781" w:type="dxa"/>
            <w:tcBorders/>
            <w:shd w:fill="auto" w:val="clear"/>
            <w:vAlign w:val="center"/>
          </w:tcPr>
          <w:p>
            <w:pPr>
              <w:pStyle w:val="TableContents"/>
              <w:spacing w:lineRule="auto" w:line="252" w:before="0" w:after="0"/>
              <w:ind w:left="0" w:right="0" w:hanging="0"/>
              <w:jc w:val="right"/>
              <w:rPr>
                <w:rFonts w:ascii="Times New Roman" w:hAnsi="Times New Roman"/>
                <w:b w:val="false"/>
                <w:sz w:val="20"/>
              </w:rPr>
            </w:pPr>
            <w:r>
              <w:rPr>
                <w:rFonts w:ascii="Times New Roman" w:hAnsi="Times New Roman"/>
                <w:b w:val="false"/>
                <w:sz w:val="20"/>
              </w:rPr>
              <w:t>111,221</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211" w:type="dxa"/>
            <w:tcBorders/>
            <w:shd w:fill="auto" w:val="clear"/>
            <w:vAlign w:val="center"/>
          </w:tcPr>
          <w:p>
            <w:pPr>
              <w:pStyle w:val="TableContents"/>
              <w:spacing w:lineRule="auto" w:line="252" w:before="0" w:after="0"/>
              <w:ind w:left="0" w:right="0" w:hanging="0"/>
              <w:jc w:val="left"/>
              <w:rPr>
                <w:rFonts w:ascii="Times New Roman" w:hAnsi="Times New Roman"/>
                <w:b w:val="false"/>
                <w:sz w:val="20"/>
              </w:rPr>
            </w:pPr>
            <w:r>
              <w:rPr>
                <w:rFonts w:ascii="Times New Roman" w:hAnsi="Times New Roman"/>
                <w:b w:val="false"/>
                <w:sz w:val="20"/>
              </w:rPr>
              <w:t>$</w:t>
            </w:r>
          </w:p>
        </w:tc>
        <w:tc>
          <w:tcPr>
            <w:tcW w:w="781" w:type="dxa"/>
            <w:tcBorders/>
            <w:shd w:fill="auto" w:val="clear"/>
            <w:vAlign w:val="center"/>
          </w:tcPr>
          <w:p>
            <w:pPr>
              <w:pStyle w:val="TableContents"/>
              <w:spacing w:lineRule="auto" w:line="252" w:before="0" w:after="0"/>
              <w:ind w:left="0" w:right="0" w:hanging="0"/>
              <w:jc w:val="right"/>
              <w:rPr>
                <w:rFonts w:ascii="Times New Roman" w:hAnsi="Times New Roman"/>
                <w:b w:val="false"/>
                <w:sz w:val="20"/>
              </w:rPr>
            </w:pPr>
            <w:r>
              <w:rPr>
                <w:rFonts w:ascii="Times New Roman" w:hAnsi="Times New Roman"/>
                <w:b w:val="false"/>
                <w:sz w:val="20"/>
              </w:rPr>
              <w:t>111,221</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239" w:type="dxa"/>
            <w:tcBorders/>
            <w:shd w:fill="auto" w:val="clear"/>
            <w:vAlign w:val="center"/>
          </w:tcPr>
          <w:p>
            <w:pPr>
              <w:pStyle w:val="TableContents"/>
              <w:spacing w:lineRule="auto" w:line="252" w:before="0" w:after="0"/>
              <w:ind w:left="0" w:right="0" w:hanging="0"/>
              <w:jc w:val="left"/>
              <w:rPr>
                <w:rFonts w:ascii="Times New Roman" w:hAnsi="Times New Roman"/>
                <w:b w:val="false"/>
                <w:sz w:val="20"/>
              </w:rPr>
            </w:pPr>
            <w:r>
              <w:rPr>
                <w:rFonts w:ascii="Times New Roman" w:hAnsi="Times New Roman"/>
                <w:b w:val="false"/>
                <w:sz w:val="20"/>
              </w:rPr>
              <w:t>$</w:t>
            </w:r>
          </w:p>
        </w:tc>
        <w:tc>
          <w:tcPr>
            <w:tcW w:w="391" w:type="dxa"/>
            <w:tcBorders/>
            <w:shd w:fill="auto" w:val="clear"/>
            <w:vAlign w:val="center"/>
          </w:tcPr>
          <w:p>
            <w:pPr>
              <w:pStyle w:val="TableContents"/>
              <w:spacing w:lineRule="auto" w:line="252" w:before="0" w:after="0"/>
              <w:ind w:left="0" w:right="0" w:hanging="0"/>
              <w:jc w:val="right"/>
              <w:rPr/>
            </w:pPr>
            <w:r>
              <w:rPr/>
              <w:t>—</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239" w:type="dxa"/>
            <w:tcBorders/>
            <w:shd w:fill="auto" w:val="clear"/>
            <w:vAlign w:val="center"/>
          </w:tcPr>
          <w:p>
            <w:pPr>
              <w:pStyle w:val="TableContents"/>
              <w:spacing w:lineRule="auto" w:line="252" w:before="0" w:after="0"/>
              <w:ind w:left="0" w:right="0" w:hanging="0"/>
              <w:jc w:val="left"/>
              <w:rPr>
                <w:rFonts w:ascii="Times New Roman" w:hAnsi="Times New Roman"/>
                <w:b w:val="false"/>
                <w:sz w:val="20"/>
              </w:rPr>
            </w:pPr>
            <w:r>
              <w:rPr>
                <w:rFonts w:ascii="Times New Roman" w:hAnsi="Times New Roman"/>
                <w:b w:val="false"/>
                <w:sz w:val="20"/>
              </w:rPr>
              <w:t>$</w:t>
            </w:r>
          </w:p>
        </w:tc>
        <w:tc>
          <w:tcPr>
            <w:tcW w:w="391" w:type="dxa"/>
            <w:tcBorders/>
            <w:shd w:fill="auto" w:val="clear"/>
            <w:vAlign w:val="center"/>
          </w:tcPr>
          <w:p>
            <w:pPr>
              <w:pStyle w:val="TableContents"/>
              <w:spacing w:lineRule="auto" w:line="252" w:before="0" w:after="0"/>
              <w:ind w:left="0" w:right="0" w:hanging="0"/>
              <w:jc w:val="right"/>
              <w:rPr/>
            </w:pPr>
            <w:r>
              <w:rPr/>
              <w:t>—</w:t>
            </w:r>
          </w:p>
        </w:tc>
        <w:tc>
          <w:tcPr>
            <w:tcW w:w="191" w:type="dxa"/>
            <w:tcBorders/>
            <w:shd w:fill="auto" w:val="clear"/>
            <w:vAlign w:val="center"/>
          </w:tcPr>
          <w:p>
            <w:pPr>
              <w:pStyle w:val="TableContents"/>
              <w:spacing w:lineRule="auto" w:line="252" w:before="0" w:after="0"/>
              <w:ind w:left="0" w:right="0" w:hanging="0"/>
              <w:jc w:val="left"/>
              <w:rPr/>
            </w:pPr>
            <w:r>
              <w:rPr/>
              <w:t> </w:t>
            </w:r>
          </w:p>
        </w:tc>
      </w:tr>
    </w:tbl>
    <w:p>
      <w:pPr>
        <w:pStyle w:val="TextBody"/>
        <w:spacing w:lineRule="auto" w:line="273" w:before="0" w:after="0"/>
        <w:jc w:val="left"/>
        <w:rPr/>
      </w:pPr>
      <w:r>
        <w:rPr/>
        <w:t> </w:t>
      </w:r>
    </w:p>
    <w:p>
      <w:pPr>
        <w:pStyle w:val="TextBody"/>
        <w:spacing w:lineRule="auto" w:line="273" w:before="120" w:after="0"/>
        <w:jc w:val="left"/>
        <w:rPr>
          <w:rFonts w:ascii="Times New Roman" w:hAnsi="Times New Roman"/>
          <w:sz w:val="20"/>
        </w:rPr>
      </w:pPr>
      <w:r>
        <w:rPr>
          <w:rFonts w:ascii="Times New Roman" w:hAnsi="Times New Roman"/>
          <w:b w:val="false"/>
          <w:sz w:val="20"/>
        </w:rPr>
        <w:t>There were no</w:t>
      </w:r>
      <w:r>
        <w:rPr>
          <w:rFonts w:ascii="Times New Roman" w:hAnsi="Times New Roman"/>
          <w:sz w:val="20"/>
        </w:rPr>
        <w:t xml:space="preserve"> </w:t>
      </w:r>
      <w:r>
        <w:rPr>
          <w:rFonts w:ascii="Times New Roman" w:hAnsi="Times New Roman"/>
          <w:b w:val="false"/>
          <w:sz w:val="20"/>
        </w:rPr>
        <w:t>transfers between Level 1, Level 2 or Level 3 categories during the periods presented.</w:t>
      </w:r>
      <w:r>
        <w:rPr>
          <w:rFonts w:ascii="Times New Roman" w:hAnsi="Times New Roman"/>
          <w:sz w:val="20"/>
        </w:rPr>
        <w:t xml:space="preserve"> </w:t>
      </w:r>
    </w:p>
    <w:p>
      <w:pPr>
        <w:pStyle w:val="TextBody"/>
        <w:spacing w:lineRule="auto" w:line="273" w:before="360" w:after="0"/>
        <w:jc w:val="left"/>
        <w:rPr>
          <w:rFonts w:ascii="Times New Roman" w:hAnsi="Times New Roman"/>
          <w:b/>
          <w:sz w:val="20"/>
        </w:rPr>
      </w:pPr>
      <w:r>
        <w:rPr>
          <w:rFonts w:ascii="Times New Roman" w:hAnsi="Times New Roman"/>
          <w:b/>
          <w:sz w:val="20"/>
        </w:rPr>
        <w:t>4.</w:t>
      </w:r>
    </w:p>
    <w:p>
      <w:pPr>
        <w:pStyle w:val="TextBody"/>
        <w:spacing w:lineRule="auto" w:line="273" w:before="360" w:after="283"/>
        <w:jc w:val="left"/>
        <w:rPr>
          <w:rFonts w:ascii="Times New Roman" w:hAnsi="Times New Roman"/>
          <w:b/>
          <w:sz w:val="20"/>
        </w:rPr>
      </w:pPr>
      <w:r>
        <w:rPr>
          <w:rFonts w:ascii="Times New Roman" w:hAnsi="Times New Roman"/>
          <w:b/>
          <w:sz w:val="20"/>
        </w:rPr>
        <w:t xml:space="preserve">Balance Sheet Items </w:t>
      </w:r>
    </w:p>
    <w:p>
      <w:pPr>
        <w:pStyle w:val="TextBody"/>
        <w:spacing w:lineRule="auto" w:line="273" w:before="360" w:after="0"/>
        <w:jc w:val="left"/>
        <w:rPr>
          <w:rFonts w:ascii="Times New Roman" w:hAnsi="Times New Roman"/>
          <w:b/>
          <w:i/>
          <w:sz w:val="20"/>
        </w:rPr>
      </w:pPr>
      <w:r>
        <w:rPr>
          <w:rFonts w:ascii="Times New Roman" w:hAnsi="Times New Roman"/>
          <w:b/>
          <w:i/>
          <w:sz w:val="20"/>
        </w:rPr>
        <w:t>Prepaid Expenses and Other Current Assets</w:t>
      </w:r>
    </w:p>
    <w:p>
      <w:pPr>
        <w:pStyle w:val="TextBody"/>
        <w:spacing w:lineRule="auto" w:line="273" w:before="120" w:after="0"/>
        <w:jc w:val="left"/>
        <w:rPr>
          <w:rFonts w:ascii="Times New Roman" w:hAnsi="Times New Roman"/>
          <w:sz w:val="20"/>
        </w:rPr>
      </w:pPr>
      <w:r>
        <w:rPr>
          <w:rFonts w:ascii="Times New Roman" w:hAnsi="Times New Roman"/>
          <w:b w:val="false"/>
          <w:sz w:val="20"/>
        </w:rPr>
        <w:t>Prepaid and other current assets consisted of the following (in thousands):</w:t>
      </w:r>
      <w:r>
        <w:rPr>
          <w:rFonts w:ascii="Times New Roman" w:hAnsi="Times New Roman"/>
          <w:sz w:val="20"/>
        </w:rPr>
        <w:t xml:space="preserve"> </w:t>
      </w:r>
    </w:p>
    <w:p>
      <w:pPr>
        <w:pStyle w:val="TextBody"/>
        <w:spacing w:lineRule="auto" w:line="273" w:before="0" w:after="0"/>
        <w:jc w:val="left"/>
        <w:rPr/>
      </w:pPr>
      <w:r>
        <w:rPr/>
        <w:t> </w:t>
      </w:r>
    </w:p>
    <w:tbl>
      <w:tblPr>
        <w:tblW w:w="6510" w:type="dxa"/>
        <w:jc w:val="left"/>
        <w:tblInd w:w="0" w:type="dxa"/>
        <w:tblCellMar>
          <w:top w:w="28" w:type="dxa"/>
          <w:left w:w="28" w:type="dxa"/>
          <w:bottom w:w="28" w:type="dxa"/>
          <w:right w:w="28" w:type="dxa"/>
        </w:tblCellMar>
      </w:tblPr>
      <w:tblGrid>
        <w:gridCol w:w="3931"/>
        <w:gridCol w:w="146"/>
        <w:gridCol w:w="230"/>
        <w:gridCol w:w="625"/>
        <w:gridCol w:w="146"/>
        <w:gridCol w:w="146"/>
        <w:gridCol w:w="294"/>
        <w:gridCol w:w="801"/>
        <w:gridCol w:w="191"/>
      </w:tblGrid>
      <w:tr>
        <w:trPr/>
        <w:tc>
          <w:tcPr>
            <w:tcW w:w="3931"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230" w:type="dxa"/>
            <w:tcBorders/>
            <w:shd w:fill="auto" w:val="clear"/>
            <w:vAlign w:val="center"/>
          </w:tcPr>
          <w:p>
            <w:pPr>
              <w:pStyle w:val="TableContents"/>
              <w:spacing w:before="0" w:after="283"/>
              <w:rPr>
                <w:sz w:val="4"/>
                <w:szCs w:val="4"/>
              </w:rPr>
            </w:pPr>
            <w:r>
              <w:rPr>
                <w:sz w:val="4"/>
                <w:szCs w:val="4"/>
              </w:rPr>
            </w:r>
          </w:p>
        </w:tc>
        <w:tc>
          <w:tcPr>
            <w:tcW w:w="625"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294" w:type="dxa"/>
            <w:tcBorders/>
            <w:shd w:fill="auto" w:val="clear"/>
            <w:vAlign w:val="center"/>
          </w:tcPr>
          <w:p>
            <w:pPr>
              <w:pStyle w:val="TableContents"/>
              <w:spacing w:before="0" w:after="283"/>
              <w:rPr>
                <w:sz w:val="4"/>
                <w:szCs w:val="4"/>
              </w:rPr>
            </w:pPr>
            <w:r>
              <w:rPr>
                <w:sz w:val="4"/>
                <w:szCs w:val="4"/>
              </w:rPr>
            </w:r>
          </w:p>
        </w:tc>
        <w:tc>
          <w:tcPr>
            <w:tcW w:w="801" w:type="dxa"/>
            <w:tcBorders/>
            <w:shd w:fill="auto" w:val="clear"/>
            <w:vAlign w:val="center"/>
          </w:tcPr>
          <w:p>
            <w:pPr>
              <w:pStyle w:val="TableContents"/>
              <w:spacing w:before="0" w:after="283"/>
              <w:rPr>
                <w:sz w:val="4"/>
                <w:szCs w:val="4"/>
              </w:rPr>
            </w:pPr>
            <w:r>
              <w:rPr>
                <w:sz w:val="4"/>
                <w:szCs w:val="4"/>
              </w:rPr>
            </w:r>
          </w:p>
        </w:tc>
        <w:tc>
          <w:tcPr>
            <w:tcW w:w="191" w:type="dxa"/>
            <w:tcBorders/>
            <w:shd w:fill="auto" w:val="clear"/>
            <w:vAlign w:val="center"/>
          </w:tcPr>
          <w:p>
            <w:pPr>
              <w:pStyle w:val="TableContents"/>
              <w:spacing w:before="0" w:after="283"/>
              <w:rPr>
                <w:sz w:val="4"/>
                <w:szCs w:val="4"/>
              </w:rPr>
            </w:pPr>
            <w:r>
              <w:rPr>
                <w:sz w:val="4"/>
                <w:szCs w:val="4"/>
              </w:rPr>
            </w:r>
          </w:p>
        </w:tc>
      </w:tr>
      <w:tr>
        <w:trPr/>
        <w:tc>
          <w:tcPr>
            <w:tcW w:w="3931" w:type="dxa"/>
            <w:tcBorders/>
            <w:shd w:fill="auto" w:val="clear"/>
            <w:vAlign w:val="center"/>
          </w:tcPr>
          <w:p>
            <w:pPr>
              <w:pStyle w:val="TableContents"/>
              <w:spacing w:lineRule="auto" w:line="252" w:before="0" w:after="0"/>
              <w:ind w:left="0" w:right="0" w:hanging="0"/>
              <w:jc w:val="center"/>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855" w:type="dxa"/>
            <w:gridSpan w:val="2"/>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center"/>
              <w:rPr>
                <w:rFonts w:ascii="Times New Roman" w:hAnsi="Times New Roman"/>
                <w:b/>
                <w:sz w:val="16"/>
              </w:rPr>
            </w:pPr>
            <w:r>
              <w:rPr>
                <w:rFonts w:ascii="Times New Roman" w:hAnsi="Times New Roman"/>
                <w:b/>
                <w:sz w:val="16"/>
              </w:rPr>
              <w:t>March 31,</w:t>
              <w:br/>
              <w:t>2022</w:t>
            </w:r>
          </w:p>
        </w:tc>
        <w:tc>
          <w:tcPr>
            <w:tcW w:w="146"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center"/>
              <w:rPr/>
            </w:pPr>
            <w:r>
              <w:rPr/>
              <w:t> </w:t>
            </w:r>
          </w:p>
        </w:tc>
        <w:tc>
          <w:tcPr>
            <w:tcW w:w="146" w:type="dxa"/>
            <w:tcBorders/>
            <w:shd w:fill="auto" w:val="clear"/>
            <w:vAlign w:val="center"/>
          </w:tcPr>
          <w:p>
            <w:pPr>
              <w:pStyle w:val="TableContents"/>
              <w:spacing w:lineRule="auto" w:line="252" w:before="0" w:after="0"/>
              <w:ind w:left="0" w:right="0" w:hanging="0"/>
              <w:jc w:val="center"/>
              <w:rPr/>
            </w:pPr>
            <w:r>
              <w:rPr/>
              <w:t> </w:t>
            </w:r>
          </w:p>
        </w:tc>
        <w:tc>
          <w:tcPr>
            <w:tcW w:w="1095" w:type="dxa"/>
            <w:gridSpan w:val="2"/>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center"/>
              <w:rPr>
                <w:rFonts w:ascii="Times New Roman" w:hAnsi="Times New Roman"/>
                <w:b/>
                <w:sz w:val="16"/>
              </w:rPr>
            </w:pPr>
            <w:r>
              <w:rPr>
                <w:rFonts w:ascii="Times New Roman" w:hAnsi="Times New Roman"/>
                <w:b/>
                <w:sz w:val="16"/>
              </w:rPr>
              <w:t>December 31,</w:t>
              <w:br/>
              <w:t>2021</w:t>
            </w:r>
          </w:p>
        </w:tc>
        <w:tc>
          <w:tcPr>
            <w:tcW w:w="191"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center"/>
              <w:rPr/>
            </w:pPr>
            <w:r>
              <w:rPr/>
              <w:t> </w:t>
            </w:r>
          </w:p>
        </w:tc>
      </w:tr>
      <w:tr>
        <w:trPr/>
        <w:tc>
          <w:tcPr>
            <w:tcW w:w="3931" w:type="dxa"/>
            <w:tcBorders/>
            <w:shd w:fill="auto" w:val="clear"/>
            <w:vAlign w:val="center"/>
          </w:tcPr>
          <w:p>
            <w:pPr>
              <w:pStyle w:val="TableContents"/>
              <w:spacing w:lineRule="auto" w:line="252" w:before="0" w:after="0"/>
              <w:ind w:left="0" w:right="0" w:hanging="0"/>
              <w:jc w:val="left"/>
              <w:rPr>
                <w:rFonts w:ascii="Times New Roman" w:hAnsi="Times New Roman"/>
                <w:b w:val="false"/>
                <w:sz w:val="20"/>
              </w:rPr>
            </w:pPr>
            <w:r>
              <w:rPr>
                <w:rFonts w:ascii="Times New Roman" w:hAnsi="Times New Roman"/>
                <w:b w:val="false"/>
                <w:sz w:val="20"/>
              </w:rPr>
              <w:t>Prepaid insurance</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230" w:type="dxa"/>
            <w:tcBorders/>
            <w:shd w:fill="auto" w:val="clear"/>
            <w:vAlign w:val="center"/>
          </w:tcPr>
          <w:p>
            <w:pPr>
              <w:pStyle w:val="TableContents"/>
              <w:spacing w:lineRule="auto" w:line="252" w:before="0" w:after="0"/>
              <w:ind w:left="0" w:right="0" w:hanging="0"/>
              <w:jc w:val="left"/>
              <w:rPr>
                <w:rFonts w:ascii="Times New Roman" w:hAnsi="Times New Roman"/>
                <w:b w:val="false"/>
                <w:sz w:val="20"/>
              </w:rPr>
            </w:pPr>
            <w:r>
              <w:rPr>
                <w:rFonts w:ascii="Times New Roman" w:hAnsi="Times New Roman"/>
                <w:b w:val="false"/>
                <w:sz w:val="20"/>
              </w:rPr>
              <w:t>$</w:t>
            </w:r>
          </w:p>
        </w:tc>
        <w:tc>
          <w:tcPr>
            <w:tcW w:w="625" w:type="dxa"/>
            <w:tcBorders/>
            <w:shd w:fill="auto" w:val="clear"/>
            <w:vAlign w:val="center"/>
          </w:tcPr>
          <w:p>
            <w:pPr>
              <w:pStyle w:val="TableContents"/>
              <w:spacing w:lineRule="auto" w:line="252" w:before="0" w:after="0"/>
              <w:ind w:left="0" w:right="0" w:hanging="0"/>
              <w:jc w:val="right"/>
              <w:rPr>
                <w:rFonts w:ascii="Times New Roman" w:hAnsi="Times New Roman"/>
                <w:b w:val="false"/>
                <w:sz w:val="20"/>
              </w:rPr>
            </w:pPr>
            <w:r>
              <w:rPr>
                <w:rFonts w:ascii="Times New Roman" w:hAnsi="Times New Roman"/>
                <w:b w:val="false"/>
                <w:sz w:val="20"/>
              </w:rPr>
              <w:t>874</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294" w:type="dxa"/>
            <w:tcBorders/>
            <w:shd w:fill="auto" w:val="clear"/>
            <w:vAlign w:val="center"/>
          </w:tcPr>
          <w:p>
            <w:pPr>
              <w:pStyle w:val="TableContents"/>
              <w:spacing w:lineRule="auto" w:line="252" w:before="0" w:after="0"/>
              <w:ind w:left="0" w:right="0" w:hanging="0"/>
              <w:jc w:val="left"/>
              <w:rPr>
                <w:rFonts w:ascii="Times New Roman" w:hAnsi="Times New Roman"/>
                <w:b w:val="false"/>
                <w:sz w:val="20"/>
              </w:rPr>
            </w:pPr>
            <w:r>
              <w:rPr>
                <w:rFonts w:ascii="Times New Roman" w:hAnsi="Times New Roman"/>
                <w:b w:val="false"/>
                <w:sz w:val="20"/>
              </w:rPr>
              <w:t>$</w:t>
            </w:r>
          </w:p>
        </w:tc>
        <w:tc>
          <w:tcPr>
            <w:tcW w:w="801" w:type="dxa"/>
            <w:tcBorders/>
            <w:shd w:fill="auto" w:val="clear"/>
            <w:vAlign w:val="center"/>
          </w:tcPr>
          <w:p>
            <w:pPr>
              <w:pStyle w:val="TableContents"/>
              <w:spacing w:lineRule="auto" w:line="252" w:before="0" w:after="0"/>
              <w:ind w:left="0" w:right="0" w:hanging="0"/>
              <w:jc w:val="right"/>
              <w:rPr>
                <w:rFonts w:ascii="Times New Roman" w:hAnsi="Times New Roman"/>
                <w:b w:val="false"/>
                <w:sz w:val="20"/>
              </w:rPr>
            </w:pPr>
            <w:r>
              <w:rPr>
                <w:rFonts w:ascii="Times New Roman" w:hAnsi="Times New Roman"/>
                <w:b w:val="false"/>
                <w:sz w:val="20"/>
              </w:rPr>
              <w:t>2,099</w:t>
            </w:r>
          </w:p>
        </w:tc>
        <w:tc>
          <w:tcPr>
            <w:tcW w:w="191" w:type="dxa"/>
            <w:tcBorders/>
            <w:shd w:fill="auto" w:val="clear"/>
            <w:vAlign w:val="center"/>
          </w:tcPr>
          <w:p>
            <w:pPr>
              <w:pStyle w:val="TableContents"/>
              <w:spacing w:lineRule="auto" w:line="252" w:before="0" w:after="0"/>
              <w:ind w:left="0" w:right="0" w:hanging="0"/>
              <w:jc w:val="left"/>
              <w:rPr/>
            </w:pPr>
            <w:r>
              <w:rPr/>
              <w:t> </w:t>
            </w:r>
          </w:p>
        </w:tc>
      </w:tr>
      <w:tr>
        <w:trPr/>
        <w:tc>
          <w:tcPr>
            <w:tcW w:w="3931" w:type="dxa"/>
            <w:tcBorders/>
            <w:shd w:fill="auto" w:val="clear"/>
            <w:vAlign w:val="center"/>
          </w:tcPr>
          <w:p>
            <w:pPr>
              <w:pStyle w:val="TableContents"/>
              <w:spacing w:lineRule="auto" w:line="252" w:before="0" w:after="0"/>
              <w:ind w:left="0" w:right="0" w:hanging="0"/>
              <w:jc w:val="left"/>
              <w:rPr>
                <w:rFonts w:ascii="Times New Roman" w:hAnsi="Times New Roman"/>
                <w:b w:val="false"/>
                <w:sz w:val="20"/>
              </w:rPr>
            </w:pPr>
            <w:r>
              <w:rPr>
                <w:rFonts w:ascii="Times New Roman" w:hAnsi="Times New Roman"/>
                <w:b w:val="false"/>
                <w:sz w:val="20"/>
              </w:rPr>
              <w:t>Prepaid research and development expenses</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230" w:type="dxa"/>
            <w:tcBorders/>
            <w:shd w:fill="auto" w:val="clear"/>
            <w:vAlign w:val="center"/>
          </w:tcPr>
          <w:p>
            <w:pPr>
              <w:pStyle w:val="TableContents"/>
              <w:spacing w:lineRule="auto" w:line="252" w:before="0" w:after="0"/>
              <w:ind w:left="0" w:right="0" w:hanging="0"/>
              <w:jc w:val="left"/>
              <w:rPr/>
            </w:pPr>
            <w:r>
              <w:rPr/>
              <w:t> </w:t>
            </w:r>
          </w:p>
        </w:tc>
        <w:tc>
          <w:tcPr>
            <w:tcW w:w="625" w:type="dxa"/>
            <w:tcBorders/>
            <w:shd w:fill="auto" w:val="clear"/>
            <w:vAlign w:val="center"/>
          </w:tcPr>
          <w:p>
            <w:pPr>
              <w:pStyle w:val="TableContents"/>
              <w:spacing w:lineRule="auto" w:line="252" w:before="0" w:after="0"/>
              <w:ind w:left="0" w:right="0" w:hanging="0"/>
              <w:jc w:val="right"/>
              <w:rPr>
                <w:rFonts w:ascii="Times New Roman" w:hAnsi="Times New Roman"/>
                <w:b w:val="false"/>
                <w:sz w:val="20"/>
              </w:rPr>
            </w:pPr>
            <w:r>
              <w:rPr>
                <w:rFonts w:ascii="Times New Roman" w:hAnsi="Times New Roman"/>
                <w:b w:val="false"/>
                <w:sz w:val="20"/>
              </w:rPr>
              <w:t>3,365</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294" w:type="dxa"/>
            <w:tcBorders/>
            <w:shd w:fill="auto" w:val="clear"/>
            <w:vAlign w:val="center"/>
          </w:tcPr>
          <w:p>
            <w:pPr>
              <w:pStyle w:val="TableContents"/>
              <w:spacing w:lineRule="auto" w:line="252" w:before="0" w:after="0"/>
              <w:ind w:left="0" w:right="0" w:hanging="0"/>
              <w:jc w:val="left"/>
              <w:rPr/>
            </w:pPr>
            <w:r>
              <w:rPr/>
              <w:t> </w:t>
            </w:r>
          </w:p>
        </w:tc>
        <w:tc>
          <w:tcPr>
            <w:tcW w:w="801" w:type="dxa"/>
            <w:tcBorders/>
            <w:shd w:fill="auto" w:val="clear"/>
            <w:vAlign w:val="center"/>
          </w:tcPr>
          <w:p>
            <w:pPr>
              <w:pStyle w:val="TableContents"/>
              <w:spacing w:lineRule="auto" w:line="252" w:before="0" w:after="0"/>
              <w:ind w:left="0" w:right="0" w:hanging="0"/>
              <w:jc w:val="right"/>
              <w:rPr>
                <w:rFonts w:ascii="Times New Roman" w:hAnsi="Times New Roman"/>
                <w:b w:val="false"/>
                <w:sz w:val="20"/>
              </w:rPr>
            </w:pPr>
            <w:r>
              <w:rPr>
                <w:rFonts w:ascii="Times New Roman" w:hAnsi="Times New Roman"/>
                <w:b w:val="false"/>
                <w:sz w:val="20"/>
              </w:rPr>
              <w:t>1,945</w:t>
            </w:r>
          </w:p>
        </w:tc>
        <w:tc>
          <w:tcPr>
            <w:tcW w:w="191" w:type="dxa"/>
            <w:tcBorders/>
            <w:shd w:fill="auto" w:val="clear"/>
            <w:vAlign w:val="center"/>
          </w:tcPr>
          <w:p>
            <w:pPr>
              <w:pStyle w:val="TableContents"/>
              <w:spacing w:lineRule="auto" w:line="252" w:before="0" w:after="0"/>
              <w:ind w:left="0" w:right="0" w:hanging="0"/>
              <w:jc w:val="left"/>
              <w:rPr/>
            </w:pPr>
            <w:r>
              <w:rPr/>
              <w:t> </w:t>
            </w:r>
          </w:p>
        </w:tc>
      </w:tr>
      <w:tr>
        <w:trPr/>
        <w:tc>
          <w:tcPr>
            <w:tcW w:w="3931" w:type="dxa"/>
            <w:tcBorders/>
            <w:shd w:fill="auto" w:val="clear"/>
            <w:vAlign w:val="center"/>
          </w:tcPr>
          <w:p>
            <w:pPr>
              <w:pStyle w:val="TableContents"/>
              <w:spacing w:lineRule="auto" w:line="252" w:before="0" w:after="0"/>
              <w:ind w:left="0" w:right="0" w:hanging="0"/>
              <w:jc w:val="left"/>
              <w:rPr>
                <w:rFonts w:ascii="Times New Roman" w:hAnsi="Times New Roman"/>
                <w:b w:val="false"/>
                <w:sz w:val="20"/>
              </w:rPr>
            </w:pPr>
            <w:r>
              <w:rPr>
                <w:rFonts w:ascii="Times New Roman" w:hAnsi="Times New Roman"/>
                <w:b w:val="false"/>
                <w:sz w:val="20"/>
              </w:rPr>
              <w:t>Other prepaid expenses and other assets</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230"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c>
          <w:tcPr>
            <w:tcW w:w="625"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right"/>
              <w:rPr>
                <w:rFonts w:ascii="Times New Roman" w:hAnsi="Times New Roman"/>
                <w:b w:val="false"/>
                <w:sz w:val="20"/>
              </w:rPr>
            </w:pPr>
            <w:r>
              <w:rPr>
                <w:rFonts w:ascii="Times New Roman" w:hAnsi="Times New Roman"/>
                <w:b w:val="false"/>
                <w:sz w:val="20"/>
              </w:rPr>
              <w:t>398</w:t>
            </w:r>
          </w:p>
        </w:tc>
        <w:tc>
          <w:tcPr>
            <w:tcW w:w="146"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294"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c>
          <w:tcPr>
            <w:tcW w:w="801"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right"/>
              <w:rPr>
                <w:rFonts w:ascii="Times New Roman" w:hAnsi="Times New Roman"/>
                <w:b w:val="false"/>
                <w:sz w:val="20"/>
              </w:rPr>
            </w:pPr>
            <w:r>
              <w:rPr>
                <w:rFonts w:ascii="Times New Roman" w:hAnsi="Times New Roman"/>
                <w:b w:val="false"/>
                <w:sz w:val="20"/>
              </w:rPr>
              <w:t>1,015</w:t>
            </w:r>
          </w:p>
        </w:tc>
        <w:tc>
          <w:tcPr>
            <w:tcW w:w="191"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r>
      <w:tr>
        <w:trPr/>
        <w:tc>
          <w:tcPr>
            <w:tcW w:w="3931" w:type="dxa"/>
            <w:tcBorders/>
            <w:shd w:fill="auto" w:val="clear"/>
            <w:vAlign w:val="center"/>
          </w:tcPr>
          <w:p>
            <w:pPr>
              <w:pStyle w:val="TableContents"/>
              <w:spacing w:lineRule="auto" w:line="252" w:before="0" w:after="0"/>
              <w:ind w:left="0" w:right="0" w:hanging="0"/>
              <w:jc w:val="left"/>
              <w:rPr>
                <w:rFonts w:ascii="Times New Roman" w:hAnsi="Times New Roman"/>
                <w:b w:val="false"/>
                <w:sz w:val="20"/>
              </w:rPr>
            </w:pPr>
            <w:r>
              <w:rPr>
                <w:rFonts w:ascii="Times New Roman" w:hAnsi="Times New Roman"/>
                <w:b w:val="false"/>
                <w:sz w:val="20"/>
              </w:rPr>
              <w:t>Total prepaid expenses and other current assets</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230" w:type="dxa"/>
            <w:tcBorders>
              <w:bottom w:val="double" w:sz="6"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rFonts w:ascii="Times New Roman" w:hAnsi="Times New Roman"/>
                <w:b w:val="false"/>
                <w:sz w:val="20"/>
              </w:rPr>
            </w:pPr>
            <w:r>
              <w:rPr>
                <w:rFonts w:ascii="Times New Roman" w:hAnsi="Times New Roman"/>
                <w:b w:val="false"/>
                <w:sz w:val="20"/>
              </w:rPr>
              <w:t>$</w:t>
            </w:r>
          </w:p>
        </w:tc>
        <w:tc>
          <w:tcPr>
            <w:tcW w:w="625" w:type="dxa"/>
            <w:tcBorders>
              <w:bottom w:val="double" w:sz="6" w:space="0" w:color="000000"/>
            </w:tcBorders>
            <w:shd w:fill="auto" w:val="clear"/>
            <w:tcMar>
              <w:top w:w="0" w:type="dxa"/>
              <w:left w:w="0" w:type="dxa"/>
              <w:right w:w="0" w:type="dxa"/>
            </w:tcMar>
            <w:vAlign w:val="center"/>
          </w:tcPr>
          <w:p>
            <w:pPr>
              <w:pStyle w:val="TableContents"/>
              <w:spacing w:lineRule="auto" w:line="252" w:before="0" w:after="0"/>
              <w:ind w:left="0" w:right="0" w:hanging="0"/>
              <w:jc w:val="right"/>
              <w:rPr>
                <w:rFonts w:ascii="Times New Roman" w:hAnsi="Times New Roman"/>
                <w:b w:val="false"/>
                <w:sz w:val="20"/>
              </w:rPr>
            </w:pPr>
            <w:r>
              <w:rPr>
                <w:rFonts w:ascii="Times New Roman" w:hAnsi="Times New Roman"/>
                <w:b w:val="false"/>
                <w:sz w:val="20"/>
              </w:rPr>
              <w:t>4,637</w:t>
            </w:r>
          </w:p>
        </w:tc>
        <w:tc>
          <w:tcPr>
            <w:tcW w:w="146" w:type="dxa"/>
            <w:tcBorders>
              <w:bottom w:val="double" w:sz="6"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294" w:type="dxa"/>
            <w:tcBorders>
              <w:bottom w:val="double" w:sz="6"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rFonts w:ascii="Times New Roman" w:hAnsi="Times New Roman"/>
                <w:b w:val="false"/>
                <w:sz w:val="20"/>
              </w:rPr>
            </w:pPr>
            <w:r>
              <w:rPr>
                <w:rFonts w:ascii="Times New Roman" w:hAnsi="Times New Roman"/>
                <w:b w:val="false"/>
                <w:sz w:val="20"/>
              </w:rPr>
              <w:t>$</w:t>
            </w:r>
          </w:p>
        </w:tc>
        <w:tc>
          <w:tcPr>
            <w:tcW w:w="801" w:type="dxa"/>
            <w:tcBorders>
              <w:bottom w:val="double" w:sz="6" w:space="0" w:color="000000"/>
            </w:tcBorders>
            <w:shd w:fill="auto" w:val="clear"/>
            <w:tcMar>
              <w:top w:w="0" w:type="dxa"/>
              <w:left w:w="0" w:type="dxa"/>
              <w:right w:w="0" w:type="dxa"/>
            </w:tcMar>
            <w:vAlign w:val="center"/>
          </w:tcPr>
          <w:p>
            <w:pPr>
              <w:pStyle w:val="TableContents"/>
              <w:spacing w:lineRule="auto" w:line="252" w:before="0" w:after="0"/>
              <w:ind w:left="0" w:right="0" w:hanging="0"/>
              <w:jc w:val="right"/>
              <w:rPr>
                <w:rFonts w:ascii="Times New Roman" w:hAnsi="Times New Roman"/>
                <w:b w:val="false"/>
                <w:sz w:val="20"/>
              </w:rPr>
            </w:pPr>
            <w:r>
              <w:rPr>
                <w:rFonts w:ascii="Times New Roman" w:hAnsi="Times New Roman"/>
                <w:b w:val="false"/>
                <w:sz w:val="20"/>
              </w:rPr>
              <w:t>5,059</w:t>
            </w:r>
          </w:p>
        </w:tc>
        <w:tc>
          <w:tcPr>
            <w:tcW w:w="191" w:type="dxa"/>
            <w:tcBorders>
              <w:bottom w:val="double" w:sz="6"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r>
    </w:tbl>
    <w:p>
      <w:pPr>
        <w:pStyle w:val="TextBody"/>
        <w:spacing w:lineRule="auto" w:line="273" w:before="0" w:after="0"/>
        <w:jc w:val="left"/>
        <w:rPr/>
      </w:pPr>
      <w:r>
        <w:rPr/>
        <w:t> </w:t>
      </w:r>
    </w:p>
    <w:p>
      <w:pPr>
        <w:pStyle w:val="TextBody"/>
        <w:spacing w:lineRule="auto" w:line="273" w:before="0" w:after="0"/>
        <w:jc w:val="center"/>
        <w:rPr>
          <w:rFonts w:ascii="Times New Roman" w:hAnsi="Times New Roman"/>
          <w:b w:val="false"/>
          <w:sz w:val="20"/>
        </w:rPr>
      </w:pPr>
      <w:r>
        <w:rPr>
          <w:rFonts w:ascii="Times New Roman" w:hAnsi="Times New Roman"/>
          <w:b w:val="false"/>
          <w:sz w:val="20"/>
        </w:rPr>
        <w:t>10</w:t>
      </w:r>
    </w:p>
    <w:p>
      <w:pPr>
        <w:pStyle w:val="HorizontalLine"/>
        <w:rPr/>
      </w:pPr>
      <w:r>
        <w:rPr/>
      </w:r>
    </w:p>
    <w:p>
      <w:pPr>
        <w:pStyle w:val="TextBody"/>
        <w:spacing w:lineRule="auto" w:line="273" w:before="0" w:after="120"/>
        <w:jc w:val="center"/>
        <w:rPr>
          <w:rFonts w:ascii="Times New Roman" w:hAnsi="Times New Roman"/>
          <w:b/>
          <w:sz w:val="20"/>
        </w:rPr>
      </w:pPr>
      <w:r>
        <w:rPr>
          <w:rFonts w:ascii="Times New Roman" w:hAnsi="Times New Roman"/>
          <w:b/>
          <w:sz w:val="20"/>
        </w:rPr>
        <w:t>Notes to the Condensed Consolidated Financial Statements</w:t>
      </w:r>
    </w:p>
    <w:p>
      <w:pPr>
        <w:pStyle w:val="TextBody"/>
        <w:spacing w:lineRule="auto" w:line="273" w:before="360" w:after="0"/>
        <w:jc w:val="left"/>
        <w:rPr>
          <w:rFonts w:ascii="Times New Roman" w:hAnsi="Times New Roman"/>
          <w:b/>
          <w:i/>
          <w:sz w:val="20"/>
        </w:rPr>
      </w:pPr>
      <w:r>
        <w:rPr>
          <w:rFonts w:ascii="Times New Roman" w:hAnsi="Times New Roman"/>
          <w:b/>
          <w:i/>
          <w:sz w:val="20"/>
        </w:rPr>
        <w:t>Property and Equipment, Net</w:t>
      </w:r>
    </w:p>
    <w:p>
      <w:pPr>
        <w:pStyle w:val="TextBody"/>
        <w:spacing w:lineRule="auto" w:line="273" w:before="120" w:after="0"/>
        <w:jc w:val="left"/>
        <w:rPr>
          <w:rFonts w:ascii="Times New Roman" w:hAnsi="Times New Roman"/>
          <w:sz w:val="20"/>
        </w:rPr>
      </w:pPr>
      <w:r>
        <w:rPr>
          <w:rFonts w:ascii="Times New Roman" w:hAnsi="Times New Roman"/>
          <w:b w:val="false"/>
          <w:sz w:val="20"/>
        </w:rPr>
        <w:t>Property and equipment, net, consisted of the following (in thousands):</w:t>
      </w:r>
      <w:r>
        <w:rPr>
          <w:rFonts w:ascii="Times New Roman" w:hAnsi="Times New Roman"/>
          <w:sz w:val="20"/>
        </w:rPr>
        <w:t xml:space="preserve"> </w:t>
      </w:r>
    </w:p>
    <w:p>
      <w:pPr>
        <w:pStyle w:val="TextBody"/>
        <w:spacing w:lineRule="auto" w:line="273" w:before="0" w:after="0"/>
        <w:jc w:val="left"/>
        <w:rPr/>
      </w:pPr>
      <w:r>
        <w:rPr/>
        <w:t> </w:t>
      </w:r>
    </w:p>
    <w:tbl>
      <w:tblPr>
        <w:tblW w:w="5305" w:type="dxa"/>
        <w:jc w:val="left"/>
        <w:tblInd w:w="0" w:type="dxa"/>
        <w:tblCellMar>
          <w:top w:w="28" w:type="dxa"/>
          <w:left w:w="28" w:type="dxa"/>
          <w:bottom w:w="28" w:type="dxa"/>
          <w:right w:w="28" w:type="dxa"/>
        </w:tblCellMar>
      </w:tblPr>
      <w:tblGrid>
        <w:gridCol w:w="2686"/>
        <w:gridCol w:w="146"/>
        <w:gridCol w:w="285"/>
        <w:gridCol w:w="570"/>
        <w:gridCol w:w="166"/>
        <w:gridCol w:w="146"/>
        <w:gridCol w:w="392"/>
        <w:gridCol w:w="703"/>
        <w:gridCol w:w="211"/>
      </w:tblGrid>
      <w:tr>
        <w:trPr/>
        <w:tc>
          <w:tcPr>
            <w:tcW w:w="268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285" w:type="dxa"/>
            <w:tcBorders/>
            <w:shd w:fill="auto" w:val="clear"/>
            <w:vAlign w:val="center"/>
          </w:tcPr>
          <w:p>
            <w:pPr>
              <w:pStyle w:val="TableContents"/>
              <w:spacing w:before="0" w:after="283"/>
              <w:rPr>
                <w:sz w:val="4"/>
                <w:szCs w:val="4"/>
              </w:rPr>
            </w:pPr>
            <w:r>
              <w:rPr>
                <w:sz w:val="4"/>
                <w:szCs w:val="4"/>
              </w:rPr>
            </w:r>
          </w:p>
        </w:tc>
        <w:tc>
          <w:tcPr>
            <w:tcW w:w="570" w:type="dxa"/>
            <w:tcBorders/>
            <w:shd w:fill="auto" w:val="clear"/>
            <w:vAlign w:val="center"/>
          </w:tcPr>
          <w:p>
            <w:pPr>
              <w:pStyle w:val="TableContents"/>
              <w:spacing w:before="0" w:after="283"/>
              <w:rPr>
                <w:sz w:val="4"/>
                <w:szCs w:val="4"/>
              </w:rPr>
            </w:pPr>
            <w:r>
              <w:rPr>
                <w:sz w:val="4"/>
                <w:szCs w:val="4"/>
              </w:rPr>
            </w:r>
          </w:p>
        </w:tc>
        <w:tc>
          <w:tcPr>
            <w:tcW w:w="16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392" w:type="dxa"/>
            <w:tcBorders/>
            <w:shd w:fill="auto" w:val="clear"/>
            <w:vAlign w:val="center"/>
          </w:tcPr>
          <w:p>
            <w:pPr>
              <w:pStyle w:val="TableContents"/>
              <w:spacing w:before="0" w:after="283"/>
              <w:rPr>
                <w:sz w:val="4"/>
                <w:szCs w:val="4"/>
              </w:rPr>
            </w:pPr>
            <w:r>
              <w:rPr>
                <w:sz w:val="4"/>
                <w:szCs w:val="4"/>
              </w:rPr>
            </w:r>
          </w:p>
        </w:tc>
        <w:tc>
          <w:tcPr>
            <w:tcW w:w="703"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r>
      <w:tr>
        <w:trPr/>
        <w:tc>
          <w:tcPr>
            <w:tcW w:w="2686" w:type="dxa"/>
            <w:tcBorders/>
            <w:shd w:fill="auto" w:val="clear"/>
            <w:vAlign w:val="center"/>
          </w:tcPr>
          <w:p>
            <w:pPr>
              <w:pStyle w:val="TableContents"/>
              <w:spacing w:lineRule="auto" w:line="252" w:before="0" w:after="0"/>
              <w:ind w:left="0" w:right="0" w:hanging="0"/>
              <w:jc w:val="center"/>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855" w:type="dxa"/>
            <w:gridSpan w:val="2"/>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center"/>
              <w:rPr>
                <w:rFonts w:ascii="Times New Roman" w:hAnsi="Times New Roman"/>
                <w:b/>
                <w:sz w:val="16"/>
              </w:rPr>
            </w:pPr>
            <w:r>
              <w:rPr>
                <w:rFonts w:ascii="Times New Roman" w:hAnsi="Times New Roman"/>
                <w:b/>
                <w:sz w:val="16"/>
              </w:rPr>
              <w:t>March 31,</w:t>
              <w:br/>
              <w:t>2022</w:t>
            </w:r>
          </w:p>
        </w:tc>
        <w:tc>
          <w:tcPr>
            <w:tcW w:w="166"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center"/>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095" w:type="dxa"/>
            <w:gridSpan w:val="2"/>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center"/>
              <w:rPr>
                <w:rFonts w:ascii="Times New Roman" w:hAnsi="Times New Roman"/>
                <w:b/>
                <w:sz w:val="16"/>
              </w:rPr>
            </w:pPr>
            <w:r>
              <w:rPr>
                <w:rFonts w:ascii="Times New Roman" w:hAnsi="Times New Roman"/>
                <w:b/>
                <w:sz w:val="16"/>
              </w:rPr>
              <w:t>December 31,</w:t>
              <w:br/>
              <w:t>2021</w:t>
            </w:r>
          </w:p>
        </w:tc>
        <w:tc>
          <w:tcPr>
            <w:tcW w:w="211"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center"/>
              <w:rPr/>
            </w:pPr>
            <w:r>
              <w:rPr/>
              <w:t> </w:t>
            </w:r>
          </w:p>
        </w:tc>
      </w:tr>
      <w:tr>
        <w:trPr/>
        <w:tc>
          <w:tcPr>
            <w:tcW w:w="2686" w:type="dxa"/>
            <w:tcBorders/>
            <w:shd w:fill="auto" w:val="clear"/>
            <w:vAlign w:val="center"/>
          </w:tcPr>
          <w:p>
            <w:pPr>
              <w:pStyle w:val="TableContents"/>
              <w:spacing w:lineRule="auto" w:line="252" w:before="0" w:after="0"/>
              <w:ind w:left="0" w:right="0" w:hanging="0"/>
              <w:jc w:val="left"/>
              <w:rPr>
                <w:rFonts w:ascii="Times New Roman" w:hAnsi="Times New Roman"/>
                <w:b w:val="false"/>
                <w:sz w:val="20"/>
              </w:rPr>
            </w:pPr>
            <w:r>
              <w:rPr>
                <w:rFonts w:ascii="Times New Roman" w:hAnsi="Times New Roman"/>
                <w:b w:val="false"/>
                <w:sz w:val="20"/>
              </w:rPr>
              <w:t>Furniture and fixtures</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285" w:type="dxa"/>
            <w:tcBorders/>
            <w:shd w:fill="auto" w:val="clear"/>
            <w:vAlign w:val="center"/>
          </w:tcPr>
          <w:p>
            <w:pPr>
              <w:pStyle w:val="TableContents"/>
              <w:spacing w:lineRule="auto" w:line="252" w:before="0" w:after="0"/>
              <w:ind w:left="0" w:right="0" w:hanging="0"/>
              <w:jc w:val="left"/>
              <w:rPr>
                <w:rFonts w:ascii="Times New Roman" w:hAnsi="Times New Roman"/>
                <w:b w:val="false"/>
                <w:sz w:val="20"/>
              </w:rPr>
            </w:pPr>
            <w:r>
              <w:rPr>
                <w:rFonts w:ascii="Times New Roman" w:hAnsi="Times New Roman"/>
                <w:b w:val="false"/>
                <w:sz w:val="20"/>
              </w:rPr>
              <w:t>$</w:t>
            </w:r>
          </w:p>
        </w:tc>
        <w:tc>
          <w:tcPr>
            <w:tcW w:w="570" w:type="dxa"/>
            <w:tcBorders/>
            <w:shd w:fill="auto" w:val="clear"/>
            <w:vAlign w:val="center"/>
          </w:tcPr>
          <w:p>
            <w:pPr>
              <w:pStyle w:val="TableContents"/>
              <w:spacing w:lineRule="auto" w:line="252" w:before="0" w:after="0"/>
              <w:ind w:left="0" w:right="0" w:hanging="0"/>
              <w:jc w:val="right"/>
              <w:rPr>
                <w:rFonts w:ascii="Times New Roman" w:hAnsi="Times New Roman"/>
                <w:b w:val="false"/>
                <w:sz w:val="20"/>
              </w:rPr>
            </w:pPr>
            <w:r>
              <w:rPr>
                <w:rFonts w:ascii="Times New Roman" w:hAnsi="Times New Roman"/>
                <w:b w:val="false"/>
                <w:sz w:val="20"/>
              </w:rPr>
              <w:t>78</w:t>
            </w:r>
          </w:p>
        </w:tc>
        <w:tc>
          <w:tcPr>
            <w:tcW w:w="166" w:type="dxa"/>
            <w:tcBorders/>
            <w:shd w:fill="auto" w:val="cle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392" w:type="dxa"/>
            <w:tcBorders/>
            <w:shd w:fill="auto" w:val="clear"/>
            <w:vAlign w:val="center"/>
          </w:tcPr>
          <w:p>
            <w:pPr>
              <w:pStyle w:val="TableContents"/>
              <w:spacing w:lineRule="auto" w:line="252" w:before="0" w:after="0"/>
              <w:ind w:left="0" w:right="0" w:hanging="0"/>
              <w:jc w:val="left"/>
              <w:rPr>
                <w:rFonts w:ascii="Times New Roman" w:hAnsi="Times New Roman"/>
                <w:b w:val="false"/>
                <w:sz w:val="20"/>
              </w:rPr>
            </w:pPr>
            <w:r>
              <w:rPr>
                <w:rFonts w:ascii="Times New Roman" w:hAnsi="Times New Roman"/>
                <w:b w:val="false"/>
                <w:sz w:val="20"/>
              </w:rPr>
              <w:t>$</w:t>
            </w:r>
          </w:p>
        </w:tc>
        <w:tc>
          <w:tcPr>
            <w:tcW w:w="703" w:type="dxa"/>
            <w:tcBorders/>
            <w:shd w:fill="auto" w:val="clear"/>
            <w:vAlign w:val="center"/>
          </w:tcPr>
          <w:p>
            <w:pPr>
              <w:pStyle w:val="TableContents"/>
              <w:spacing w:lineRule="auto" w:line="252" w:before="0" w:after="0"/>
              <w:ind w:left="0" w:right="0" w:hanging="0"/>
              <w:jc w:val="right"/>
              <w:rPr>
                <w:rFonts w:ascii="Times New Roman" w:hAnsi="Times New Roman"/>
                <w:b w:val="false"/>
                <w:sz w:val="20"/>
              </w:rPr>
            </w:pPr>
            <w:r>
              <w:rPr>
                <w:rFonts w:ascii="Times New Roman" w:hAnsi="Times New Roman"/>
                <w:b w:val="false"/>
                <w:sz w:val="20"/>
              </w:rPr>
              <w:t>78</w:t>
            </w:r>
          </w:p>
        </w:tc>
        <w:tc>
          <w:tcPr>
            <w:tcW w:w="211" w:type="dxa"/>
            <w:tcBorders/>
            <w:shd w:fill="auto" w:val="clear"/>
            <w:vAlign w:val="center"/>
          </w:tcPr>
          <w:p>
            <w:pPr>
              <w:pStyle w:val="TableContents"/>
              <w:spacing w:lineRule="auto" w:line="252" w:before="0" w:after="0"/>
              <w:ind w:left="0" w:right="0" w:hanging="0"/>
              <w:jc w:val="left"/>
              <w:rPr/>
            </w:pPr>
            <w:r>
              <w:rPr/>
              <w:t> </w:t>
            </w:r>
          </w:p>
        </w:tc>
      </w:tr>
      <w:tr>
        <w:trPr/>
        <w:tc>
          <w:tcPr>
            <w:tcW w:w="2686" w:type="dxa"/>
            <w:tcBorders/>
            <w:shd w:fill="auto" w:val="clear"/>
            <w:vAlign w:val="center"/>
          </w:tcPr>
          <w:p>
            <w:pPr>
              <w:pStyle w:val="TableContents"/>
              <w:spacing w:lineRule="auto" w:line="252" w:before="0" w:after="0"/>
              <w:ind w:left="0" w:right="0" w:hanging="0"/>
              <w:jc w:val="left"/>
              <w:rPr>
                <w:rFonts w:ascii="Times New Roman" w:hAnsi="Times New Roman"/>
                <w:b w:val="false"/>
                <w:sz w:val="20"/>
              </w:rPr>
            </w:pPr>
            <w:r>
              <w:rPr>
                <w:rFonts w:ascii="Times New Roman" w:hAnsi="Times New Roman"/>
                <w:b w:val="false"/>
                <w:sz w:val="20"/>
              </w:rPr>
              <w:t>Leasehold improvements</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285" w:type="dxa"/>
            <w:tcBorders/>
            <w:shd w:fill="auto" w:val="clear"/>
            <w:vAlign w:val="center"/>
          </w:tcPr>
          <w:p>
            <w:pPr>
              <w:pStyle w:val="TableContents"/>
              <w:spacing w:lineRule="auto" w:line="252" w:before="0" w:after="0"/>
              <w:ind w:left="0" w:right="0" w:hanging="0"/>
              <w:jc w:val="left"/>
              <w:rPr/>
            </w:pPr>
            <w:r>
              <w:rPr/>
              <w:t> </w:t>
            </w:r>
          </w:p>
        </w:tc>
        <w:tc>
          <w:tcPr>
            <w:tcW w:w="570" w:type="dxa"/>
            <w:tcBorders/>
            <w:shd w:fill="auto" w:val="clear"/>
            <w:vAlign w:val="center"/>
          </w:tcPr>
          <w:p>
            <w:pPr>
              <w:pStyle w:val="TableContents"/>
              <w:spacing w:lineRule="auto" w:line="252" w:before="0" w:after="0"/>
              <w:ind w:left="0" w:right="0" w:hanging="0"/>
              <w:jc w:val="right"/>
              <w:rPr>
                <w:rFonts w:ascii="Times New Roman" w:hAnsi="Times New Roman"/>
                <w:b w:val="false"/>
                <w:sz w:val="20"/>
              </w:rPr>
            </w:pPr>
            <w:r>
              <w:rPr>
                <w:rFonts w:ascii="Times New Roman" w:hAnsi="Times New Roman"/>
                <w:b w:val="false"/>
                <w:sz w:val="20"/>
              </w:rPr>
              <w:t>14</w:t>
            </w:r>
          </w:p>
        </w:tc>
        <w:tc>
          <w:tcPr>
            <w:tcW w:w="166" w:type="dxa"/>
            <w:tcBorders/>
            <w:shd w:fill="auto" w:val="cle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392" w:type="dxa"/>
            <w:tcBorders/>
            <w:shd w:fill="auto" w:val="clear"/>
            <w:vAlign w:val="center"/>
          </w:tcPr>
          <w:p>
            <w:pPr>
              <w:pStyle w:val="TableContents"/>
              <w:spacing w:lineRule="auto" w:line="252" w:before="0" w:after="0"/>
              <w:ind w:left="0" w:right="0" w:hanging="0"/>
              <w:jc w:val="left"/>
              <w:rPr/>
            </w:pPr>
            <w:r>
              <w:rPr/>
              <w:t> </w:t>
            </w:r>
          </w:p>
        </w:tc>
        <w:tc>
          <w:tcPr>
            <w:tcW w:w="703" w:type="dxa"/>
            <w:tcBorders/>
            <w:shd w:fill="auto" w:val="clear"/>
            <w:vAlign w:val="center"/>
          </w:tcPr>
          <w:p>
            <w:pPr>
              <w:pStyle w:val="TableContents"/>
              <w:spacing w:lineRule="auto" w:line="252" w:before="0" w:after="0"/>
              <w:ind w:left="0" w:right="0" w:hanging="0"/>
              <w:jc w:val="right"/>
              <w:rPr>
                <w:rFonts w:ascii="Times New Roman" w:hAnsi="Times New Roman"/>
                <w:b w:val="false"/>
                <w:sz w:val="20"/>
              </w:rPr>
            </w:pPr>
            <w:r>
              <w:rPr>
                <w:rFonts w:ascii="Times New Roman" w:hAnsi="Times New Roman"/>
                <w:b w:val="false"/>
                <w:sz w:val="20"/>
              </w:rPr>
              <w:t>15</w:t>
            </w:r>
          </w:p>
        </w:tc>
        <w:tc>
          <w:tcPr>
            <w:tcW w:w="211" w:type="dxa"/>
            <w:tcBorders/>
            <w:shd w:fill="auto" w:val="clear"/>
            <w:vAlign w:val="center"/>
          </w:tcPr>
          <w:p>
            <w:pPr>
              <w:pStyle w:val="TableContents"/>
              <w:spacing w:lineRule="auto" w:line="252" w:before="0" w:after="0"/>
              <w:ind w:left="0" w:right="0" w:hanging="0"/>
              <w:jc w:val="left"/>
              <w:rPr/>
            </w:pPr>
            <w:r>
              <w:rPr/>
              <w:t> </w:t>
            </w:r>
          </w:p>
        </w:tc>
      </w:tr>
      <w:tr>
        <w:trPr/>
        <w:tc>
          <w:tcPr>
            <w:tcW w:w="2686" w:type="dxa"/>
            <w:tcBorders/>
            <w:shd w:fill="auto" w:val="clear"/>
            <w:vAlign w:val="center"/>
          </w:tcPr>
          <w:p>
            <w:pPr>
              <w:pStyle w:val="TableContents"/>
              <w:spacing w:lineRule="auto" w:line="252" w:before="0" w:after="0"/>
              <w:ind w:left="0" w:right="0" w:hanging="0"/>
              <w:jc w:val="left"/>
              <w:rPr>
                <w:rFonts w:ascii="Times New Roman" w:hAnsi="Times New Roman"/>
                <w:b w:val="false"/>
                <w:sz w:val="20"/>
              </w:rPr>
            </w:pPr>
            <w:r>
              <w:rPr>
                <w:rFonts w:ascii="Times New Roman" w:hAnsi="Times New Roman"/>
                <w:b w:val="false"/>
                <w:sz w:val="20"/>
              </w:rPr>
              <w:t>Other property and equipment</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285"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c>
          <w:tcPr>
            <w:tcW w:w="570"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right"/>
              <w:rPr>
                <w:rFonts w:ascii="Times New Roman" w:hAnsi="Times New Roman"/>
                <w:b w:val="false"/>
                <w:sz w:val="20"/>
              </w:rPr>
            </w:pPr>
            <w:r>
              <w:rPr>
                <w:rFonts w:ascii="Times New Roman" w:hAnsi="Times New Roman"/>
                <w:b w:val="false"/>
                <w:sz w:val="20"/>
              </w:rPr>
              <w:t>15</w:t>
            </w:r>
          </w:p>
        </w:tc>
        <w:tc>
          <w:tcPr>
            <w:tcW w:w="166"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392"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c>
          <w:tcPr>
            <w:tcW w:w="703"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right"/>
              <w:rPr/>
            </w:pPr>
            <w:r>
              <w:rPr/>
              <w:t>—</w:t>
            </w:r>
          </w:p>
        </w:tc>
        <w:tc>
          <w:tcPr>
            <w:tcW w:w="211"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r>
      <w:tr>
        <w:trPr/>
        <w:tc>
          <w:tcPr>
            <w:tcW w:w="2686" w:type="dxa"/>
            <w:tcBorders/>
            <w:shd w:fill="auto" w:val="clear"/>
            <w:vAlign w:val="center"/>
          </w:tcPr>
          <w:p>
            <w:pPr>
              <w:pStyle w:val="TableContents"/>
              <w:spacing w:lineRule="auto" w:line="252" w:before="0" w:after="0"/>
              <w:ind w:left="0" w:right="0" w:hanging="0"/>
              <w:jc w:val="left"/>
              <w:rPr>
                <w:rFonts w:ascii="Times New Roman" w:hAnsi="Times New Roman"/>
                <w:b w:val="false"/>
                <w:sz w:val="20"/>
              </w:rPr>
            </w:pPr>
            <w:r>
              <w:rPr>
                <w:rFonts w:ascii="Times New Roman" w:hAnsi="Times New Roman"/>
                <w:b w:val="false"/>
                <w:sz w:val="20"/>
              </w:rPr>
              <w:t>Property and equipment, gross</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285" w:type="dxa"/>
            <w:tcBorders/>
            <w:shd w:fill="auto" w:val="clear"/>
            <w:vAlign w:val="center"/>
          </w:tcPr>
          <w:p>
            <w:pPr>
              <w:pStyle w:val="TableContents"/>
              <w:spacing w:lineRule="auto" w:line="252" w:before="0" w:after="0"/>
              <w:ind w:left="0" w:right="0" w:hanging="0"/>
              <w:jc w:val="left"/>
              <w:rPr/>
            </w:pPr>
            <w:r>
              <w:rPr/>
              <w:t> </w:t>
            </w:r>
          </w:p>
        </w:tc>
        <w:tc>
          <w:tcPr>
            <w:tcW w:w="570" w:type="dxa"/>
            <w:tcBorders/>
            <w:shd w:fill="auto" w:val="clear"/>
            <w:vAlign w:val="center"/>
          </w:tcPr>
          <w:p>
            <w:pPr>
              <w:pStyle w:val="TableContents"/>
              <w:spacing w:lineRule="auto" w:line="252" w:before="0" w:after="0"/>
              <w:ind w:left="0" w:right="0" w:hanging="0"/>
              <w:jc w:val="right"/>
              <w:rPr>
                <w:rFonts w:ascii="Times New Roman" w:hAnsi="Times New Roman"/>
                <w:b w:val="false"/>
                <w:sz w:val="20"/>
              </w:rPr>
            </w:pPr>
            <w:r>
              <w:rPr>
                <w:rFonts w:ascii="Times New Roman" w:hAnsi="Times New Roman"/>
                <w:b w:val="false"/>
                <w:sz w:val="20"/>
              </w:rPr>
              <w:t>107</w:t>
            </w:r>
          </w:p>
        </w:tc>
        <w:tc>
          <w:tcPr>
            <w:tcW w:w="166" w:type="dxa"/>
            <w:tcBorders/>
            <w:shd w:fill="auto" w:val="cle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392" w:type="dxa"/>
            <w:tcBorders/>
            <w:shd w:fill="auto" w:val="clear"/>
            <w:vAlign w:val="center"/>
          </w:tcPr>
          <w:p>
            <w:pPr>
              <w:pStyle w:val="TableContents"/>
              <w:spacing w:lineRule="auto" w:line="252" w:before="0" w:after="0"/>
              <w:ind w:left="0" w:right="0" w:hanging="0"/>
              <w:jc w:val="left"/>
              <w:rPr/>
            </w:pPr>
            <w:r>
              <w:rPr/>
              <w:t> </w:t>
            </w:r>
          </w:p>
        </w:tc>
        <w:tc>
          <w:tcPr>
            <w:tcW w:w="703" w:type="dxa"/>
            <w:tcBorders/>
            <w:shd w:fill="auto" w:val="clear"/>
            <w:vAlign w:val="center"/>
          </w:tcPr>
          <w:p>
            <w:pPr>
              <w:pStyle w:val="TableContents"/>
              <w:spacing w:lineRule="auto" w:line="252" w:before="0" w:after="0"/>
              <w:ind w:left="0" w:right="0" w:hanging="0"/>
              <w:jc w:val="right"/>
              <w:rPr>
                <w:rFonts w:ascii="Times New Roman" w:hAnsi="Times New Roman"/>
                <w:b w:val="false"/>
                <w:sz w:val="20"/>
              </w:rPr>
            </w:pPr>
            <w:r>
              <w:rPr>
                <w:rFonts w:ascii="Times New Roman" w:hAnsi="Times New Roman"/>
                <w:b w:val="false"/>
                <w:sz w:val="20"/>
              </w:rPr>
              <w:t>93</w:t>
            </w:r>
          </w:p>
        </w:tc>
        <w:tc>
          <w:tcPr>
            <w:tcW w:w="211" w:type="dxa"/>
            <w:tcBorders/>
            <w:shd w:fill="auto" w:val="clear"/>
            <w:vAlign w:val="center"/>
          </w:tcPr>
          <w:p>
            <w:pPr>
              <w:pStyle w:val="TableContents"/>
              <w:spacing w:lineRule="auto" w:line="252" w:before="0" w:after="0"/>
              <w:ind w:left="0" w:right="0" w:hanging="0"/>
              <w:jc w:val="left"/>
              <w:rPr/>
            </w:pPr>
            <w:r>
              <w:rPr/>
              <w:t> </w:t>
            </w:r>
          </w:p>
        </w:tc>
      </w:tr>
      <w:tr>
        <w:trPr/>
        <w:tc>
          <w:tcPr>
            <w:tcW w:w="2686" w:type="dxa"/>
            <w:tcBorders/>
            <w:shd w:fill="auto" w:val="clear"/>
            <w:vAlign w:val="center"/>
          </w:tcPr>
          <w:p>
            <w:pPr>
              <w:pStyle w:val="TableContents"/>
              <w:spacing w:lineRule="auto" w:line="252" w:before="0" w:after="0"/>
              <w:ind w:left="0" w:right="0" w:hanging="0"/>
              <w:jc w:val="left"/>
              <w:rPr>
                <w:rFonts w:ascii="Times New Roman" w:hAnsi="Times New Roman"/>
                <w:b w:val="false"/>
                <w:sz w:val="20"/>
              </w:rPr>
            </w:pPr>
            <w:r>
              <w:rPr>
                <w:rFonts w:ascii="Times New Roman" w:hAnsi="Times New Roman"/>
                <w:b w:val="false"/>
                <w:sz w:val="20"/>
              </w:rPr>
              <w:t>Less: accumulated depreciation</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285"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c>
          <w:tcPr>
            <w:tcW w:w="570"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right"/>
              <w:rPr>
                <w:rFonts w:ascii="Times New Roman" w:hAnsi="Times New Roman"/>
                <w:b w:val="false"/>
                <w:sz w:val="20"/>
              </w:rPr>
            </w:pPr>
            <w:r>
              <w:rPr>
                <w:rFonts w:ascii="Times New Roman" w:hAnsi="Times New Roman"/>
                <w:b w:val="false"/>
                <w:sz w:val="20"/>
              </w:rPr>
              <w:t>(41</w:t>
            </w:r>
          </w:p>
        </w:tc>
        <w:tc>
          <w:tcPr>
            <w:tcW w:w="166"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rFonts w:ascii="Times New Roman" w:hAnsi="Times New Roman"/>
                <w:b w:val="false"/>
                <w:sz w:val="20"/>
              </w:rPr>
            </w:pPr>
            <w:r>
              <w:rPr>
                <w:rFonts w:ascii="Times New Roman" w:hAnsi="Times New Roman"/>
                <w:b w:val="false"/>
                <w:sz w:val="20"/>
              </w:rPr>
              <w:t>)</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392"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c>
          <w:tcPr>
            <w:tcW w:w="703"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right"/>
              <w:rPr>
                <w:rFonts w:ascii="Times New Roman" w:hAnsi="Times New Roman"/>
                <w:b w:val="false"/>
                <w:sz w:val="20"/>
              </w:rPr>
            </w:pPr>
            <w:r>
              <w:rPr>
                <w:rFonts w:ascii="Times New Roman" w:hAnsi="Times New Roman"/>
                <w:b w:val="false"/>
                <w:sz w:val="20"/>
              </w:rPr>
              <w:t>(36</w:t>
            </w:r>
          </w:p>
        </w:tc>
        <w:tc>
          <w:tcPr>
            <w:tcW w:w="211"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rFonts w:ascii="Times New Roman" w:hAnsi="Times New Roman"/>
                <w:b w:val="false"/>
                <w:sz w:val="20"/>
              </w:rPr>
            </w:pPr>
            <w:r>
              <w:rPr>
                <w:rFonts w:ascii="Times New Roman" w:hAnsi="Times New Roman"/>
                <w:b w:val="false"/>
                <w:sz w:val="20"/>
              </w:rPr>
              <w:t>)</w:t>
            </w:r>
          </w:p>
        </w:tc>
      </w:tr>
      <w:tr>
        <w:trPr/>
        <w:tc>
          <w:tcPr>
            <w:tcW w:w="2686" w:type="dxa"/>
            <w:tcBorders/>
            <w:shd w:fill="auto" w:val="clear"/>
            <w:vAlign w:val="center"/>
          </w:tcPr>
          <w:p>
            <w:pPr>
              <w:pStyle w:val="TableContents"/>
              <w:spacing w:lineRule="auto" w:line="252" w:before="0" w:after="0"/>
              <w:ind w:left="0" w:right="0" w:hanging="0"/>
              <w:jc w:val="left"/>
              <w:rPr>
                <w:rFonts w:ascii="Times New Roman" w:hAnsi="Times New Roman"/>
                <w:b w:val="false"/>
                <w:sz w:val="20"/>
              </w:rPr>
            </w:pPr>
            <w:r>
              <w:rPr>
                <w:rFonts w:ascii="Times New Roman" w:hAnsi="Times New Roman"/>
                <w:b w:val="false"/>
                <w:sz w:val="20"/>
              </w:rPr>
              <w:t>Property and equipment, net</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285" w:type="dxa"/>
            <w:tcBorders>
              <w:bottom w:val="double" w:sz="6"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rFonts w:ascii="Times New Roman" w:hAnsi="Times New Roman"/>
                <w:b w:val="false"/>
                <w:sz w:val="20"/>
              </w:rPr>
            </w:pPr>
            <w:r>
              <w:rPr>
                <w:rFonts w:ascii="Times New Roman" w:hAnsi="Times New Roman"/>
                <w:b w:val="false"/>
                <w:sz w:val="20"/>
              </w:rPr>
              <w:t>$</w:t>
            </w:r>
          </w:p>
        </w:tc>
        <w:tc>
          <w:tcPr>
            <w:tcW w:w="570" w:type="dxa"/>
            <w:tcBorders>
              <w:bottom w:val="double" w:sz="6" w:space="0" w:color="000000"/>
            </w:tcBorders>
            <w:shd w:fill="auto" w:val="clear"/>
            <w:tcMar>
              <w:top w:w="0" w:type="dxa"/>
              <w:left w:w="0" w:type="dxa"/>
              <w:right w:w="0" w:type="dxa"/>
            </w:tcMar>
            <w:vAlign w:val="center"/>
          </w:tcPr>
          <w:p>
            <w:pPr>
              <w:pStyle w:val="TableContents"/>
              <w:spacing w:lineRule="auto" w:line="252" w:before="0" w:after="0"/>
              <w:ind w:left="0" w:right="0" w:hanging="0"/>
              <w:jc w:val="right"/>
              <w:rPr>
                <w:rFonts w:ascii="Times New Roman" w:hAnsi="Times New Roman"/>
                <w:b w:val="false"/>
                <w:sz w:val="20"/>
              </w:rPr>
            </w:pPr>
            <w:r>
              <w:rPr>
                <w:rFonts w:ascii="Times New Roman" w:hAnsi="Times New Roman"/>
                <w:b w:val="false"/>
                <w:sz w:val="20"/>
              </w:rPr>
              <w:t>66</w:t>
            </w:r>
          </w:p>
        </w:tc>
        <w:tc>
          <w:tcPr>
            <w:tcW w:w="166" w:type="dxa"/>
            <w:tcBorders>
              <w:bottom w:val="double" w:sz="6"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392" w:type="dxa"/>
            <w:tcBorders>
              <w:bottom w:val="double" w:sz="6"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rFonts w:ascii="Times New Roman" w:hAnsi="Times New Roman"/>
                <w:b w:val="false"/>
                <w:sz w:val="20"/>
              </w:rPr>
            </w:pPr>
            <w:r>
              <w:rPr>
                <w:rFonts w:ascii="Times New Roman" w:hAnsi="Times New Roman"/>
                <w:b w:val="false"/>
                <w:sz w:val="20"/>
              </w:rPr>
              <w:t>$</w:t>
            </w:r>
          </w:p>
        </w:tc>
        <w:tc>
          <w:tcPr>
            <w:tcW w:w="703" w:type="dxa"/>
            <w:tcBorders>
              <w:bottom w:val="double" w:sz="6" w:space="0" w:color="000000"/>
            </w:tcBorders>
            <w:shd w:fill="auto" w:val="clear"/>
            <w:tcMar>
              <w:top w:w="0" w:type="dxa"/>
              <w:left w:w="0" w:type="dxa"/>
              <w:right w:w="0" w:type="dxa"/>
            </w:tcMar>
            <w:vAlign w:val="center"/>
          </w:tcPr>
          <w:p>
            <w:pPr>
              <w:pStyle w:val="TableContents"/>
              <w:spacing w:lineRule="auto" w:line="252" w:before="0" w:after="0"/>
              <w:ind w:left="0" w:right="0" w:hanging="0"/>
              <w:jc w:val="right"/>
              <w:rPr>
                <w:rFonts w:ascii="Times New Roman" w:hAnsi="Times New Roman"/>
                <w:b w:val="false"/>
                <w:sz w:val="20"/>
              </w:rPr>
            </w:pPr>
            <w:r>
              <w:rPr>
                <w:rFonts w:ascii="Times New Roman" w:hAnsi="Times New Roman"/>
                <w:b w:val="false"/>
                <w:sz w:val="20"/>
              </w:rPr>
              <w:t>57</w:t>
            </w:r>
          </w:p>
        </w:tc>
        <w:tc>
          <w:tcPr>
            <w:tcW w:w="211" w:type="dxa"/>
            <w:tcBorders>
              <w:bottom w:val="double" w:sz="6"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r>
    </w:tbl>
    <w:p>
      <w:pPr>
        <w:pStyle w:val="TextBody"/>
        <w:spacing w:lineRule="auto" w:line="273" w:before="0" w:after="0"/>
        <w:jc w:val="left"/>
        <w:rPr/>
      </w:pPr>
      <w:r>
        <w:rPr/>
        <w:t> </w:t>
      </w:r>
    </w:p>
    <w:p>
      <w:pPr>
        <w:pStyle w:val="TextBody"/>
        <w:spacing w:lineRule="auto" w:line="273" w:before="0" w:after="0"/>
        <w:jc w:val="left"/>
        <w:rPr>
          <w:rFonts w:ascii="Times New Roman" w:hAnsi="Times New Roman"/>
          <w:b w:val="false"/>
          <w:sz w:val="20"/>
        </w:rPr>
      </w:pPr>
      <w:r>
        <w:rPr>
          <w:rFonts w:ascii="Times New Roman" w:hAnsi="Times New Roman"/>
          <w:b w:val="false"/>
          <w:sz w:val="20"/>
        </w:rPr>
        <w:t>Depreciation expense for each of the three months ended March 31, 2022 and 2021 was immaterial.</w:t>
      </w:r>
    </w:p>
    <w:p>
      <w:pPr>
        <w:pStyle w:val="TextBody"/>
        <w:spacing w:lineRule="auto" w:line="273" w:before="360" w:after="0"/>
        <w:jc w:val="left"/>
        <w:rPr>
          <w:rFonts w:ascii="Times New Roman" w:hAnsi="Times New Roman"/>
          <w:b/>
          <w:i/>
          <w:sz w:val="20"/>
        </w:rPr>
      </w:pPr>
      <w:r>
        <w:rPr>
          <w:rFonts w:ascii="Times New Roman" w:hAnsi="Times New Roman"/>
          <w:b/>
          <w:i/>
          <w:sz w:val="20"/>
        </w:rPr>
        <w:t>Accrued Expenses and Other Current Liabilities</w:t>
      </w:r>
    </w:p>
    <w:p>
      <w:pPr>
        <w:pStyle w:val="TextBody"/>
        <w:spacing w:lineRule="auto" w:line="273" w:before="120" w:after="0"/>
        <w:jc w:val="left"/>
        <w:rPr>
          <w:rFonts w:ascii="Times New Roman" w:hAnsi="Times New Roman"/>
          <w:sz w:val="20"/>
        </w:rPr>
      </w:pPr>
      <w:r>
        <w:rPr>
          <w:rFonts w:ascii="Times New Roman" w:hAnsi="Times New Roman"/>
          <w:b w:val="false"/>
          <w:sz w:val="20"/>
        </w:rPr>
        <w:t>Accrued expenses and other current liabilities consisted of the following (in thousands):</w:t>
      </w:r>
      <w:r>
        <w:rPr>
          <w:rFonts w:ascii="Times New Roman" w:hAnsi="Times New Roman"/>
          <w:sz w:val="20"/>
        </w:rPr>
        <w:t xml:space="preserve"> </w:t>
      </w:r>
    </w:p>
    <w:p>
      <w:pPr>
        <w:pStyle w:val="TextBody"/>
        <w:spacing w:lineRule="auto" w:line="273" w:before="0" w:after="0"/>
        <w:jc w:val="left"/>
        <w:rPr/>
      </w:pPr>
      <w:r>
        <w:rPr/>
        <w:t> </w:t>
      </w:r>
    </w:p>
    <w:tbl>
      <w:tblPr>
        <w:tblW w:w="6840" w:type="dxa"/>
        <w:jc w:val="left"/>
        <w:tblInd w:w="0" w:type="dxa"/>
        <w:tblCellMar>
          <w:top w:w="28" w:type="dxa"/>
          <w:left w:w="28" w:type="dxa"/>
          <w:bottom w:w="28" w:type="dxa"/>
          <w:right w:w="28" w:type="dxa"/>
        </w:tblCellMar>
      </w:tblPr>
      <w:tblGrid>
        <w:gridCol w:w="4261"/>
        <w:gridCol w:w="146"/>
        <w:gridCol w:w="230"/>
        <w:gridCol w:w="625"/>
        <w:gridCol w:w="146"/>
        <w:gridCol w:w="146"/>
        <w:gridCol w:w="294"/>
        <w:gridCol w:w="801"/>
        <w:gridCol w:w="191"/>
      </w:tblGrid>
      <w:tr>
        <w:trPr/>
        <w:tc>
          <w:tcPr>
            <w:tcW w:w="4261"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230" w:type="dxa"/>
            <w:tcBorders/>
            <w:shd w:fill="auto" w:val="clear"/>
            <w:vAlign w:val="center"/>
          </w:tcPr>
          <w:p>
            <w:pPr>
              <w:pStyle w:val="TableContents"/>
              <w:spacing w:before="0" w:after="283"/>
              <w:rPr>
                <w:sz w:val="4"/>
                <w:szCs w:val="4"/>
              </w:rPr>
            </w:pPr>
            <w:r>
              <w:rPr>
                <w:sz w:val="4"/>
                <w:szCs w:val="4"/>
              </w:rPr>
            </w:r>
          </w:p>
        </w:tc>
        <w:tc>
          <w:tcPr>
            <w:tcW w:w="625"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294" w:type="dxa"/>
            <w:tcBorders/>
            <w:shd w:fill="auto" w:val="clear"/>
            <w:vAlign w:val="center"/>
          </w:tcPr>
          <w:p>
            <w:pPr>
              <w:pStyle w:val="TableContents"/>
              <w:spacing w:before="0" w:after="283"/>
              <w:rPr>
                <w:sz w:val="4"/>
                <w:szCs w:val="4"/>
              </w:rPr>
            </w:pPr>
            <w:r>
              <w:rPr>
                <w:sz w:val="4"/>
                <w:szCs w:val="4"/>
              </w:rPr>
            </w:r>
          </w:p>
        </w:tc>
        <w:tc>
          <w:tcPr>
            <w:tcW w:w="801" w:type="dxa"/>
            <w:tcBorders/>
            <w:shd w:fill="auto" w:val="clear"/>
            <w:vAlign w:val="center"/>
          </w:tcPr>
          <w:p>
            <w:pPr>
              <w:pStyle w:val="TableContents"/>
              <w:spacing w:before="0" w:after="283"/>
              <w:rPr>
                <w:sz w:val="4"/>
                <w:szCs w:val="4"/>
              </w:rPr>
            </w:pPr>
            <w:r>
              <w:rPr>
                <w:sz w:val="4"/>
                <w:szCs w:val="4"/>
              </w:rPr>
            </w:r>
          </w:p>
        </w:tc>
        <w:tc>
          <w:tcPr>
            <w:tcW w:w="191" w:type="dxa"/>
            <w:tcBorders/>
            <w:shd w:fill="auto" w:val="clear"/>
            <w:vAlign w:val="center"/>
          </w:tcPr>
          <w:p>
            <w:pPr>
              <w:pStyle w:val="TableContents"/>
              <w:spacing w:before="0" w:after="283"/>
              <w:rPr>
                <w:sz w:val="4"/>
                <w:szCs w:val="4"/>
              </w:rPr>
            </w:pPr>
            <w:r>
              <w:rPr>
                <w:sz w:val="4"/>
                <w:szCs w:val="4"/>
              </w:rPr>
            </w:r>
          </w:p>
        </w:tc>
      </w:tr>
      <w:tr>
        <w:trPr/>
        <w:tc>
          <w:tcPr>
            <w:tcW w:w="4261" w:type="dxa"/>
            <w:tcBorders/>
            <w:shd w:fill="auto" w:val="clear"/>
            <w:vAlign w:val="center"/>
          </w:tcPr>
          <w:p>
            <w:pPr>
              <w:pStyle w:val="TableContents"/>
              <w:spacing w:lineRule="auto" w:line="252" w:before="0" w:after="0"/>
              <w:ind w:left="0" w:right="0" w:hanging="0"/>
              <w:jc w:val="center"/>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855" w:type="dxa"/>
            <w:gridSpan w:val="2"/>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center"/>
              <w:rPr>
                <w:rFonts w:ascii="Times New Roman" w:hAnsi="Times New Roman"/>
                <w:b/>
                <w:sz w:val="16"/>
              </w:rPr>
            </w:pPr>
            <w:r>
              <w:rPr>
                <w:rFonts w:ascii="Times New Roman" w:hAnsi="Times New Roman"/>
                <w:b/>
                <w:sz w:val="16"/>
              </w:rPr>
              <w:t>March 31,</w:t>
              <w:br/>
              <w:t>2022</w:t>
            </w:r>
          </w:p>
        </w:tc>
        <w:tc>
          <w:tcPr>
            <w:tcW w:w="146"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center"/>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095" w:type="dxa"/>
            <w:gridSpan w:val="2"/>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center"/>
              <w:rPr>
                <w:rFonts w:ascii="Times New Roman" w:hAnsi="Times New Roman"/>
                <w:b/>
                <w:sz w:val="16"/>
              </w:rPr>
            </w:pPr>
            <w:r>
              <w:rPr>
                <w:rFonts w:ascii="Times New Roman" w:hAnsi="Times New Roman"/>
                <w:b/>
                <w:sz w:val="16"/>
              </w:rPr>
              <w:t>December 31,</w:t>
              <w:br/>
              <w:t>2021</w:t>
            </w:r>
          </w:p>
        </w:tc>
        <w:tc>
          <w:tcPr>
            <w:tcW w:w="191"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center"/>
              <w:rPr/>
            </w:pPr>
            <w:r>
              <w:rPr/>
              <w:t> </w:t>
            </w:r>
          </w:p>
        </w:tc>
      </w:tr>
      <w:tr>
        <w:trPr/>
        <w:tc>
          <w:tcPr>
            <w:tcW w:w="4261" w:type="dxa"/>
            <w:tcBorders/>
            <w:shd w:fill="auto" w:val="clear"/>
            <w:vAlign w:val="center"/>
          </w:tcPr>
          <w:p>
            <w:pPr>
              <w:pStyle w:val="TableContents"/>
              <w:spacing w:lineRule="auto" w:line="252" w:before="0" w:after="0"/>
              <w:ind w:left="0" w:right="0" w:hanging="0"/>
              <w:jc w:val="left"/>
              <w:rPr>
                <w:rFonts w:ascii="Times New Roman" w:hAnsi="Times New Roman"/>
                <w:b w:val="false"/>
                <w:sz w:val="20"/>
              </w:rPr>
            </w:pPr>
            <w:r>
              <w:rPr>
                <w:rFonts w:ascii="Times New Roman" w:hAnsi="Times New Roman"/>
                <w:b w:val="false"/>
                <w:sz w:val="20"/>
              </w:rPr>
              <w:t>Accrued payroll related expenses</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230" w:type="dxa"/>
            <w:tcBorders/>
            <w:shd w:fill="auto" w:val="clear"/>
            <w:vAlign w:val="center"/>
          </w:tcPr>
          <w:p>
            <w:pPr>
              <w:pStyle w:val="TableContents"/>
              <w:spacing w:lineRule="auto" w:line="252" w:before="0" w:after="0"/>
              <w:ind w:left="0" w:right="0" w:hanging="0"/>
              <w:jc w:val="left"/>
              <w:rPr>
                <w:rFonts w:ascii="Times New Roman" w:hAnsi="Times New Roman"/>
                <w:b w:val="false"/>
                <w:sz w:val="20"/>
              </w:rPr>
            </w:pPr>
            <w:r>
              <w:rPr>
                <w:rFonts w:ascii="Times New Roman" w:hAnsi="Times New Roman"/>
                <w:b w:val="false"/>
                <w:sz w:val="20"/>
              </w:rPr>
              <w:t>$</w:t>
            </w:r>
          </w:p>
        </w:tc>
        <w:tc>
          <w:tcPr>
            <w:tcW w:w="625" w:type="dxa"/>
            <w:tcBorders/>
            <w:shd w:fill="auto" w:val="clear"/>
            <w:vAlign w:val="center"/>
          </w:tcPr>
          <w:p>
            <w:pPr>
              <w:pStyle w:val="TableContents"/>
              <w:spacing w:lineRule="auto" w:line="252" w:before="0" w:after="0"/>
              <w:ind w:left="0" w:right="0" w:hanging="0"/>
              <w:jc w:val="right"/>
              <w:rPr>
                <w:rFonts w:ascii="Times New Roman" w:hAnsi="Times New Roman"/>
                <w:b w:val="false"/>
                <w:sz w:val="20"/>
              </w:rPr>
            </w:pPr>
            <w:r>
              <w:rPr>
                <w:rFonts w:ascii="Times New Roman" w:hAnsi="Times New Roman"/>
                <w:b w:val="false"/>
                <w:sz w:val="20"/>
              </w:rPr>
              <w:t>1,648</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294" w:type="dxa"/>
            <w:tcBorders/>
            <w:shd w:fill="auto" w:val="clear"/>
            <w:vAlign w:val="center"/>
          </w:tcPr>
          <w:p>
            <w:pPr>
              <w:pStyle w:val="TableContents"/>
              <w:spacing w:lineRule="auto" w:line="252" w:before="0" w:after="0"/>
              <w:ind w:left="0" w:right="0" w:hanging="0"/>
              <w:jc w:val="left"/>
              <w:rPr>
                <w:rFonts w:ascii="Times New Roman" w:hAnsi="Times New Roman"/>
                <w:b w:val="false"/>
                <w:sz w:val="20"/>
              </w:rPr>
            </w:pPr>
            <w:r>
              <w:rPr>
                <w:rFonts w:ascii="Times New Roman" w:hAnsi="Times New Roman"/>
                <w:b w:val="false"/>
                <w:sz w:val="20"/>
              </w:rPr>
              <w:t>$</w:t>
            </w:r>
          </w:p>
        </w:tc>
        <w:tc>
          <w:tcPr>
            <w:tcW w:w="801" w:type="dxa"/>
            <w:tcBorders/>
            <w:shd w:fill="auto" w:val="clear"/>
            <w:vAlign w:val="center"/>
          </w:tcPr>
          <w:p>
            <w:pPr>
              <w:pStyle w:val="TableContents"/>
              <w:spacing w:lineRule="auto" w:line="252" w:before="0" w:after="0"/>
              <w:ind w:left="0" w:right="0" w:hanging="0"/>
              <w:jc w:val="right"/>
              <w:rPr>
                <w:rFonts w:ascii="Times New Roman" w:hAnsi="Times New Roman"/>
                <w:b w:val="false"/>
                <w:sz w:val="20"/>
              </w:rPr>
            </w:pPr>
            <w:r>
              <w:rPr>
                <w:rFonts w:ascii="Times New Roman" w:hAnsi="Times New Roman"/>
                <w:b w:val="false"/>
                <w:sz w:val="20"/>
              </w:rPr>
              <w:t>3,308</w:t>
            </w:r>
          </w:p>
        </w:tc>
        <w:tc>
          <w:tcPr>
            <w:tcW w:w="191" w:type="dxa"/>
            <w:tcBorders/>
            <w:shd w:fill="auto" w:val="clear"/>
            <w:vAlign w:val="center"/>
          </w:tcPr>
          <w:p>
            <w:pPr>
              <w:pStyle w:val="TableContents"/>
              <w:spacing w:lineRule="auto" w:line="252" w:before="0" w:after="0"/>
              <w:ind w:left="0" w:right="0" w:hanging="0"/>
              <w:jc w:val="left"/>
              <w:rPr/>
            </w:pPr>
            <w:r>
              <w:rPr/>
              <w:t> </w:t>
            </w:r>
          </w:p>
        </w:tc>
      </w:tr>
      <w:tr>
        <w:trPr/>
        <w:tc>
          <w:tcPr>
            <w:tcW w:w="4261" w:type="dxa"/>
            <w:tcBorders/>
            <w:shd w:fill="auto" w:val="clear"/>
            <w:vAlign w:val="center"/>
          </w:tcPr>
          <w:p>
            <w:pPr>
              <w:pStyle w:val="TableContents"/>
              <w:spacing w:lineRule="auto" w:line="252" w:before="0" w:after="0"/>
              <w:ind w:left="0" w:right="0" w:hanging="0"/>
              <w:jc w:val="left"/>
              <w:rPr>
                <w:rFonts w:ascii="Times New Roman" w:hAnsi="Times New Roman"/>
                <w:b w:val="false"/>
                <w:sz w:val="20"/>
              </w:rPr>
            </w:pPr>
            <w:r>
              <w:rPr>
                <w:rFonts w:ascii="Times New Roman" w:hAnsi="Times New Roman"/>
                <w:b w:val="false"/>
                <w:sz w:val="20"/>
              </w:rPr>
              <w:t>Accrued research and development expenses</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230" w:type="dxa"/>
            <w:tcBorders/>
            <w:shd w:fill="auto" w:val="clear"/>
            <w:vAlign w:val="center"/>
          </w:tcPr>
          <w:p>
            <w:pPr>
              <w:pStyle w:val="TableContents"/>
              <w:spacing w:lineRule="auto" w:line="252" w:before="0" w:after="0"/>
              <w:ind w:left="0" w:right="0" w:hanging="0"/>
              <w:jc w:val="left"/>
              <w:rPr/>
            </w:pPr>
            <w:r>
              <w:rPr/>
              <w:t> </w:t>
            </w:r>
          </w:p>
        </w:tc>
        <w:tc>
          <w:tcPr>
            <w:tcW w:w="625" w:type="dxa"/>
            <w:tcBorders/>
            <w:shd w:fill="auto" w:val="clear"/>
            <w:vAlign w:val="center"/>
          </w:tcPr>
          <w:p>
            <w:pPr>
              <w:pStyle w:val="TableContents"/>
              <w:spacing w:lineRule="auto" w:line="252" w:before="0" w:after="0"/>
              <w:ind w:left="0" w:right="0" w:hanging="0"/>
              <w:jc w:val="right"/>
              <w:rPr>
                <w:rFonts w:ascii="Times New Roman" w:hAnsi="Times New Roman"/>
                <w:b w:val="false"/>
                <w:sz w:val="20"/>
              </w:rPr>
            </w:pPr>
            <w:r>
              <w:rPr>
                <w:rFonts w:ascii="Times New Roman" w:hAnsi="Times New Roman"/>
                <w:b w:val="false"/>
                <w:sz w:val="20"/>
              </w:rPr>
              <w:t>4,171</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294" w:type="dxa"/>
            <w:tcBorders/>
            <w:shd w:fill="auto" w:val="clear"/>
            <w:vAlign w:val="center"/>
          </w:tcPr>
          <w:p>
            <w:pPr>
              <w:pStyle w:val="TableContents"/>
              <w:spacing w:lineRule="auto" w:line="252" w:before="0" w:after="0"/>
              <w:ind w:left="0" w:right="0" w:hanging="0"/>
              <w:jc w:val="left"/>
              <w:rPr/>
            </w:pPr>
            <w:r>
              <w:rPr/>
              <w:t> </w:t>
            </w:r>
          </w:p>
        </w:tc>
        <w:tc>
          <w:tcPr>
            <w:tcW w:w="801" w:type="dxa"/>
            <w:tcBorders/>
            <w:shd w:fill="auto" w:val="clear"/>
            <w:vAlign w:val="center"/>
          </w:tcPr>
          <w:p>
            <w:pPr>
              <w:pStyle w:val="TableContents"/>
              <w:spacing w:lineRule="auto" w:line="252" w:before="0" w:after="0"/>
              <w:ind w:left="0" w:right="0" w:hanging="0"/>
              <w:jc w:val="right"/>
              <w:rPr>
                <w:rFonts w:ascii="Times New Roman" w:hAnsi="Times New Roman"/>
                <w:b w:val="false"/>
                <w:sz w:val="20"/>
              </w:rPr>
            </w:pPr>
            <w:r>
              <w:rPr>
                <w:rFonts w:ascii="Times New Roman" w:hAnsi="Times New Roman"/>
                <w:b w:val="false"/>
                <w:sz w:val="20"/>
              </w:rPr>
              <w:t>2,565</w:t>
            </w:r>
          </w:p>
        </w:tc>
        <w:tc>
          <w:tcPr>
            <w:tcW w:w="191" w:type="dxa"/>
            <w:tcBorders/>
            <w:shd w:fill="auto" w:val="clear"/>
            <w:vAlign w:val="center"/>
          </w:tcPr>
          <w:p>
            <w:pPr>
              <w:pStyle w:val="TableContents"/>
              <w:spacing w:lineRule="auto" w:line="252" w:before="0" w:after="0"/>
              <w:ind w:left="0" w:right="0" w:hanging="0"/>
              <w:jc w:val="left"/>
              <w:rPr/>
            </w:pPr>
            <w:r>
              <w:rPr/>
              <w:t> </w:t>
            </w:r>
          </w:p>
        </w:tc>
      </w:tr>
      <w:tr>
        <w:trPr/>
        <w:tc>
          <w:tcPr>
            <w:tcW w:w="4261" w:type="dxa"/>
            <w:tcBorders/>
            <w:shd w:fill="auto" w:val="clear"/>
            <w:vAlign w:val="center"/>
          </w:tcPr>
          <w:p>
            <w:pPr>
              <w:pStyle w:val="TableContents"/>
              <w:spacing w:lineRule="auto" w:line="252" w:before="0" w:after="0"/>
              <w:ind w:left="0" w:right="0" w:hanging="0"/>
              <w:jc w:val="left"/>
              <w:rPr>
                <w:rFonts w:ascii="Times New Roman" w:hAnsi="Times New Roman"/>
                <w:b w:val="false"/>
                <w:sz w:val="20"/>
              </w:rPr>
            </w:pPr>
            <w:r>
              <w:rPr>
                <w:rFonts w:ascii="Times New Roman" w:hAnsi="Times New Roman"/>
                <w:b w:val="false"/>
                <w:sz w:val="20"/>
              </w:rPr>
              <w:t>Accrued professional service expenses</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230" w:type="dxa"/>
            <w:tcBorders/>
            <w:shd w:fill="auto" w:val="clear"/>
            <w:vAlign w:val="center"/>
          </w:tcPr>
          <w:p>
            <w:pPr>
              <w:pStyle w:val="TableContents"/>
              <w:spacing w:lineRule="auto" w:line="252" w:before="0" w:after="0"/>
              <w:ind w:left="0" w:right="0" w:hanging="0"/>
              <w:jc w:val="left"/>
              <w:rPr/>
            </w:pPr>
            <w:r>
              <w:rPr/>
              <w:t> </w:t>
            </w:r>
          </w:p>
        </w:tc>
        <w:tc>
          <w:tcPr>
            <w:tcW w:w="625" w:type="dxa"/>
            <w:tcBorders/>
            <w:shd w:fill="auto" w:val="clear"/>
            <w:vAlign w:val="center"/>
          </w:tcPr>
          <w:p>
            <w:pPr>
              <w:pStyle w:val="TableContents"/>
              <w:spacing w:lineRule="auto" w:line="252" w:before="0" w:after="0"/>
              <w:ind w:left="0" w:right="0" w:hanging="0"/>
              <w:jc w:val="right"/>
              <w:rPr>
                <w:rFonts w:ascii="Times New Roman" w:hAnsi="Times New Roman"/>
                <w:b w:val="false"/>
                <w:sz w:val="20"/>
              </w:rPr>
            </w:pPr>
            <w:r>
              <w:rPr>
                <w:rFonts w:ascii="Times New Roman" w:hAnsi="Times New Roman"/>
                <w:b w:val="false"/>
                <w:sz w:val="20"/>
              </w:rPr>
              <w:t>1,098</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294" w:type="dxa"/>
            <w:tcBorders/>
            <w:shd w:fill="auto" w:val="clear"/>
            <w:vAlign w:val="center"/>
          </w:tcPr>
          <w:p>
            <w:pPr>
              <w:pStyle w:val="TableContents"/>
              <w:spacing w:lineRule="auto" w:line="252" w:before="0" w:after="0"/>
              <w:ind w:left="0" w:right="0" w:hanging="0"/>
              <w:jc w:val="left"/>
              <w:rPr/>
            </w:pPr>
            <w:r>
              <w:rPr/>
              <w:t> </w:t>
            </w:r>
          </w:p>
        </w:tc>
        <w:tc>
          <w:tcPr>
            <w:tcW w:w="801" w:type="dxa"/>
            <w:tcBorders/>
            <w:shd w:fill="auto" w:val="clear"/>
            <w:vAlign w:val="center"/>
          </w:tcPr>
          <w:p>
            <w:pPr>
              <w:pStyle w:val="TableContents"/>
              <w:spacing w:lineRule="auto" w:line="252" w:before="0" w:after="0"/>
              <w:ind w:left="0" w:right="0" w:hanging="0"/>
              <w:jc w:val="right"/>
              <w:rPr>
                <w:rFonts w:ascii="Times New Roman" w:hAnsi="Times New Roman"/>
                <w:b w:val="false"/>
                <w:sz w:val="20"/>
              </w:rPr>
            </w:pPr>
            <w:r>
              <w:rPr>
                <w:rFonts w:ascii="Times New Roman" w:hAnsi="Times New Roman"/>
                <w:b w:val="false"/>
                <w:sz w:val="20"/>
              </w:rPr>
              <w:t>732</w:t>
            </w:r>
          </w:p>
        </w:tc>
        <w:tc>
          <w:tcPr>
            <w:tcW w:w="191" w:type="dxa"/>
            <w:tcBorders/>
            <w:shd w:fill="auto" w:val="clear"/>
            <w:vAlign w:val="center"/>
          </w:tcPr>
          <w:p>
            <w:pPr>
              <w:pStyle w:val="TableContents"/>
              <w:spacing w:lineRule="auto" w:line="252" w:before="0" w:after="0"/>
              <w:ind w:left="0" w:right="0" w:hanging="0"/>
              <w:jc w:val="left"/>
              <w:rPr/>
            </w:pPr>
            <w:r>
              <w:rPr/>
              <w:t> </w:t>
            </w:r>
          </w:p>
        </w:tc>
      </w:tr>
      <w:tr>
        <w:trPr/>
        <w:tc>
          <w:tcPr>
            <w:tcW w:w="4261" w:type="dxa"/>
            <w:tcBorders/>
            <w:shd w:fill="auto" w:val="clear"/>
            <w:vAlign w:val="center"/>
          </w:tcPr>
          <w:p>
            <w:pPr>
              <w:pStyle w:val="TableContents"/>
              <w:spacing w:lineRule="auto" w:line="252" w:before="0" w:after="0"/>
              <w:ind w:left="0" w:right="0" w:hanging="0"/>
              <w:jc w:val="left"/>
              <w:rPr>
                <w:rFonts w:ascii="Times New Roman" w:hAnsi="Times New Roman"/>
                <w:b w:val="false"/>
                <w:sz w:val="20"/>
              </w:rPr>
            </w:pPr>
            <w:r>
              <w:rPr>
                <w:rFonts w:ascii="Times New Roman" w:hAnsi="Times New Roman"/>
                <w:b w:val="false"/>
                <w:sz w:val="20"/>
              </w:rPr>
              <w:t>Other</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230"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c>
          <w:tcPr>
            <w:tcW w:w="625"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right"/>
              <w:rPr>
                <w:rFonts w:ascii="Times New Roman" w:hAnsi="Times New Roman"/>
                <w:b w:val="false"/>
                <w:sz w:val="20"/>
              </w:rPr>
            </w:pPr>
            <w:r>
              <w:rPr>
                <w:rFonts w:ascii="Times New Roman" w:hAnsi="Times New Roman"/>
                <w:b w:val="false"/>
                <w:sz w:val="20"/>
              </w:rPr>
              <w:t>387</w:t>
            </w:r>
          </w:p>
        </w:tc>
        <w:tc>
          <w:tcPr>
            <w:tcW w:w="146"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294"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c>
          <w:tcPr>
            <w:tcW w:w="801"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right"/>
              <w:rPr>
                <w:rFonts w:ascii="Times New Roman" w:hAnsi="Times New Roman"/>
                <w:b w:val="false"/>
                <w:sz w:val="20"/>
              </w:rPr>
            </w:pPr>
            <w:r>
              <w:rPr>
                <w:rFonts w:ascii="Times New Roman" w:hAnsi="Times New Roman"/>
                <w:b w:val="false"/>
                <w:sz w:val="20"/>
              </w:rPr>
              <w:t>104</w:t>
            </w:r>
          </w:p>
        </w:tc>
        <w:tc>
          <w:tcPr>
            <w:tcW w:w="191"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r>
      <w:tr>
        <w:trPr/>
        <w:tc>
          <w:tcPr>
            <w:tcW w:w="4261" w:type="dxa"/>
            <w:tcBorders/>
            <w:shd w:fill="auto" w:val="clear"/>
            <w:vAlign w:val="center"/>
          </w:tcPr>
          <w:p>
            <w:pPr>
              <w:pStyle w:val="TableContents"/>
              <w:spacing w:lineRule="auto" w:line="252" w:before="0" w:after="0"/>
              <w:ind w:left="0" w:right="0" w:hanging="0"/>
              <w:jc w:val="left"/>
              <w:rPr>
                <w:rFonts w:ascii="Times New Roman" w:hAnsi="Times New Roman"/>
                <w:b w:val="false"/>
                <w:sz w:val="20"/>
              </w:rPr>
            </w:pPr>
            <w:r>
              <w:rPr>
                <w:rFonts w:ascii="Times New Roman" w:hAnsi="Times New Roman"/>
                <w:b w:val="false"/>
                <w:sz w:val="20"/>
              </w:rPr>
              <w:t>Total accrued expenses and other current liabilities</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230" w:type="dxa"/>
            <w:tcBorders>
              <w:bottom w:val="double" w:sz="6"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rFonts w:ascii="Times New Roman" w:hAnsi="Times New Roman"/>
                <w:b w:val="false"/>
                <w:sz w:val="20"/>
              </w:rPr>
            </w:pPr>
            <w:r>
              <w:rPr>
                <w:rFonts w:ascii="Times New Roman" w:hAnsi="Times New Roman"/>
                <w:b w:val="false"/>
                <w:sz w:val="20"/>
              </w:rPr>
              <w:t>$</w:t>
            </w:r>
          </w:p>
        </w:tc>
        <w:tc>
          <w:tcPr>
            <w:tcW w:w="625" w:type="dxa"/>
            <w:tcBorders>
              <w:bottom w:val="double" w:sz="6" w:space="0" w:color="000000"/>
            </w:tcBorders>
            <w:shd w:fill="auto" w:val="clear"/>
            <w:tcMar>
              <w:top w:w="0" w:type="dxa"/>
              <w:left w:w="0" w:type="dxa"/>
              <w:right w:w="0" w:type="dxa"/>
            </w:tcMar>
            <w:vAlign w:val="center"/>
          </w:tcPr>
          <w:p>
            <w:pPr>
              <w:pStyle w:val="TableContents"/>
              <w:spacing w:lineRule="auto" w:line="252" w:before="0" w:after="0"/>
              <w:ind w:left="0" w:right="0" w:hanging="0"/>
              <w:jc w:val="right"/>
              <w:rPr>
                <w:rFonts w:ascii="Times New Roman" w:hAnsi="Times New Roman"/>
                <w:b w:val="false"/>
                <w:sz w:val="20"/>
              </w:rPr>
            </w:pPr>
            <w:r>
              <w:rPr>
                <w:rFonts w:ascii="Times New Roman" w:hAnsi="Times New Roman"/>
                <w:b w:val="false"/>
                <w:sz w:val="20"/>
              </w:rPr>
              <w:t>7,304</w:t>
            </w:r>
          </w:p>
        </w:tc>
        <w:tc>
          <w:tcPr>
            <w:tcW w:w="146" w:type="dxa"/>
            <w:tcBorders>
              <w:bottom w:val="double" w:sz="6"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294" w:type="dxa"/>
            <w:tcBorders>
              <w:bottom w:val="double" w:sz="6"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rFonts w:ascii="Times New Roman" w:hAnsi="Times New Roman"/>
                <w:b w:val="false"/>
                <w:sz w:val="20"/>
              </w:rPr>
            </w:pPr>
            <w:r>
              <w:rPr>
                <w:rFonts w:ascii="Times New Roman" w:hAnsi="Times New Roman"/>
                <w:b w:val="false"/>
                <w:sz w:val="20"/>
              </w:rPr>
              <w:t>$</w:t>
            </w:r>
          </w:p>
        </w:tc>
        <w:tc>
          <w:tcPr>
            <w:tcW w:w="801" w:type="dxa"/>
            <w:tcBorders>
              <w:bottom w:val="double" w:sz="6" w:space="0" w:color="000000"/>
            </w:tcBorders>
            <w:shd w:fill="auto" w:val="clear"/>
            <w:tcMar>
              <w:top w:w="0" w:type="dxa"/>
              <w:left w:w="0" w:type="dxa"/>
              <w:right w:w="0" w:type="dxa"/>
            </w:tcMar>
            <w:vAlign w:val="center"/>
          </w:tcPr>
          <w:p>
            <w:pPr>
              <w:pStyle w:val="TableContents"/>
              <w:spacing w:lineRule="auto" w:line="252" w:before="0" w:after="0"/>
              <w:ind w:left="0" w:right="0" w:hanging="0"/>
              <w:jc w:val="right"/>
              <w:rPr>
                <w:rFonts w:ascii="Times New Roman" w:hAnsi="Times New Roman"/>
                <w:b w:val="false"/>
                <w:sz w:val="20"/>
              </w:rPr>
            </w:pPr>
            <w:r>
              <w:rPr>
                <w:rFonts w:ascii="Times New Roman" w:hAnsi="Times New Roman"/>
                <w:b w:val="false"/>
                <w:sz w:val="20"/>
              </w:rPr>
              <w:t>6,709</w:t>
            </w:r>
          </w:p>
        </w:tc>
        <w:tc>
          <w:tcPr>
            <w:tcW w:w="191" w:type="dxa"/>
            <w:tcBorders>
              <w:bottom w:val="double" w:sz="6"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r>
    </w:tbl>
    <w:p>
      <w:pPr>
        <w:pStyle w:val="TextBody"/>
        <w:spacing w:lineRule="auto" w:line="273" w:before="0" w:after="0"/>
        <w:jc w:val="left"/>
        <w:rPr/>
      </w:pPr>
      <w:r>
        <w:rPr/>
        <w:t> </w:t>
      </w:r>
    </w:p>
    <w:p>
      <w:pPr>
        <w:pStyle w:val="TextBody"/>
        <w:spacing w:lineRule="auto" w:line="273" w:before="360" w:after="0"/>
        <w:jc w:val="left"/>
        <w:rPr>
          <w:rFonts w:ascii="Times New Roman" w:hAnsi="Times New Roman"/>
          <w:b/>
          <w:sz w:val="20"/>
        </w:rPr>
      </w:pPr>
      <w:r>
        <w:rPr>
          <w:rFonts w:ascii="Times New Roman" w:hAnsi="Times New Roman"/>
          <w:b/>
          <w:sz w:val="20"/>
        </w:rPr>
        <w:t>5.</w:t>
      </w:r>
    </w:p>
    <w:p>
      <w:pPr>
        <w:pStyle w:val="TextBody"/>
        <w:spacing w:lineRule="auto" w:line="273" w:before="360" w:after="283"/>
        <w:jc w:val="left"/>
        <w:rPr>
          <w:rFonts w:ascii="Times New Roman" w:hAnsi="Times New Roman"/>
          <w:b/>
          <w:sz w:val="20"/>
        </w:rPr>
      </w:pPr>
      <w:r>
        <w:rPr>
          <w:rFonts w:ascii="Times New Roman" w:hAnsi="Times New Roman"/>
          <w:b/>
          <w:sz w:val="20"/>
        </w:rPr>
        <w:t xml:space="preserve">Significant Agreements </w:t>
      </w:r>
    </w:p>
    <w:p>
      <w:pPr>
        <w:pStyle w:val="TextBody"/>
        <w:spacing w:lineRule="auto" w:line="273" w:before="360" w:after="0"/>
        <w:jc w:val="left"/>
        <w:rPr>
          <w:rFonts w:ascii="Times New Roman" w:hAnsi="Times New Roman"/>
          <w:sz w:val="20"/>
        </w:rPr>
      </w:pPr>
      <w:r>
        <w:rPr>
          <w:rFonts w:ascii="Times New Roman" w:hAnsi="Times New Roman"/>
          <w:b/>
          <w:i/>
          <w:sz w:val="20"/>
        </w:rPr>
        <w:t>License agreement with Merck KGaA, Darmstadt, Germany</w:t>
      </w:r>
      <w:r>
        <w:rPr>
          <w:rFonts w:ascii="Times New Roman" w:hAnsi="Times New Roman"/>
          <w:sz w:val="20"/>
        </w:rPr>
        <w:t xml:space="preserve"> </w:t>
      </w:r>
    </w:p>
    <w:p>
      <w:pPr>
        <w:pStyle w:val="TextBody"/>
        <w:spacing w:lineRule="auto" w:line="273" w:before="120" w:after="0"/>
        <w:jc w:val="left"/>
        <w:rPr>
          <w:rFonts w:ascii="Times New Roman" w:hAnsi="Times New Roman"/>
          <w:sz w:val="20"/>
        </w:rPr>
      </w:pPr>
      <w:r>
        <w:rPr>
          <w:rFonts w:ascii="Times New Roman" w:hAnsi="Times New Roman"/>
          <w:b w:val="false"/>
          <w:sz w:val="20"/>
        </w:rPr>
        <w:t>On February 10, 2021, DOT-2, the Company’s subsidiary, entered into a license agreement, or the MRKDG License Agreement, with Merck KGaA, Darmstadt, Germany, a pharmaceutical corporation located in Darmstadt, Germany. Under the MRKDG License Agreement, Merck KGaA, Darmstadt, Germany granted to the Company an exclusive worldwide license, with the right to grant sublicenses through multiple tiers, under specified patent rights and know-how for the Company to research, develop, manufacture, and commercialize products containing and comprising the pimasertib and MSC2015103B compounds. The Company also received clinical inventories supplies to use in its research and development activities. The Company’s exclusive license grant is subject to a non-exclusive license granted by Merck KGaA, Darmstadt, Germany’s affiliate to a cancer research organization and Merck KGaA, Darmstadt, Germany retains the right to conduct, directly or indirectly, certain ongoing clinical studies relating to pimasertib.</w:t>
      </w:r>
      <w:r>
        <w:rPr>
          <w:rFonts w:ascii="Times New Roman" w:hAnsi="Times New Roman"/>
          <w:sz w:val="20"/>
        </w:rPr>
        <w:t xml:space="preserve"> </w:t>
      </w:r>
    </w:p>
    <w:p>
      <w:pPr>
        <w:pStyle w:val="TextBody"/>
        <w:spacing w:lineRule="auto" w:line="273" w:before="120" w:after="0"/>
        <w:jc w:val="left"/>
        <w:rPr>
          <w:rFonts w:ascii="Times New Roman" w:hAnsi="Times New Roman"/>
          <w:sz w:val="20"/>
        </w:rPr>
      </w:pPr>
      <w:r>
        <w:rPr>
          <w:rFonts w:ascii="Times New Roman" w:hAnsi="Times New Roman"/>
          <w:b w:val="false"/>
          <w:sz w:val="20"/>
        </w:rPr>
        <w:t>Under the MRKDG License Agreement, the Company has obligations to use commercially reasonable efforts to develop and commercialize at least two licensed products in at least two specified major market countries by the year 2029.</w:t>
      </w:r>
      <w:r>
        <w:rPr>
          <w:rFonts w:ascii="Times New Roman" w:hAnsi="Times New Roman"/>
          <w:sz w:val="20"/>
        </w:rPr>
        <w:t xml:space="preserve"> </w:t>
      </w:r>
    </w:p>
    <w:p>
      <w:pPr>
        <w:pStyle w:val="TextBody"/>
        <w:spacing w:lineRule="auto" w:line="273" w:before="120" w:after="0"/>
        <w:jc w:val="left"/>
        <w:rPr>
          <w:rFonts w:ascii="Times New Roman" w:hAnsi="Times New Roman"/>
          <w:sz w:val="20"/>
        </w:rPr>
      </w:pPr>
      <w:r>
        <w:rPr>
          <w:rFonts w:ascii="Times New Roman" w:hAnsi="Times New Roman"/>
          <w:b w:val="false"/>
          <w:sz w:val="20"/>
        </w:rPr>
        <w:t>In consideration for the rights granted under the MRKDG License Agreement and clinical supplies, the Company made an upfront payment of $8.0</w:t>
      </w:r>
      <w:r>
        <w:rPr>
          <w:rFonts w:ascii="Times New Roman" w:hAnsi="Times New Roman"/>
          <w:sz w:val="20"/>
        </w:rPr>
        <w:t xml:space="preserve"> </w:t>
      </w:r>
      <w:r>
        <w:rPr>
          <w:rFonts w:ascii="Times New Roman" w:hAnsi="Times New Roman"/>
          <w:b w:val="false"/>
          <w:sz w:val="20"/>
        </w:rPr>
        <w:t>million, which was recorded as research and development expenses, as the technology does not have an alternative future use and supplies are used for research activities. The Company may also be required to make additional payments of up to $367.0</w:t>
      </w:r>
      <w:r>
        <w:rPr>
          <w:rFonts w:ascii="Times New Roman" w:hAnsi="Times New Roman"/>
          <w:sz w:val="20"/>
        </w:rPr>
        <w:t xml:space="preserve"> </w:t>
      </w:r>
      <w:r>
        <w:rPr>
          <w:rFonts w:ascii="Times New Roman" w:hAnsi="Times New Roman"/>
          <w:b w:val="false"/>
          <w:sz w:val="20"/>
        </w:rPr>
        <w:t>million based upon the achievement of specified development, regulatory, and commercial milestones, as well a high, single-digit royalty percentage on future net sales of licensed products, if any. Milestones and royalties are contingent upon future events and will be recorded when the milestones are achieved and when payments are due. No milestones were achieved and due as of March 31, 2022.</w:t>
      </w:r>
      <w:r>
        <w:rPr>
          <w:rFonts w:ascii="Times New Roman" w:hAnsi="Times New Roman"/>
          <w:sz w:val="20"/>
        </w:rPr>
        <w:t xml:space="preserve"> </w:t>
      </w:r>
    </w:p>
    <w:p>
      <w:pPr>
        <w:pStyle w:val="TextBody"/>
        <w:spacing w:lineRule="auto" w:line="273" w:before="120" w:after="0"/>
        <w:jc w:val="left"/>
        <w:rPr>
          <w:rFonts w:ascii="Times New Roman" w:hAnsi="Times New Roman"/>
          <w:b w:val="false"/>
          <w:sz w:val="20"/>
        </w:rPr>
      </w:pPr>
      <w:r>
        <w:rPr>
          <w:rFonts w:ascii="Times New Roman" w:hAnsi="Times New Roman"/>
          <w:b w:val="false"/>
          <w:sz w:val="20"/>
        </w:rPr>
        <w:t>The term of the MRKDG License Agreement will expire on a licensed product-by-licensed product and country-by-country basis upon the expiration of the Company’s obligation to pay royalties to the licensor with respect to such licensed product in such country and will expire in its entirety upon the expiration of all of the Company’s payment obligations with respect to all licensed products and all countries under the MRKDG License Agreement.</w:t>
      </w:r>
    </w:p>
    <w:p>
      <w:pPr>
        <w:pStyle w:val="TextBody"/>
        <w:spacing w:lineRule="auto" w:line="273" w:before="120" w:after="0"/>
        <w:jc w:val="left"/>
        <w:rPr>
          <w:rFonts w:ascii="Times New Roman" w:hAnsi="Times New Roman"/>
          <w:sz w:val="20"/>
        </w:rPr>
      </w:pPr>
      <w:r>
        <w:rPr>
          <w:rFonts w:ascii="Times New Roman" w:hAnsi="Times New Roman"/>
          <w:b w:val="false"/>
          <w:sz w:val="20"/>
        </w:rPr>
        <w:t>Effective December 31, 2021, DOT-2 was merged with and into the Company, with the Company being the surviving corporation and assuming DOT-2’s obligations under the MRKDG License Agreement.</w:t>
      </w:r>
      <w:r>
        <w:rPr>
          <w:rFonts w:ascii="Times New Roman" w:hAnsi="Times New Roman"/>
          <w:sz w:val="20"/>
        </w:rPr>
        <w:t xml:space="preserve"> </w:t>
      </w:r>
    </w:p>
    <w:p>
      <w:pPr>
        <w:pStyle w:val="TextBody"/>
        <w:spacing w:lineRule="auto" w:line="273" w:before="0" w:after="0"/>
        <w:jc w:val="center"/>
        <w:rPr>
          <w:rFonts w:ascii="Times New Roman" w:hAnsi="Times New Roman"/>
          <w:b w:val="false"/>
          <w:sz w:val="20"/>
        </w:rPr>
      </w:pPr>
      <w:r>
        <w:rPr>
          <w:rFonts w:ascii="Times New Roman" w:hAnsi="Times New Roman"/>
          <w:b w:val="false"/>
          <w:sz w:val="20"/>
        </w:rPr>
        <w:t>11</w:t>
      </w:r>
    </w:p>
    <w:p>
      <w:pPr>
        <w:pStyle w:val="HorizontalLine"/>
        <w:rPr/>
      </w:pPr>
      <w:r>
        <w:rPr/>
      </w:r>
    </w:p>
    <w:p>
      <w:pPr>
        <w:pStyle w:val="TextBody"/>
        <w:spacing w:lineRule="auto" w:line="273" w:before="0" w:after="120"/>
        <w:jc w:val="center"/>
        <w:rPr>
          <w:rFonts w:ascii="Times New Roman" w:hAnsi="Times New Roman"/>
          <w:b/>
          <w:sz w:val="20"/>
        </w:rPr>
      </w:pPr>
      <w:r>
        <w:rPr>
          <w:rFonts w:ascii="Times New Roman" w:hAnsi="Times New Roman"/>
          <w:b/>
          <w:sz w:val="20"/>
        </w:rPr>
        <w:t>Notes to the Condensed Consolidated Financial Statements</w:t>
      </w:r>
    </w:p>
    <w:p>
      <w:pPr>
        <w:pStyle w:val="TextBody"/>
        <w:spacing w:lineRule="auto" w:line="273" w:before="360" w:after="0"/>
        <w:jc w:val="left"/>
        <w:rPr>
          <w:rFonts w:ascii="Times New Roman" w:hAnsi="Times New Roman"/>
          <w:sz w:val="20"/>
        </w:rPr>
      </w:pPr>
      <w:r>
        <w:rPr>
          <w:rFonts w:ascii="Times New Roman" w:hAnsi="Times New Roman"/>
          <w:b/>
          <w:i/>
          <w:sz w:val="20"/>
        </w:rPr>
        <w:t>Takeda Assets Purchase Agreement</w:t>
      </w:r>
      <w:r>
        <w:rPr>
          <w:rFonts w:ascii="Times New Roman" w:hAnsi="Times New Roman"/>
          <w:sz w:val="20"/>
        </w:rPr>
        <w:t xml:space="preserve"> </w:t>
      </w:r>
    </w:p>
    <w:p>
      <w:pPr>
        <w:pStyle w:val="TextBody"/>
        <w:spacing w:lineRule="auto" w:line="273" w:before="120" w:after="0"/>
        <w:jc w:val="left"/>
        <w:rPr>
          <w:rFonts w:ascii="Times New Roman" w:hAnsi="Times New Roman"/>
          <w:sz w:val="20"/>
        </w:rPr>
      </w:pPr>
      <w:r>
        <w:rPr>
          <w:rFonts w:ascii="Times New Roman" w:hAnsi="Times New Roman"/>
          <w:b w:val="false"/>
          <w:sz w:val="20"/>
        </w:rPr>
        <w:t>On December 16, 2019, DOT-1 entered into an asset purchase agreement, or the Takeda Asset Agreement, with Millennium Pharmaceuticals, Inc., a related party and an affiliate of Takeda Pharmaceutical Company Limited, or Takeda. Pursuant to the Takeda Asset Agreement, DOT-1 purchased certain technology rights and know-how related to TAK-580 (which is now tovorafenib (DAY101)) that provides a new approach for treating patients with primary brain tumors or brain metastases of solid tumors. DOT-1 also received clinical inventories supplies to use in the Company’s research and development activities of such RAF-inhibitor and an assigned investigator clinical trial agreement. Takeda also assigned to DOT-1 its exclusive license agreement, or the Viracta License Agreement, with Viracta Therapeutics, Inc. (f/k/a Sunesis Pharmaceuticals, Inc.), or Viracta. Takeda also granted DOT-1 a worldwide, sublicensable exclusive license under specified patents and know-how and non-exclusive license under other patents and know-how generated by Takeda under the Takeda Asset Agreement. The Company also granted Takeda a grant back license, as defined in the Takeda Asset Agreement, which is terminable either automatically or by DOT-1 in the event Takeda does not achieve specified development milestones within the applicable timeframes set forth under the Takeda Asset Agreement. This grant back license to Takeda was terminated at the time of Conversion in connection with the Millennium Stock Exchange Agreement.</w:t>
      </w:r>
      <w:r>
        <w:rPr>
          <w:rFonts w:ascii="Times New Roman" w:hAnsi="Times New Roman"/>
          <w:sz w:val="20"/>
        </w:rPr>
        <w:t xml:space="preserve"> </w:t>
      </w:r>
    </w:p>
    <w:p>
      <w:pPr>
        <w:pStyle w:val="TextBody"/>
        <w:spacing w:lineRule="auto" w:line="273" w:before="120" w:after="0"/>
        <w:jc w:val="left"/>
        <w:rPr>
          <w:rFonts w:ascii="Times New Roman" w:hAnsi="Times New Roman"/>
          <w:sz w:val="20"/>
        </w:rPr>
      </w:pPr>
      <w:r>
        <w:rPr>
          <w:rFonts w:ascii="Times New Roman" w:hAnsi="Times New Roman"/>
          <w:b w:val="false"/>
          <w:sz w:val="20"/>
        </w:rPr>
        <w:t>In consideration for the sale and assignment of assets and the grant of the license under the Takeda Asset Agreement, DOT-1 made an upfront payment of $1.0</w:t>
      </w:r>
      <w:r>
        <w:rPr>
          <w:rFonts w:ascii="Times New Roman" w:hAnsi="Times New Roman"/>
          <w:sz w:val="20"/>
        </w:rPr>
        <w:t xml:space="preserve"> </w:t>
      </w:r>
      <w:r>
        <w:rPr>
          <w:rFonts w:ascii="Times New Roman" w:hAnsi="Times New Roman"/>
          <w:b w:val="false"/>
          <w:sz w:val="20"/>
        </w:rPr>
        <w:t>million in cash and issued 9,857,143</w:t>
      </w:r>
      <w:r>
        <w:rPr>
          <w:rFonts w:ascii="Times New Roman" w:hAnsi="Times New Roman"/>
          <w:sz w:val="20"/>
        </w:rPr>
        <w:t xml:space="preserve"> </w:t>
      </w:r>
      <w:r>
        <w:rPr>
          <w:rFonts w:ascii="Times New Roman" w:hAnsi="Times New Roman"/>
          <w:b w:val="false"/>
          <w:sz w:val="20"/>
        </w:rPr>
        <w:t>shares of Series A redeemable convertible preferred stock in DOT-1 in December 2019. The fair value of issued shares was estimated as $9.9</w:t>
      </w:r>
      <w:r>
        <w:rPr>
          <w:rFonts w:ascii="Times New Roman" w:hAnsi="Times New Roman"/>
          <w:sz w:val="20"/>
        </w:rPr>
        <w:t xml:space="preserve"> </w:t>
      </w:r>
      <w:r>
        <w:rPr>
          <w:rFonts w:ascii="Times New Roman" w:hAnsi="Times New Roman"/>
          <w:b w:val="false"/>
          <w:sz w:val="20"/>
        </w:rPr>
        <w:t>million, based on the price paid by other investors for issued shares in the Series A financing of DOT-1. Based on the terms of the Millennium Stock Exchange Agreement, Takeda exchanged the 9,857,143</w:t>
      </w:r>
      <w:r>
        <w:rPr>
          <w:rFonts w:ascii="Times New Roman" w:hAnsi="Times New Roman"/>
          <w:sz w:val="20"/>
        </w:rPr>
        <w:t xml:space="preserve"> </w:t>
      </w:r>
      <w:r>
        <w:rPr>
          <w:rFonts w:ascii="Times New Roman" w:hAnsi="Times New Roman"/>
          <w:b w:val="false"/>
          <w:sz w:val="20"/>
        </w:rPr>
        <w:t>shares of Series A redeemable convertible preferred stock of DOT-1 for 6,470,382</w:t>
      </w:r>
      <w:r>
        <w:rPr>
          <w:rFonts w:ascii="Times New Roman" w:hAnsi="Times New Roman"/>
          <w:sz w:val="20"/>
        </w:rPr>
        <w:t xml:space="preserve"> </w:t>
      </w:r>
      <w:r>
        <w:rPr>
          <w:rFonts w:ascii="Times New Roman" w:hAnsi="Times New Roman"/>
          <w:b w:val="false"/>
          <w:sz w:val="20"/>
        </w:rPr>
        <w:t>shares of the Company’s common stock upon the effectiveness of the Conversion, on May 26, 2021</w:t>
      </w:r>
      <w:r>
        <w:rPr>
          <w:rFonts w:ascii="Times New Roman" w:hAnsi="Times New Roman"/>
          <w:sz w:val="20"/>
        </w:rPr>
        <w:t xml:space="preserve"> </w:t>
      </w:r>
    </w:p>
    <w:p>
      <w:pPr>
        <w:pStyle w:val="TextBody"/>
        <w:spacing w:lineRule="auto" w:line="273" w:before="90" w:after="0"/>
        <w:jc w:val="left"/>
        <w:rPr/>
      </w:pPr>
      <w:r>
        <w:rPr/>
        <w:t> </w:t>
      </w:r>
    </w:p>
    <w:p>
      <w:pPr>
        <w:pStyle w:val="TextBody"/>
        <w:spacing w:lineRule="auto" w:line="273" w:before="0" w:after="0"/>
        <w:jc w:val="left"/>
        <w:rPr>
          <w:rFonts w:ascii="Times New Roman" w:hAnsi="Times New Roman"/>
          <w:sz w:val="20"/>
        </w:rPr>
      </w:pPr>
      <w:r>
        <w:rPr>
          <w:rFonts w:ascii="Times New Roman" w:hAnsi="Times New Roman"/>
          <w:b w:val="false"/>
          <w:sz w:val="20"/>
        </w:rPr>
        <w:t>The term of the Takeda Asset Agreement will expire on a country-by-country basis upon expiration of all assigned patent rights and all licensed patent rights in such country. Takeda may terminate the Takeda Asset Agreement prior to the Company's first commercial sale of a product if we cease conducting any development activities for a continuous and specified period of time and such cessation is not agreed upon by the parties and is not done in response to guidance from a regulatory authority. Additionally, Takeda can terminate the Takeda Asset Agreement in the event of the Company's bankruptcy. In the event of termination of the Takeda Asset Agreement by Takeda as a result of our cessation of development or bankruptcy, all assigned patents, know-how and contracts (other than the Viracta License Agreement) will be assigned back to Takeda and Takeda will obtain a reversion license under patents and know-how generated to exploit all such terminated products.</w:t>
      </w:r>
      <w:r>
        <w:rPr>
          <w:rFonts w:ascii="Times New Roman" w:hAnsi="Times New Roman"/>
          <w:sz w:val="20"/>
        </w:rPr>
        <w:t xml:space="preserve"> </w:t>
      </w:r>
    </w:p>
    <w:p>
      <w:pPr>
        <w:pStyle w:val="TextBody"/>
        <w:spacing w:lineRule="auto" w:line="273" w:before="120" w:after="0"/>
        <w:jc w:val="left"/>
        <w:rPr>
          <w:rFonts w:ascii="Times New Roman" w:hAnsi="Times New Roman"/>
          <w:b w:val="false"/>
          <w:sz w:val="20"/>
        </w:rPr>
      </w:pPr>
      <w:r>
        <w:rPr>
          <w:rFonts w:ascii="Times New Roman" w:hAnsi="Times New Roman"/>
          <w:b w:val="false"/>
          <w:sz w:val="20"/>
        </w:rPr>
        <w:t>Effective December 31, 2021, DOT-1 was merged with and into the Company, with the Company being the surviving corporation and assuming DOT-1’s obligations under the Takeda Assets Purchase Agreement.</w:t>
      </w:r>
    </w:p>
    <w:p>
      <w:pPr>
        <w:pStyle w:val="TextBody"/>
        <w:spacing w:lineRule="auto" w:line="273" w:before="360" w:after="0"/>
        <w:jc w:val="left"/>
        <w:rPr>
          <w:rFonts w:ascii="Times New Roman" w:hAnsi="Times New Roman"/>
          <w:sz w:val="20"/>
        </w:rPr>
      </w:pPr>
      <w:r>
        <w:rPr>
          <w:rFonts w:ascii="Times New Roman" w:hAnsi="Times New Roman"/>
          <w:b/>
          <w:i/>
          <w:sz w:val="20"/>
        </w:rPr>
        <w:t>Viracta License Agreement</w:t>
      </w:r>
      <w:r>
        <w:rPr>
          <w:rFonts w:ascii="Times New Roman" w:hAnsi="Times New Roman"/>
          <w:sz w:val="20"/>
        </w:rPr>
        <w:t xml:space="preserve"> </w:t>
      </w:r>
    </w:p>
    <w:p>
      <w:pPr>
        <w:pStyle w:val="TextBody"/>
        <w:spacing w:lineRule="auto" w:line="273" w:before="120" w:after="0"/>
        <w:jc w:val="left"/>
        <w:rPr>
          <w:rFonts w:ascii="Times New Roman" w:hAnsi="Times New Roman"/>
          <w:sz w:val="20"/>
        </w:rPr>
      </w:pPr>
      <w:r>
        <w:rPr>
          <w:rFonts w:ascii="Times New Roman" w:hAnsi="Times New Roman"/>
          <w:b w:val="false"/>
          <w:sz w:val="20"/>
        </w:rPr>
        <w:t>On December 16, 2019, DOT-1 amended and restated the Viracta License Agreement that was assigned pursuant to the Takeda Asset Agreement. Under the Viracta License Agreement, DOT-1 received a worldwide exclusive license under specified patent rights and know-how to develop, use, manufacture, and commercialize products containing compounds binding the RAF protein family.</w:t>
      </w:r>
      <w:r>
        <w:rPr>
          <w:rFonts w:ascii="Times New Roman" w:hAnsi="Times New Roman"/>
          <w:sz w:val="20"/>
        </w:rPr>
        <w:t xml:space="preserve"> </w:t>
      </w:r>
    </w:p>
    <w:p>
      <w:pPr>
        <w:pStyle w:val="TextBody"/>
        <w:spacing w:lineRule="auto" w:line="273" w:before="120" w:after="0"/>
        <w:jc w:val="left"/>
        <w:rPr>
          <w:rFonts w:ascii="Times New Roman" w:hAnsi="Times New Roman"/>
          <w:sz w:val="20"/>
        </w:rPr>
      </w:pPr>
      <w:r>
        <w:rPr>
          <w:rFonts w:ascii="Times New Roman" w:hAnsi="Times New Roman"/>
          <w:b w:val="false"/>
          <w:sz w:val="20"/>
        </w:rPr>
        <w:t>DOT-1 paid $2.0</w:t>
      </w:r>
      <w:r>
        <w:rPr>
          <w:rFonts w:ascii="Times New Roman" w:hAnsi="Times New Roman"/>
          <w:sz w:val="20"/>
        </w:rPr>
        <w:t xml:space="preserve"> </w:t>
      </w:r>
      <w:r>
        <w:rPr>
          <w:rFonts w:ascii="Times New Roman" w:hAnsi="Times New Roman"/>
          <w:b w:val="false"/>
          <w:sz w:val="20"/>
        </w:rPr>
        <w:t>million upfront in cash to Viracta, which was recorded as research and development expenses in 2019. DOT-1 made a milestone payment of $3.0</w:t>
      </w:r>
      <w:r>
        <w:rPr>
          <w:rFonts w:ascii="Times New Roman" w:hAnsi="Times New Roman"/>
          <w:sz w:val="20"/>
        </w:rPr>
        <w:t xml:space="preserve"> </w:t>
      </w:r>
      <w:r>
        <w:rPr>
          <w:rFonts w:ascii="Times New Roman" w:hAnsi="Times New Roman"/>
          <w:b w:val="false"/>
          <w:sz w:val="20"/>
        </w:rPr>
        <w:t>million to Viracta in February 2021, which was recorded as research and development expense when the milestone was achieved in April 2021. DOT-1 is also required to make additional milestone payments of up to $54.0</w:t>
      </w:r>
      <w:r>
        <w:rPr>
          <w:rFonts w:ascii="Times New Roman" w:hAnsi="Times New Roman"/>
          <w:sz w:val="20"/>
        </w:rPr>
        <w:t xml:space="preserve"> </w:t>
      </w:r>
      <w:r>
        <w:rPr>
          <w:rFonts w:ascii="Times New Roman" w:hAnsi="Times New Roman"/>
          <w:b w:val="false"/>
          <w:sz w:val="20"/>
        </w:rPr>
        <w:t>million upon achievement of specified development and regulatory milestones for each licensed product in two indications, with milestones payable for the second indication to achieve a specified milestone event being lower than milestones payable for the first indication. Additionally, if DOT-1 obtains a priority review voucher with respect to a licensed product and sells such priority review voucher to a third party or uses such priority review voucher, DOT-1 is obligated to pay Viracta a specified percentage in the mid-teen digits of all net consideration received from any such sale or of the value of such used priority review voucher, as applicable. Commencing on the first commercial sale of a licensed product in a country, DOT-1 is obligated to pay tiered royalties ranging in the mid-single-digit percentages on net sales of licensed products, if any. The obligation to pay royalties will end on a country-by-country and licensed product-by-licensed product basis commencing on the first commercial sale in a country and continuing until the later of: (i) the expiration of the last valid claim of the Viracta licensed patents, jointly owned collaboration patents or specified patents owned by the Company covering the use or sale of such product in such country, (ii) the expiration of the last statutory exclusivity pertaining to such product in such country or (iii) the tenth anniversary of the first commercial sale of such product in such country. No other milestones, except as discussed above, were achieved and due as of March 31, 2022.</w:t>
      </w:r>
      <w:r>
        <w:rPr>
          <w:rFonts w:ascii="Times New Roman" w:hAnsi="Times New Roman"/>
          <w:sz w:val="20"/>
        </w:rPr>
        <w:t xml:space="preserve"> </w:t>
      </w:r>
    </w:p>
    <w:p>
      <w:pPr>
        <w:pStyle w:val="TextBody"/>
        <w:spacing w:lineRule="auto" w:line="273" w:before="120" w:after="0"/>
        <w:jc w:val="left"/>
        <w:rPr>
          <w:rFonts w:ascii="Times New Roman" w:hAnsi="Times New Roman"/>
          <w:b w:val="false"/>
          <w:sz w:val="20"/>
        </w:rPr>
      </w:pPr>
      <w:r>
        <w:rPr>
          <w:rFonts w:ascii="Times New Roman" w:hAnsi="Times New Roman"/>
          <w:b w:val="false"/>
          <w:sz w:val="20"/>
        </w:rPr>
        <w:t>The term of the Viracta License Agreement will expire on a licensed product-by-licensed product and country-by-country basis upon the expiration of the Company’s obligation to pay royalties to Viracta with respect to such product in such country. DOT-1 has the right to terminate the Viracta License Agreement with respect to any or all of the licensed products at will upon a specified notice period.</w:t>
      </w:r>
    </w:p>
    <w:p>
      <w:pPr>
        <w:pStyle w:val="TextBody"/>
        <w:spacing w:lineRule="auto" w:line="273" w:before="0" w:after="0"/>
        <w:jc w:val="center"/>
        <w:rPr>
          <w:rFonts w:ascii="Times New Roman" w:hAnsi="Times New Roman"/>
          <w:b w:val="false"/>
          <w:sz w:val="20"/>
        </w:rPr>
      </w:pPr>
      <w:r>
        <w:rPr>
          <w:rFonts w:ascii="Times New Roman" w:hAnsi="Times New Roman"/>
          <w:b w:val="false"/>
          <w:sz w:val="20"/>
        </w:rPr>
        <w:t>12</w:t>
      </w:r>
    </w:p>
    <w:p>
      <w:pPr>
        <w:pStyle w:val="HorizontalLine"/>
        <w:rPr/>
      </w:pPr>
      <w:r>
        <w:rPr/>
      </w:r>
    </w:p>
    <w:p>
      <w:pPr>
        <w:pStyle w:val="TextBody"/>
        <w:spacing w:lineRule="auto" w:line="273" w:before="0" w:after="120"/>
        <w:jc w:val="center"/>
        <w:rPr>
          <w:rFonts w:ascii="Times New Roman" w:hAnsi="Times New Roman"/>
          <w:b/>
          <w:sz w:val="20"/>
        </w:rPr>
      </w:pPr>
      <w:r>
        <w:rPr>
          <w:rFonts w:ascii="Times New Roman" w:hAnsi="Times New Roman"/>
          <w:b/>
          <w:sz w:val="20"/>
        </w:rPr>
        <w:t>Notes to the Condensed Consolidated Financial Statements</w:t>
      </w:r>
    </w:p>
    <w:p>
      <w:pPr>
        <w:pStyle w:val="TextBody"/>
        <w:spacing w:lineRule="auto" w:line="273" w:before="120" w:after="0"/>
        <w:jc w:val="left"/>
        <w:rPr>
          <w:rFonts w:ascii="Times New Roman" w:hAnsi="Times New Roman"/>
          <w:b w:val="false"/>
          <w:sz w:val="20"/>
        </w:rPr>
      </w:pPr>
      <w:r>
        <w:rPr>
          <w:rFonts w:ascii="Times New Roman" w:hAnsi="Times New Roman"/>
          <w:b w:val="false"/>
          <w:sz w:val="20"/>
        </w:rPr>
        <w:t>Effective December 31, 2021, DOT-1 was merged with and into the Company, with the Company being the surviving corporation and assuming DOT-1’s obligations under Viracta License Agreement.</w:t>
      </w:r>
    </w:p>
    <w:p>
      <w:pPr>
        <w:pStyle w:val="TextBody"/>
        <w:spacing w:lineRule="auto" w:line="273" w:before="360" w:after="0"/>
        <w:jc w:val="left"/>
        <w:rPr>
          <w:rFonts w:ascii="Times New Roman" w:hAnsi="Times New Roman"/>
          <w:b/>
          <w:sz w:val="20"/>
        </w:rPr>
      </w:pPr>
      <w:r>
        <w:rPr>
          <w:rFonts w:ascii="Times New Roman" w:hAnsi="Times New Roman"/>
          <w:b/>
          <w:sz w:val="20"/>
        </w:rPr>
        <w:t>6.</w:t>
      </w:r>
    </w:p>
    <w:p>
      <w:pPr>
        <w:pStyle w:val="TextBody"/>
        <w:spacing w:lineRule="auto" w:line="273" w:before="360" w:after="283"/>
        <w:jc w:val="left"/>
        <w:rPr>
          <w:rFonts w:ascii="Times New Roman" w:hAnsi="Times New Roman"/>
          <w:b/>
          <w:sz w:val="20"/>
        </w:rPr>
      </w:pPr>
      <w:r>
        <w:rPr>
          <w:rFonts w:ascii="Times New Roman" w:hAnsi="Times New Roman"/>
          <w:b/>
          <w:sz w:val="20"/>
        </w:rPr>
        <w:t xml:space="preserve">Commitments and Contingencies </w:t>
      </w:r>
    </w:p>
    <w:p>
      <w:pPr>
        <w:pStyle w:val="TextBody"/>
        <w:spacing w:lineRule="auto" w:line="273" w:before="360" w:after="0"/>
        <w:jc w:val="left"/>
        <w:rPr>
          <w:rFonts w:ascii="Times New Roman" w:hAnsi="Times New Roman"/>
          <w:sz w:val="20"/>
        </w:rPr>
      </w:pPr>
      <w:r>
        <w:rPr>
          <w:rFonts w:ascii="Times New Roman" w:hAnsi="Times New Roman"/>
          <w:b/>
          <w:i/>
          <w:sz w:val="20"/>
        </w:rPr>
        <w:t>Leases</w:t>
      </w:r>
      <w:r>
        <w:rPr>
          <w:rFonts w:ascii="Times New Roman" w:hAnsi="Times New Roman"/>
          <w:sz w:val="20"/>
        </w:rPr>
        <w:t xml:space="preserve"> </w:t>
      </w:r>
    </w:p>
    <w:p>
      <w:pPr>
        <w:pStyle w:val="TextBody"/>
        <w:spacing w:lineRule="auto" w:line="273" w:before="120" w:after="0"/>
        <w:jc w:val="left"/>
        <w:rPr>
          <w:rFonts w:ascii="Times New Roman" w:hAnsi="Times New Roman"/>
          <w:sz w:val="20"/>
        </w:rPr>
      </w:pPr>
      <w:r>
        <w:rPr>
          <w:rFonts w:ascii="Times New Roman" w:hAnsi="Times New Roman"/>
          <w:b w:val="false"/>
          <w:sz w:val="20"/>
        </w:rPr>
        <w:t>The Company entered into a lease agreement for its corporate office facility in South San Francisco, California in March 2020, which expires in January 2023. The Company can extend the lease term for additional three years</w:t>
      </w:r>
      <w:r>
        <w:rPr>
          <w:rFonts w:ascii="Times New Roman" w:hAnsi="Times New Roman"/>
          <w:sz w:val="20"/>
        </w:rPr>
        <w:t xml:space="preserve"> </w:t>
      </w:r>
      <w:r>
        <w:rPr>
          <w:rFonts w:ascii="Times New Roman" w:hAnsi="Times New Roman"/>
          <w:b w:val="false"/>
          <w:sz w:val="20"/>
        </w:rPr>
        <w:t>at market rates upon the notice of extension. The Company is obligated to pay monthly rent expense and its pro rata share of utilities, common area maintenance expenses and property taxes. The landlord also provided an allowance of $10,000</w:t>
      </w:r>
      <w:r>
        <w:rPr>
          <w:rFonts w:ascii="Times New Roman" w:hAnsi="Times New Roman"/>
          <w:sz w:val="20"/>
        </w:rPr>
        <w:t xml:space="preserve"> </w:t>
      </w:r>
      <w:r>
        <w:rPr>
          <w:rFonts w:ascii="Times New Roman" w:hAnsi="Times New Roman"/>
          <w:b w:val="false"/>
          <w:sz w:val="20"/>
        </w:rPr>
        <w:t>for any tenant improvements. The Company concluded that it is an operating lease. Common area expenses are a non-lease component and a variable consideration and included in operating expenses as incurred. The extension period has not been included in the determination of the Right of Use, or ROU, asset or the lease liability for operating leases as the Company concluded that it is not reasonably certain that it would exercise this option.</w:t>
      </w:r>
      <w:r>
        <w:rPr>
          <w:rFonts w:ascii="Times New Roman" w:hAnsi="Times New Roman"/>
          <w:sz w:val="20"/>
        </w:rPr>
        <w:t xml:space="preserve"> </w:t>
      </w:r>
    </w:p>
    <w:p>
      <w:pPr>
        <w:pStyle w:val="TextBody"/>
        <w:spacing w:lineRule="auto" w:line="273" w:before="120" w:after="0"/>
        <w:jc w:val="left"/>
        <w:rPr>
          <w:rFonts w:ascii="Times New Roman" w:hAnsi="Times New Roman"/>
          <w:sz w:val="20"/>
        </w:rPr>
      </w:pPr>
      <w:r>
        <w:rPr>
          <w:rFonts w:ascii="Times New Roman" w:hAnsi="Times New Roman"/>
          <w:b w:val="false"/>
          <w:sz w:val="20"/>
        </w:rPr>
        <w:t>The Company determined the lease incremental borrowing rate, or IBR, based on the information available at the applicable lease commencement date as the Company’s lease did not provide an implicit rate. The IBR is determined by using the rate of interest that the Company would pay to borrow on a collateralized basis an amount equal to the lease payments for a similar term and in a similar economic environment where the asset is located. The Company determined the amounts of its lease liabilities using an IBR of 8%. As of March 31, 2022, the remaining lease term was 0.8</w:t>
      </w:r>
      <w:r>
        <w:rPr>
          <w:rFonts w:ascii="Times New Roman" w:hAnsi="Times New Roman"/>
          <w:sz w:val="20"/>
        </w:rPr>
        <w:t xml:space="preserve"> </w:t>
      </w:r>
      <w:r>
        <w:rPr>
          <w:rFonts w:ascii="Times New Roman" w:hAnsi="Times New Roman"/>
          <w:b w:val="false"/>
          <w:sz w:val="20"/>
        </w:rPr>
        <w:t>years.</w:t>
      </w:r>
      <w:r>
        <w:rPr>
          <w:rFonts w:ascii="Times New Roman" w:hAnsi="Times New Roman"/>
          <w:sz w:val="20"/>
        </w:rPr>
        <w:t xml:space="preserve"> </w:t>
      </w:r>
    </w:p>
    <w:p>
      <w:pPr>
        <w:pStyle w:val="TextBody"/>
        <w:spacing w:lineRule="auto" w:line="273" w:before="120" w:after="0"/>
        <w:jc w:val="left"/>
        <w:rPr>
          <w:rFonts w:ascii="Times New Roman" w:hAnsi="Times New Roman"/>
          <w:sz w:val="20"/>
        </w:rPr>
      </w:pPr>
      <w:r>
        <w:rPr>
          <w:rFonts w:ascii="Times New Roman" w:hAnsi="Times New Roman"/>
          <w:b w:val="false"/>
          <w:sz w:val="20"/>
        </w:rPr>
        <w:t>The Company’s lease does not require any contingent rental payments, impose financial restrictions, or contain any residual value guarantees.</w:t>
      </w:r>
      <w:r>
        <w:rPr>
          <w:rFonts w:ascii="Times New Roman" w:hAnsi="Times New Roman"/>
          <w:sz w:val="20"/>
        </w:rPr>
        <w:t xml:space="preserve"> </w:t>
      </w:r>
    </w:p>
    <w:p>
      <w:pPr>
        <w:pStyle w:val="TextBody"/>
        <w:spacing w:lineRule="auto" w:line="273" w:before="120" w:after="0"/>
        <w:jc w:val="left"/>
        <w:rPr>
          <w:rFonts w:ascii="Times New Roman" w:hAnsi="Times New Roman"/>
          <w:sz w:val="20"/>
        </w:rPr>
      </w:pPr>
      <w:r>
        <w:rPr>
          <w:rFonts w:ascii="Times New Roman" w:hAnsi="Times New Roman"/>
          <w:b w:val="false"/>
          <w:sz w:val="20"/>
        </w:rPr>
        <w:t>Lease expense of right-of-use assets is recognized on a straight-line basis over the applicable lease term. Lease expense was $47,000</w:t>
      </w:r>
      <w:r>
        <w:rPr>
          <w:rFonts w:ascii="Times New Roman" w:hAnsi="Times New Roman"/>
          <w:sz w:val="20"/>
        </w:rPr>
        <w:t xml:space="preserve"> </w:t>
      </w:r>
      <w:r>
        <w:rPr>
          <w:rFonts w:ascii="Times New Roman" w:hAnsi="Times New Roman"/>
          <w:b w:val="false"/>
          <w:sz w:val="20"/>
        </w:rPr>
        <w:t>and $44,000</w:t>
      </w:r>
      <w:r>
        <w:rPr>
          <w:rFonts w:ascii="Times New Roman" w:hAnsi="Times New Roman"/>
          <w:sz w:val="20"/>
        </w:rPr>
        <w:t xml:space="preserve"> </w:t>
      </w:r>
      <w:r>
        <w:rPr>
          <w:rFonts w:ascii="Times New Roman" w:hAnsi="Times New Roman"/>
          <w:b w:val="false"/>
          <w:sz w:val="20"/>
        </w:rPr>
        <w:t>for the three months ended March 31, 2022 and 2021, respectively. Cash paid for amounts included in the measurement of operating lease liabilities was $52,000</w:t>
      </w:r>
      <w:r>
        <w:rPr>
          <w:rFonts w:ascii="Times New Roman" w:hAnsi="Times New Roman"/>
          <w:sz w:val="20"/>
        </w:rPr>
        <w:t xml:space="preserve"> </w:t>
      </w:r>
      <w:r>
        <w:rPr>
          <w:rFonts w:ascii="Times New Roman" w:hAnsi="Times New Roman"/>
          <w:b w:val="false"/>
          <w:sz w:val="20"/>
        </w:rPr>
        <w:t>and $51,000</w:t>
      </w:r>
      <w:r>
        <w:rPr>
          <w:rFonts w:ascii="Times New Roman" w:hAnsi="Times New Roman"/>
          <w:sz w:val="20"/>
        </w:rPr>
        <w:t xml:space="preserve"> </w:t>
      </w:r>
      <w:r>
        <w:rPr>
          <w:rFonts w:ascii="Times New Roman" w:hAnsi="Times New Roman"/>
          <w:b w:val="false"/>
          <w:sz w:val="20"/>
        </w:rPr>
        <w:t>for the three months ended March 31, 2022 and 2021, respectively. Variable payments expensed during the three months ended March 31, 2022 and 2021 were immaterial.</w:t>
      </w:r>
      <w:r>
        <w:rPr>
          <w:rFonts w:ascii="Times New Roman" w:hAnsi="Times New Roman"/>
          <w:sz w:val="20"/>
        </w:rPr>
        <w:t xml:space="preserve"> </w:t>
      </w:r>
    </w:p>
    <w:p>
      <w:pPr>
        <w:pStyle w:val="TextBody"/>
        <w:spacing w:lineRule="auto" w:line="273" w:before="120" w:after="0"/>
        <w:jc w:val="left"/>
        <w:rPr>
          <w:rFonts w:ascii="Times New Roman" w:hAnsi="Times New Roman"/>
          <w:sz w:val="20"/>
        </w:rPr>
      </w:pPr>
      <w:r>
        <w:rPr>
          <w:rFonts w:ascii="Times New Roman" w:hAnsi="Times New Roman"/>
          <w:b w:val="false"/>
          <w:sz w:val="20"/>
        </w:rPr>
        <w:t>As of March 31, 2022, the future lease obligations were as follows (in thousands):</w:t>
      </w:r>
      <w:r>
        <w:rPr>
          <w:rFonts w:ascii="Times New Roman" w:hAnsi="Times New Roman"/>
          <w:sz w:val="20"/>
        </w:rPr>
        <w:t xml:space="preserve"> </w:t>
      </w:r>
    </w:p>
    <w:p>
      <w:pPr>
        <w:pStyle w:val="TextBody"/>
        <w:spacing w:lineRule="auto" w:line="273" w:before="0" w:after="0"/>
        <w:jc w:val="left"/>
        <w:rPr/>
      </w:pPr>
      <w:r>
        <w:rPr/>
        <w:t> </w:t>
      </w:r>
    </w:p>
    <w:tbl>
      <w:tblPr>
        <w:tblW w:w="4577" w:type="dxa"/>
        <w:jc w:val="left"/>
        <w:tblInd w:w="0" w:type="dxa"/>
        <w:tblCellMar>
          <w:top w:w="28" w:type="dxa"/>
          <w:left w:w="28" w:type="dxa"/>
          <w:bottom w:w="28" w:type="dxa"/>
          <w:right w:w="28" w:type="dxa"/>
        </w:tblCellMar>
      </w:tblPr>
      <w:tblGrid>
        <w:gridCol w:w="3511"/>
        <w:gridCol w:w="285"/>
        <w:gridCol w:w="570"/>
        <w:gridCol w:w="211"/>
      </w:tblGrid>
      <w:tr>
        <w:trPr/>
        <w:tc>
          <w:tcPr>
            <w:tcW w:w="3511" w:type="dxa"/>
            <w:tcBorders/>
            <w:shd w:fill="auto" w:val="clear"/>
            <w:vAlign w:val="center"/>
          </w:tcPr>
          <w:p>
            <w:pPr>
              <w:pStyle w:val="TableContents"/>
              <w:spacing w:before="0" w:after="283"/>
              <w:rPr>
                <w:sz w:val="4"/>
                <w:szCs w:val="4"/>
              </w:rPr>
            </w:pPr>
            <w:r>
              <w:rPr>
                <w:sz w:val="4"/>
                <w:szCs w:val="4"/>
              </w:rPr>
            </w:r>
          </w:p>
        </w:tc>
        <w:tc>
          <w:tcPr>
            <w:tcW w:w="285" w:type="dxa"/>
            <w:tcBorders/>
            <w:shd w:fill="auto" w:val="clear"/>
            <w:vAlign w:val="center"/>
          </w:tcPr>
          <w:p>
            <w:pPr>
              <w:pStyle w:val="TableContents"/>
              <w:spacing w:before="0" w:after="283"/>
              <w:rPr>
                <w:sz w:val="4"/>
                <w:szCs w:val="4"/>
              </w:rPr>
            </w:pPr>
            <w:r>
              <w:rPr>
                <w:sz w:val="4"/>
                <w:szCs w:val="4"/>
              </w:rPr>
            </w:r>
          </w:p>
        </w:tc>
        <w:tc>
          <w:tcPr>
            <w:tcW w:w="570"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r>
      <w:tr>
        <w:trPr/>
        <w:tc>
          <w:tcPr>
            <w:tcW w:w="3511" w:type="dxa"/>
            <w:tcBorders/>
            <w:shd w:fill="auto" w:val="clear"/>
            <w:vAlign w:val="center"/>
          </w:tcPr>
          <w:p>
            <w:pPr>
              <w:pStyle w:val="TableContents"/>
              <w:spacing w:lineRule="auto" w:line="252" w:before="0" w:after="0"/>
              <w:ind w:left="0" w:right="0" w:hanging="0"/>
              <w:jc w:val="left"/>
              <w:rPr>
                <w:rFonts w:ascii="Times New Roman" w:hAnsi="Times New Roman"/>
                <w:b/>
                <w:sz w:val="20"/>
              </w:rPr>
            </w:pPr>
            <w:r>
              <w:rPr>
                <w:rFonts w:ascii="Times New Roman" w:hAnsi="Times New Roman"/>
                <w:b/>
                <w:sz w:val="20"/>
              </w:rPr>
              <w:t>For the Years Ending December 31,</w:t>
            </w:r>
          </w:p>
        </w:tc>
        <w:tc>
          <w:tcPr>
            <w:tcW w:w="855" w:type="dxa"/>
            <w:gridSpan w:val="2"/>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center"/>
              <w:rPr>
                <w:rFonts w:ascii="Times New Roman" w:hAnsi="Times New Roman"/>
                <w:b/>
                <w:sz w:val="16"/>
              </w:rPr>
            </w:pPr>
            <w:r>
              <w:rPr>
                <w:rFonts w:ascii="Times New Roman" w:hAnsi="Times New Roman"/>
                <w:b/>
                <w:sz w:val="16"/>
              </w:rPr>
              <w:t>March 31,</w:t>
              <w:br/>
              <w:t>2022</w:t>
            </w:r>
          </w:p>
        </w:tc>
        <w:tc>
          <w:tcPr>
            <w:tcW w:w="211"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center"/>
              <w:rPr/>
            </w:pPr>
            <w:r>
              <w:rPr/>
              <w:t> </w:t>
            </w:r>
          </w:p>
        </w:tc>
      </w:tr>
      <w:tr>
        <w:trPr/>
        <w:tc>
          <w:tcPr>
            <w:tcW w:w="3511" w:type="dxa"/>
            <w:tcBorders/>
            <w:shd w:fill="auto" w:val="clear"/>
            <w:vAlign w:val="center"/>
          </w:tcPr>
          <w:p>
            <w:pPr>
              <w:pStyle w:val="TableContents"/>
              <w:spacing w:lineRule="auto" w:line="252" w:before="0" w:after="0"/>
              <w:ind w:left="0" w:right="0" w:hanging="0"/>
              <w:jc w:val="left"/>
              <w:rPr>
                <w:rFonts w:ascii="Times New Roman" w:hAnsi="Times New Roman"/>
                <w:b w:val="false"/>
                <w:sz w:val="20"/>
              </w:rPr>
            </w:pPr>
            <w:r>
              <w:rPr>
                <w:rFonts w:ascii="Times New Roman" w:hAnsi="Times New Roman"/>
                <w:b w:val="false"/>
                <w:sz w:val="20"/>
              </w:rPr>
              <w:t>Remaining in 2022</w:t>
            </w:r>
          </w:p>
        </w:tc>
        <w:tc>
          <w:tcPr>
            <w:tcW w:w="285" w:type="dxa"/>
            <w:tcBorders/>
            <w:shd w:fill="auto" w:val="clear"/>
            <w:vAlign w:val="center"/>
          </w:tcPr>
          <w:p>
            <w:pPr>
              <w:pStyle w:val="TableContents"/>
              <w:spacing w:lineRule="auto" w:line="252" w:before="0" w:after="0"/>
              <w:ind w:left="0" w:right="0" w:hanging="0"/>
              <w:jc w:val="left"/>
              <w:rPr>
                <w:rFonts w:ascii="Times New Roman" w:hAnsi="Times New Roman"/>
                <w:b w:val="false"/>
                <w:sz w:val="20"/>
              </w:rPr>
            </w:pPr>
            <w:r>
              <w:rPr>
                <w:rFonts w:ascii="Times New Roman" w:hAnsi="Times New Roman"/>
                <w:b w:val="false"/>
                <w:sz w:val="20"/>
              </w:rPr>
              <w:t>$</w:t>
            </w:r>
          </w:p>
        </w:tc>
        <w:tc>
          <w:tcPr>
            <w:tcW w:w="570" w:type="dxa"/>
            <w:tcBorders/>
            <w:shd w:fill="auto" w:val="clear"/>
            <w:vAlign w:val="center"/>
          </w:tcPr>
          <w:p>
            <w:pPr>
              <w:pStyle w:val="TableContents"/>
              <w:spacing w:lineRule="auto" w:line="252" w:before="0" w:after="0"/>
              <w:ind w:left="0" w:right="0" w:hanging="0"/>
              <w:jc w:val="right"/>
              <w:rPr>
                <w:rFonts w:ascii="Times New Roman" w:hAnsi="Times New Roman"/>
                <w:b w:val="false"/>
                <w:sz w:val="20"/>
              </w:rPr>
            </w:pPr>
            <w:r>
              <w:rPr>
                <w:rFonts w:ascii="Times New Roman" w:hAnsi="Times New Roman"/>
                <w:b w:val="false"/>
                <w:sz w:val="20"/>
              </w:rPr>
              <w:t>158</w:t>
            </w:r>
          </w:p>
        </w:tc>
        <w:tc>
          <w:tcPr>
            <w:tcW w:w="211" w:type="dxa"/>
            <w:tcBorders/>
            <w:shd w:fill="auto" w:val="clear"/>
            <w:vAlign w:val="center"/>
          </w:tcPr>
          <w:p>
            <w:pPr>
              <w:pStyle w:val="TableContents"/>
              <w:spacing w:lineRule="auto" w:line="252" w:before="0" w:after="0"/>
              <w:ind w:left="0" w:right="0" w:hanging="0"/>
              <w:jc w:val="left"/>
              <w:rPr/>
            </w:pPr>
            <w:r>
              <w:rPr/>
              <w:t> </w:t>
            </w:r>
          </w:p>
        </w:tc>
      </w:tr>
      <w:tr>
        <w:trPr/>
        <w:tc>
          <w:tcPr>
            <w:tcW w:w="3511" w:type="dxa"/>
            <w:tcBorders/>
            <w:shd w:fill="auto" w:val="clear"/>
            <w:vAlign w:val="center"/>
          </w:tcPr>
          <w:p>
            <w:pPr>
              <w:pStyle w:val="TableContents"/>
              <w:spacing w:lineRule="auto" w:line="252" w:before="0" w:after="0"/>
              <w:ind w:left="0" w:right="0" w:hanging="0"/>
              <w:jc w:val="left"/>
              <w:rPr>
                <w:rFonts w:ascii="Times New Roman" w:hAnsi="Times New Roman"/>
                <w:b w:val="false"/>
                <w:sz w:val="20"/>
              </w:rPr>
            </w:pPr>
            <w:r>
              <w:rPr>
                <w:rFonts w:ascii="Times New Roman" w:hAnsi="Times New Roman"/>
                <w:b w:val="false"/>
                <w:sz w:val="20"/>
              </w:rPr>
              <w:t>2023</w:t>
            </w:r>
          </w:p>
        </w:tc>
        <w:tc>
          <w:tcPr>
            <w:tcW w:w="285"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c>
          <w:tcPr>
            <w:tcW w:w="570"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right"/>
              <w:rPr>
                <w:rFonts w:ascii="Times New Roman" w:hAnsi="Times New Roman"/>
                <w:b w:val="false"/>
                <w:sz w:val="20"/>
              </w:rPr>
            </w:pPr>
            <w:r>
              <w:rPr>
                <w:rFonts w:ascii="Times New Roman" w:hAnsi="Times New Roman"/>
                <w:b w:val="false"/>
                <w:sz w:val="20"/>
              </w:rPr>
              <w:t>18</w:t>
            </w:r>
          </w:p>
        </w:tc>
        <w:tc>
          <w:tcPr>
            <w:tcW w:w="211"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r>
      <w:tr>
        <w:trPr/>
        <w:tc>
          <w:tcPr>
            <w:tcW w:w="3511" w:type="dxa"/>
            <w:tcBorders/>
            <w:shd w:fill="auto" w:val="clear"/>
            <w:vAlign w:val="center"/>
          </w:tcPr>
          <w:p>
            <w:pPr>
              <w:pStyle w:val="TableContents"/>
              <w:spacing w:lineRule="auto" w:line="252" w:before="0" w:after="0"/>
              <w:ind w:left="0" w:right="0" w:hanging="0"/>
              <w:jc w:val="left"/>
              <w:rPr>
                <w:rFonts w:ascii="Times New Roman" w:hAnsi="Times New Roman"/>
                <w:b w:val="false"/>
                <w:sz w:val="20"/>
              </w:rPr>
            </w:pPr>
            <w:r>
              <w:rPr>
                <w:rFonts w:ascii="Times New Roman" w:hAnsi="Times New Roman"/>
                <w:b w:val="false"/>
                <w:sz w:val="20"/>
              </w:rPr>
              <w:t>Total future minimum lease payments</w:t>
            </w:r>
          </w:p>
        </w:tc>
        <w:tc>
          <w:tcPr>
            <w:tcW w:w="285" w:type="dxa"/>
            <w:tcBorders/>
            <w:shd w:fill="auto" w:val="clear"/>
            <w:vAlign w:val="center"/>
          </w:tcPr>
          <w:p>
            <w:pPr>
              <w:pStyle w:val="TableContents"/>
              <w:spacing w:lineRule="auto" w:line="252" w:before="0" w:after="0"/>
              <w:ind w:left="0" w:right="0" w:hanging="0"/>
              <w:jc w:val="left"/>
              <w:rPr/>
            </w:pPr>
            <w:r>
              <w:rPr/>
              <w:t> </w:t>
            </w:r>
          </w:p>
        </w:tc>
        <w:tc>
          <w:tcPr>
            <w:tcW w:w="570" w:type="dxa"/>
            <w:tcBorders/>
            <w:shd w:fill="auto" w:val="clear"/>
            <w:vAlign w:val="center"/>
          </w:tcPr>
          <w:p>
            <w:pPr>
              <w:pStyle w:val="TableContents"/>
              <w:spacing w:lineRule="auto" w:line="252" w:before="0" w:after="0"/>
              <w:ind w:left="0" w:right="0" w:hanging="0"/>
              <w:jc w:val="right"/>
              <w:rPr>
                <w:rFonts w:ascii="Times New Roman" w:hAnsi="Times New Roman"/>
                <w:b w:val="false"/>
                <w:sz w:val="20"/>
              </w:rPr>
            </w:pPr>
            <w:r>
              <w:rPr>
                <w:rFonts w:ascii="Times New Roman" w:hAnsi="Times New Roman"/>
                <w:b w:val="false"/>
                <w:sz w:val="20"/>
              </w:rPr>
              <w:t>176</w:t>
            </w:r>
          </w:p>
        </w:tc>
        <w:tc>
          <w:tcPr>
            <w:tcW w:w="211" w:type="dxa"/>
            <w:tcBorders/>
            <w:shd w:fill="auto" w:val="clear"/>
            <w:vAlign w:val="center"/>
          </w:tcPr>
          <w:p>
            <w:pPr>
              <w:pStyle w:val="TableContents"/>
              <w:spacing w:lineRule="auto" w:line="252" w:before="0" w:after="0"/>
              <w:ind w:left="0" w:right="0" w:hanging="0"/>
              <w:jc w:val="left"/>
              <w:rPr/>
            </w:pPr>
            <w:r>
              <w:rPr/>
              <w:t> </w:t>
            </w:r>
          </w:p>
        </w:tc>
      </w:tr>
      <w:tr>
        <w:trPr/>
        <w:tc>
          <w:tcPr>
            <w:tcW w:w="3511" w:type="dxa"/>
            <w:tcBorders/>
            <w:shd w:fill="auto" w:val="clear"/>
            <w:vAlign w:val="center"/>
          </w:tcPr>
          <w:p>
            <w:pPr>
              <w:pStyle w:val="TableContents"/>
              <w:spacing w:lineRule="auto" w:line="252" w:before="0" w:after="0"/>
              <w:ind w:left="0" w:right="0" w:hanging="0"/>
              <w:jc w:val="left"/>
              <w:rPr>
                <w:rFonts w:ascii="Times New Roman" w:hAnsi="Times New Roman"/>
                <w:b w:val="false"/>
                <w:sz w:val="20"/>
              </w:rPr>
            </w:pPr>
            <w:r>
              <w:rPr>
                <w:rFonts w:ascii="Times New Roman" w:hAnsi="Times New Roman"/>
                <w:b w:val="false"/>
                <w:sz w:val="20"/>
              </w:rPr>
              <w:t>Less: Imputed interest</w:t>
            </w:r>
          </w:p>
        </w:tc>
        <w:tc>
          <w:tcPr>
            <w:tcW w:w="285" w:type="dxa"/>
            <w:tcBorders/>
            <w:shd w:fill="auto" w:val="clear"/>
            <w:vAlign w:val="center"/>
          </w:tcPr>
          <w:p>
            <w:pPr>
              <w:pStyle w:val="TableContents"/>
              <w:spacing w:lineRule="auto" w:line="252" w:before="0" w:after="0"/>
              <w:ind w:left="0" w:right="0" w:hanging="0"/>
              <w:jc w:val="left"/>
              <w:rPr/>
            </w:pPr>
            <w:r>
              <w:rPr/>
              <w:t> </w:t>
            </w:r>
          </w:p>
        </w:tc>
        <w:tc>
          <w:tcPr>
            <w:tcW w:w="570" w:type="dxa"/>
            <w:tcBorders/>
            <w:shd w:fill="auto" w:val="clear"/>
            <w:vAlign w:val="center"/>
          </w:tcPr>
          <w:p>
            <w:pPr>
              <w:pStyle w:val="TableContents"/>
              <w:spacing w:lineRule="auto" w:line="252" w:before="0" w:after="0"/>
              <w:ind w:left="0" w:right="0" w:hanging="0"/>
              <w:jc w:val="right"/>
              <w:rPr>
                <w:rFonts w:ascii="Times New Roman" w:hAnsi="Times New Roman"/>
                <w:b w:val="false"/>
                <w:sz w:val="20"/>
              </w:rPr>
            </w:pPr>
            <w:r>
              <w:rPr>
                <w:rFonts w:ascii="Times New Roman" w:hAnsi="Times New Roman"/>
                <w:b w:val="false"/>
                <w:sz w:val="20"/>
              </w:rPr>
              <w:t>(5</w:t>
            </w:r>
          </w:p>
        </w:tc>
        <w:tc>
          <w:tcPr>
            <w:tcW w:w="211" w:type="dxa"/>
            <w:tcBorders/>
            <w:shd w:fill="auto" w:val="clear"/>
            <w:vAlign w:val="center"/>
          </w:tcPr>
          <w:p>
            <w:pPr>
              <w:pStyle w:val="TableContents"/>
              <w:spacing w:lineRule="auto" w:line="252" w:before="0" w:after="0"/>
              <w:ind w:left="0" w:right="0" w:hanging="0"/>
              <w:jc w:val="left"/>
              <w:rPr>
                <w:rFonts w:ascii="Times New Roman" w:hAnsi="Times New Roman"/>
                <w:b w:val="false"/>
                <w:sz w:val="20"/>
              </w:rPr>
            </w:pPr>
            <w:r>
              <w:rPr>
                <w:rFonts w:ascii="Times New Roman" w:hAnsi="Times New Roman"/>
                <w:b w:val="false"/>
                <w:sz w:val="20"/>
              </w:rPr>
              <w:t>)</w:t>
            </w:r>
          </w:p>
        </w:tc>
      </w:tr>
      <w:tr>
        <w:trPr/>
        <w:tc>
          <w:tcPr>
            <w:tcW w:w="3511" w:type="dxa"/>
            <w:tcBorders/>
            <w:shd w:fill="auto" w:val="clear"/>
            <w:vAlign w:val="center"/>
          </w:tcPr>
          <w:p>
            <w:pPr>
              <w:pStyle w:val="TableContents"/>
              <w:spacing w:lineRule="auto" w:line="252" w:before="0" w:after="0"/>
              <w:ind w:left="0" w:right="0" w:hanging="0"/>
              <w:jc w:val="left"/>
              <w:rPr>
                <w:rFonts w:ascii="Times New Roman" w:hAnsi="Times New Roman"/>
                <w:b w:val="false"/>
                <w:sz w:val="20"/>
              </w:rPr>
            </w:pPr>
            <w:r>
              <w:rPr>
                <w:rFonts w:ascii="Times New Roman" w:hAnsi="Times New Roman"/>
                <w:b w:val="false"/>
                <w:sz w:val="20"/>
              </w:rPr>
              <w:t>Present value of operating lease liabilities</w:t>
            </w:r>
          </w:p>
        </w:tc>
        <w:tc>
          <w:tcPr>
            <w:tcW w:w="285" w:type="dxa"/>
            <w:tcBorders>
              <w:top w:val="single" w:sz="4" w:space="0" w:color="000000"/>
              <w:bottom w:val="double" w:sz="6" w:space="0" w:color="000000"/>
            </w:tcBorders>
            <w:shd w:fill="auto" w:val="clear"/>
            <w:tcMar>
              <w:left w:w="0" w:type="dxa"/>
              <w:right w:w="0" w:type="dxa"/>
            </w:tcMar>
            <w:vAlign w:val="center"/>
          </w:tcPr>
          <w:p>
            <w:pPr>
              <w:pStyle w:val="TableContents"/>
              <w:spacing w:lineRule="auto" w:line="252" w:before="0" w:after="0"/>
              <w:ind w:left="0" w:right="0" w:hanging="0"/>
              <w:jc w:val="left"/>
              <w:rPr>
                <w:rFonts w:ascii="Times New Roman" w:hAnsi="Times New Roman"/>
                <w:b w:val="false"/>
                <w:sz w:val="20"/>
              </w:rPr>
            </w:pPr>
            <w:r>
              <w:rPr>
                <w:rFonts w:ascii="Times New Roman" w:hAnsi="Times New Roman"/>
                <w:b w:val="false"/>
                <w:sz w:val="20"/>
              </w:rPr>
              <w:t>$</w:t>
            </w:r>
          </w:p>
        </w:tc>
        <w:tc>
          <w:tcPr>
            <w:tcW w:w="570" w:type="dxa"/>
            <w:tcBorders>
              <w:top w:val="single" w:sz="4" w:space="0" w:color="000000"/>
              <w:bottom w:val="double" w:sz="6" w:space="0" w:color="000000"/>
            </w:tcBorders>
            <w:shd w:fill="auto" w:val="clear"/>
            <w:tcMar>
              <w:left w:w="0" w:type="dxa"/>
              <w:right w:w="0" w:type="dxa"/>
            </w:tcMar>
            <w:vAlign w:val="center"/>
          </w:tcPr>
          <w:p>
            <w:pPr>
              <w:pStyle w:val="TableContents"/>
              <w:spacing w:lineRule="auto" w:line="252" w:before="0" w:after="0"/>
              <w:ind w:left="0" w:right="0" w:hanging="0"/>
              <w:jc w:val="right"/>
              <w:rPr>
                <w:rFonts w:ascii="Times New Roman" w:hAnsi="Times New Roman"/>
                <w:b w:val="false"/>
                <w:sz w:val="20"/>
              </w:rPr>
            </w:pPr>
            <w:r>
              <w:rPr>
                <w:rFonts w:ascii="Times New Roman" w:hAnsi="Times New Roman"/>
                <w:b w:val="false"/>
                <w:sz w:val="20"/>
              </w:rPr>
              <w:t>171</w:t>
            </w:r>
          </w:p>
        </w:tc>
        <w:tc>
          <w:tcPr>
            <w:tcW w:w="211" w:type="dxa"/>
            <w:tcBorders>
              <w:top w:val="single" w:sz="4" w:space="0" w:color="000000"/>
              <w:bottom w:val="double" w:sz="6" w:space="0" w:color="000000"/>
            </w:tcBorders>
            <w:shd w:fill="auto" w:val="clear"/>
            <w:tcMar>
              <w:left w:w="0" w:type="dxa"/>
              <w:right w:w="0" w:type="dxa"/>
            </w:tcMar>
            <w:vAlign w:val="center"/>
          </w:tcPr>
          <w:p>
            <w:pPr>
              <w:pStyle w:val="TableContents"/>
              <w:spacing w:lineRule="auto" w:line="252" w:before="0" w:after="0"/>
              <w:ind w:left="0" w:right="0" w:hanging="0"/>
              <w:jc w:val="left"/>
              <w:rPr/>
            </w:pPr>
            <w:r>
              <w:rPr/>
              <w:t> </w:t>
            </w:r>
          </w:p>
        </w:tc>
      </w:tr>
    </w:tbl>
    <w:p>
      <w:pPr>
        <w:pStyle w:val="TextBody"/>
        <w:spacing w:lineRule="auto" w:line="273" w:before="0" w:after="0"/>
        <w:jc w:val="left"/>
        <w:rPr/>
      </w:pPr>
      <w:r>
        <w:rPr/>
        <w:t> </w:t>
      </w:r>
    </w:p>
    <w:p>
      <w:pPr>
        <w:pStyle w:val="TextBody"/>
        <w:spacing w:lineRule="auto" w:line="273" w:before="360" w:after="0"/>
        <w:jc w:val="left"/>
        <w:rPr>
          <w:rFonts w:ascii="Times New Roman" w:hAnsi="Times New Roman"/>
          <w:sz w:val="20"/>
        </w:rPr>
      </w:pPr>
      <w:r>
        <w:rPr>
          <w:rFonts w:ascii="Times New Roman" w:hAnsi="Times New Roman"/>
          <w:b/>
          <w:i/>
          <w:sz w:val="20"/>
        </w:rPr>
        <w:t>Research and Development Agreements</w:t>
      </w:r>
      <w:r>
        <w:rPr>
          <w:rFonts w:ascii="Times New Roman" w:hAnsi="Times New Roman"/>
          <w:sz w:val="20"/>
        </w:rPr>
        <w:t xml:space="preserve"> </w:t>
      </w:r>
    </w:p>
    <w:p>
      <w:pPr>
        <w:pStyle w:val="TextBody"/>
        <w:spacing w:lineRule="auto" w:line="273" w:before="120" w:after="0"/>
        <w:jc w:val="left"/>
        <w:rPr>
          <w:rFonts w:ascii="Times New Roman" w:hAnsi="Times New Roman"/>
          <w:sz w:val="20"/>
        </w:rPr>
      </w:pPr>
      <w:r>
        <w:rPr>
          <w:rFonts w:ascii="Times New Roman" w:hAnsi="Times New Roman"/>
          <w:b w:val="false"/>
          <w:sz w:val="20"/>
        </w:rPr>
        <w:t>The Company enters into contracts in the normal course of business with clinical research organizations for clinical trials, with contract manufacturing organizations for clinical supplies manufacturing and with other vendors for preclinical studies, supplies and other services and products for operating purposes. These contracts generally provide for termination on notice, with the exception of one vendor with a potential termination fee if a purchase order is cancelled within a specified time, and another vendor where labor costs are non-cancellable after the approval of the project plan. As of March 31, 2022 and December 31, 2021, there were no</w:t>
      </w:r>
      <w:r>
        <w:rPr>
          <w:rFonts w:ascii="Times New Roman" w:hAnsi="Times New Roman"/>
          <w:sz w:val="20"/>
        </w:rPr>
        <w:t xml:space="preserve"> </w:t>
      </w:r>
      <w:r>
        <w:rPr>
          <w:rFonts w:ascii="Times New Roman" w:hAnsi="Times New Roman"/>
          <w:b w:val="false"/>
          <w:sz w:val="20"/>
        </w:rPr>
        <w:t>amounts accrued related to termination and cancellation charges as these are not probable.</w:t>
      </w:r>
      <w:r>
        <w:rPr>
          <w:rFonts w:ascii="Times New Roman" w:hAnsi="Times New Roman"/>
          <w:sz w:val="20"/>
        </w:rPr>
        <w:t xml:space="preserve"> </w:t>
      </w:r>
    </w:p>
    <w:p>
      <w:pPr>
        <w:pStyle w:val="TextBody"/>
        <w:spacing w:lineRule="auto" w:line="273" w:before="360" w:after="0"/>
        <w:jc w:val="left"/>
        <w:rPr>
          <w:rFonts w:ascii="Times New Roman" w:hAnsi="Times New Roman"/>
          <w:sz w:val="20"/>
        </w:rPr>
      </w:pPr>
      <w:r>
        <w:rPr>
          <w:rFonts w:ascii="Times New Roman" w:hAnsi="Times New Roman"/>
          <w:b/>
          <w:i/>
          <w:sz w:val="20"/>
        </w:rPr>
        <w:t>License Agreements</w:t>
      </w:r>
      <w:r>
        <w:rPr>
          <w:rFonts w:ascii="Times New Roman" w:hAnsi="Times New Roman"/>
          <w:sz w:val="20"/>
        </w:rPr>
        <w:t xml:space="preserve"> </w:t>
      </w:r>
    </w:p>
    <w:p>
      <w:pPr>
        <w:pStyle w:val="TextBody"/>
        <w:spacing w:lineRule="auto" w:line="273" w:before="120" w:after="0"/>
        <w:jc w:val="left"/>
        <w:rPr>
          <w:rFonts w:ascii="Times New Roman" w:hAnsi="Times New Roman"/>
          <w:sz w:val="20"/>
        </w:rPr>
      </w:pPr>
      <w:r>
        <w:rPr>
          <w:rFonts w:ascii="Times New Roman" w:hAnsi="Times New Roman"/>
          <w:b w:val="false"/>
          <w:sz w:val="20"/>
        </w:rPr>
        <w:t>The Company entered into the license agreements, as disclosed in Note 5, pursuant to which the Company is required to pay milestones contingent upon meeting of specific events. The first milestone related to the Viracta License Agreement was achieved and recorded to research and development expense during the year ended December 31, 2021. The Company may be required to pay royalties on sales of products developed under these agreements. All products are in development as of March 31, 2022 and December 31, 2021, and no</w:t>
      </w:r>
      <w:r>
        <w:rPr>
          <w:rFonts w:ascii="Times New Roman" w:hAnsi="Times New Roman"/>
          <w:sz w:val="20"/>
        </w:rPr>
        <w:t xml:space="preserve"> </w:t>
      </w:r>
      <w:r>
        <w:rPr>
          <w:rFonts w:ascii="Times New Roman" w:hAnsi="Times New Roman"/>
          <w:b w:val="false"/>
          <w:sz w:val="20"/>
        </w:rPr>
        <w:t>such royalties were due.</w:t>
      </w:r>
      <w:r>
        <w:rPr>
          <w:rFonts w:ascii="Times New Roman" w:hAnsi="Times New Roman"/>
          <w:sz w:val="20"/>
        </w:rPr>
        <w:t xml:space="preserve"> </w:t>
      </w:r>
    </w:p>
    <w:p>
      <w:pPr>
        <w:pStyle w:val="TextBody"/>
        <w:spacing w:lineRule="auto" w:line="273" w:before="360" w:after="0"/>
        <w:jc w:val="left"/>
        <w:rPr>
          <w:rFonts w:ascii="Times New Roman" w:hAnsi="Times New Roman"/>
          <w:sz w:val="20"/>
        </w:rPr>
      </w:pPr>
      <w:r>
        <w:rPr>
          <w:rFonts w:ascii="Times New Roman" w:hAnsi="Times New Roman"/>
          <w:b/>
          <w:i/>
          <w:sz w:val="20"/>
        </w:rPr>
        <w:t>Legal Proceedings</w:t>
      </w:r>
      <w:r>
        <w:rPr>
          <w:rFonts w:ascii="Times New Roman" w:hAnsi="Times New Roman"/>
          <w:sz w:val="20"/>
        </w:rPr>
        <w:t xml:space="preserve"> </w:t>
      </w:r>
    </w:p>
    <w:p>
      <w:pPr>
        <w:pStyle w:val="TextBody"/>
        <w:spacing w:lineRule="auto" w:line="273" w:before="0" w:after="0"/>
        <w:jc w:val="center"/>
        <w:rPr>
          <w:rFonts w:ascii="Times New Roman" w:hAnsi="Times New Roman"/>
          <w:b w:val="false"/>
          <w:sz w:val="20"/>
        </w:rPr>
      </w:pPr>
      <w:r>
        <w:rPr>
          <w:rFonts w:ascii="Times New Roman" w:hAnsi="Times New Roman"/>
          <w:b w:val="false"/>
          <w:sz w:val="20"/>
        </w:rPr>
        <w:t>13</w:t>
      </w:r>
    </w:p>
    <w:p>
      <w:pPr>
        <w:pStyle w:val="HorizontalLine"/>
        <w:rPr/>
      </w:pPr>
      <w:r>
        <w:rPr/>
      </w:r>
    </w:p>
    <w:p>
      <w:pPr>
        <w:pStyle w:val="TextBody"/>
        <w:spacing w:lineRule="auto" w:line="273" w:before="0" w:after="120"/>
        <w:jc w:val="center"/>
        <w:rPr>
          <w:rFonts w:ascii="Times New Roman" w:hAnsi="Times New Roman"/>
          <w:b/>
          <w:sz w:val="20"/>
        </w:rPr>
      </w:pPr>
      <w:r>
        <w:rPr>
          <w:rFonts w:ascii="Times New Roman" w:hAnsi="Times New Roman"/>
          <w:b/>
          <w:sz w:val="20"/>
        </w:rPr>
        <w:t>Notes to the Condensed Consolidated Financial Statements</w:t>
      </w:r>
    </w:p>
    <w:p>
      <w:pPr>
        <w:pStyle w:val="TextBody"/>
        <w:spacing w:lineRule="auto" w:line="273" w:before="120" w:after="0"/>
        <w:jc w:val="left"/>
        <w:rPr>
          <w:rFonts w:ascii="Times New Roman" w:hAnsi="Times New Roman"/>
          <w:sz w:val="20"/>
        </w:rPr>
      </w:pPr>
      <w:r>
        <w:rPr>
          <w:rFonts w:ascii="Times New Roman" w:hAnsi="Times New Roman"/>
          <w:b w:val="false"/>
          <w:sz w:val="20"/>
        </w:rPr>
        <w:t>The Company, from time to time, may be party to litigation arising in the ordinary course of business. The Company is not subject to any material legal proceedings, and to the best of its knowledge, no material legal proceedings are currently pending or threatened.</w:t>
      </w:r>
      <w:r>
        <w:rPr>
          <w:rFonts w:ascii="Times New Roman" w:hAnsi="Times New Roman"/>
          <w:sz w:val="20"/>
        </w:rPr>
        <w:t xml:space="preserve"> </w:t>
      </w:r>
    </w:p>
    <w:p>
      <w:pPr>
        <w:pStyle w:val="TextBody"/>
        <w:spacing w:lineRule="auto" w:line="273" w:before="360" w:after="0"/>
        <w:jc w:val="left"/>
        <w:rPr>
          <w:rFonts w:ascii="Times New Roman" w:hAnsi="Times New Roman"/>
          <w:sz w:val="20"/>
        </w:rPr>
      </w:pPr>
      <w:r>
        <w:rPr>
          <w:rFonts w:ascii="Times New Roman" w:hAnsi="Times New Roman"/>
          <w:b/>
          <w:i/>
          <w:sz w:val="20"/>
        </w:rPr>
        <w:t>Indemnification Agreements</w:t>
      </w:r>
      <w:r>
        <w:rPr>
          <w:rFonts w:ascii="Times New Roman" w:hAnsi="Times New Roman"/>
          <w:sz w:val="20"/>
        </w:rPr>
        <w:t xml:space="preserve"> </w:t>
      </w:r>
    </w:p>
    <w:p>
      <w:pPr>
        <w:pStyle w:val="TextBody"/>
        <w:spacing w:lineRule="auto" w:line="273" w:before="120" w:after="0"/>
        <w:jc w:val="left"/>
        <w:rPr>
          <w:rFonts w:ascii="Times New Roman" w:hAnsi="Times New Roman"/>
          <w:sz w:val="20"/>
        </w:rPr>
      </w:pPr>
      <w:r>
        <w:rPr>
          <w:rFonts w:ascii="Times New Roman" w:hAnsi="Times New Roman"/>
          <w:b w:val="false"/>
          <w:sz w:val="20"/>
        </w:rPr>
        <w:t>In the normal course of business, the Company enters into contracts and agreements that contain a variety of representations and warranties and provide for indemnification for certain liabilities. The exposure under these agreements is unknown because it involves claims that may be made against it in the future but have not yet been made. To date, the Company has not paid any claims or been required to defend any action related to its indemnification obligations. However, the Company may record charges in the future as a result of these indemnification obligations. The Company also has indemnification obligations to its directors and executive officers for specified events or occurrences, subject to some limits, while they are serving at its request in such capacities. There have been no claims, to date and the Company believes the fair value of these indemnification agreements is minimal. Accordingly, the Company had not recorded any liabilities for these agreements as of March 31, 2022 and December 31, 2021.</w:t>
      </w:r>
      <w:r>
        <w:rPr>
          <w:rFonts w:ascii="Times New Roman" w:hAnsi="Times New Roman"/>
          <w:sz w:val="20"/>
        </w:rPr>
        <w:t xml:space="preserve"> </w:t>
      </w:r>
    </w:p>
    <w:p>
      <w:pPr>
        <w:pStyle w:val="TextBody"/>
        <w:spacing w:lineRule="auto" w:line="273" w:before="120" w:after="0"/>
        <w:jc w:val="left"/>
        <w:rPr/>
      </w:pPr>
      <w:r>
        <w:rPr/>
        <w:t> </w:t>
      </w:r>
    </w:p>
    <w:p>
      <w:pPr>
        <w:pStyle w:val="TextBody"/>
        <w:spacing w:lineRule="auto" w:line="273" w:before="360" w:after="0"/>
        <w:jc w:val="left"/>
        <w:rPr>
          <w:rFonts w:ascii="Times New Roman" w:hAnsi="Times New Roman"/>
          <w:b/>
          <w:sz w:val="20"/>
        </w:rPr>
      </w:pPr>
      <w:r>
        <w:rPr>
          <w:rFonts w:ascii="Times New Roman" w:hAnsi="Times New Roman"/>
          <w:b/>
          <w:sz w:val="20"/>
        </w:rPr>
        <w:t>7.</w:t>
      </w:r>
    </w:p>
    <w:p>
      <w:pPr>
        <w:pStyle w:val="TextBody"/>
        <w:spacing w:lineRule="auto" w:line="273" w:before="360" w:after="283"/>
        <w:jc w:val="left"/>
        <w:rPr>
          <w:rFonts w:ascii="Times New Roman" w:hAnsi="Times New Roman"/>
          <w:b/>
          <w:sz w:val="20"/>
        </w:rPr>
      </w:pPr>
      <w:r>
        <w:rPr>
          <w:rFonts w:ascii="Times New Roman" w:hAnsi="Times New Roman"/>
          <w:b/>
          <w:sz w:val="20"/>
        </w:rPr>
        <w:t xml:space="preserve">Redeemable Convertible Preferred Shares </w:t>
      </w:r>
    </w:p>
    <w:p>
      <w:pPr>
        <w:pStyle w:val="TextBody"/>
        <w:spacing w:lineRule="auto" w:line="273" w:before="0" w:after="0"/>
        <w:jc w:val="left"/>
        <w:rPr/>
      </w:pPr>
      <w:r>
        <w:rPr/>
        <w:t> </w:t>
      </w:r>
    </w:p>
    <w:p>
      <w:pPr>
        <w:pStyle w:val="TextBody"/>
        <w:spacing w:lineRule="auto" w:line="273" w:before="0" w:after="0"/>
        <w:jc w:val="left"/>
        <w:rPr>
          <w:rFonts w:ascii="Times New Roman" w:hAnsi="Times New Roman"/>
          <w:sz w:val="20"/>
        </w:rPr>
      </w:pPr>
      <w:r>
        <w:rPr>
          <w:rFonts w:ascii="Times New Roman" w:hAnsi="Times New Roman"/>
          <w:b w:val="false"/>
          <w:sz w:val="20"/>
        </w:rPr>
        <w:t>On June 1, 2021, the Company completed its IPO, selling an aggregate of 11,500,000</w:t>
      </w:r>
      <w:r>
        <w:rPr>
          <w:rFonts w:ascii="Times New Roman" w:hAnsi="Times New Roman"/>
          <w:sz w:val="20"/>
        </w:rPr>
        <w:t xml:space="preserve"> </w:t>
      </w:r>
      <w:r>
        <w:rPr>
          <w:rFonts w:ascii="Times New Roman" w:hAnsi="Times New Roman"/>
          <w:b w:val="false"/>
          <w:sz w:val="20"/>
        </w:rPr>
        <w:t>shares of common stock. All outstanding redeemable convertible preferred shares were converted into 32,489,398</w:t>
      </w:r>
      <w:r>
        <w:rPr>
          <w:rFonts w:ascii="Times New Roman" w:hAnsi="Times New Roman"/>
          <w:sz w:val="20"/>
        </w:rPr>
        <w:t xml:space="preserve"> </w:t>
      </w:r>
      <w:r>
        <w:rPr>
          <w:rFonts w:ascii="Times New Roman" w:hAnsi="Times New Roman"/>
          <w:b w:val="false"/>
          <w:sz w:val="20"/>
        </w:rPr>
        <w:t>shares of common stock upon the completion of the IPO. As of March 31, 2022, the Company did not have any outstanding shares of redeemable convertible preferred shares.</w:t>
      </w:r>
    </w:p>
    <w:p>
      <w:pPr>
        <w:pStyle w:val="TextBody"/>
        <w:spacing w:lineRule="auto" w:line="273" w:before="0" w:after="0"/>
        <w:jc w:val="left"/>
        <w:rPr/>
      </w:pPr>
      <w:r>
        <w:rPr/>
        <w:t> </w:t>
      </w:r>
    </w:p>
    <w:p>
      <w:pPr>
        <w:pStyle w:val="TextBody"/>
        <w:spacing w:lineRule="auto" w:line="273" w:before="0" w:after="0"/>
        <w:jc w:val="left"/>
        <w:rPr>
          <w:rFonts w:ascii="Times New Roman" w:hAnsi="Times New Roman"/>
          <w:sz w:val="20"/>
        </w:rPr>
      </w:pPr>
      <w:r>
        <w:rPr>
          <w:rFonts w:ascii="Times New Roman" w:hAnsi="Times New Roman"/>
          <w:b w:val="false"/>
          <w:sz w:val="20"/>
        </w:rPr>
        <w:t>In February 2021, the Company issued 9,638,141</w:t>
      </w:r>
      <w:r>
        <w:rPr>
          <w:rFonts w:ascii="Times New Roman" w:hAnsi="Times New Roman"/>
          <w:sz w:val="20"/>
        </w:rPr>
        <w:t xml:space="preserve"> </w:t>
      </w:r>
      <w:r>
        <w:rPr>
          <w:rFonts w:ascii="Times New Roman" w:hAnsi="Times New Roman"/>
          <w:b w:val="false"/>
          <w:sz w:val="20"/>
        </w:rPr>
        <w:t>Series B redeemable convertible preferred shares at a price of $13.488</w:t>
      </w:r>
      <w:r>
        <w:rPr>
          <w:rFonts w:ascii="Times New Roman" w:hAnsi="Times New Roman"/>
          <w:sz w:val="20"/>
        </w:rPr>
        <w:t xml:space="preserve"> </w:t>
      </w:r>
      <w:r>
        <w:rPr>
          <w:rFonts w:ascii="Times New Roman" w:hAnsi="Times New Roman"/>
          <w:b w:val="false"/>
          <w:sz w:val="20"/>
        </w:rPr>
        <w:t>per share for gross cash proceeds of $130.0</w:t>
      </w:r>
      <w:r>
        <w:rPr>
          <w:rFonts w:ascii="Times New Roman" w:hAnsi="Times New Roman"/>
          <w:sz w:val="20"/>
        </w:rPr>
        <w:t xml:space="preserve"> </w:t>
      </w:r>
      <w:r>
        <w:rPr>
          <w:rFonts w:ascii="Times New Roman" w:hAnsi="Times New Roman"/>
          <w:b w:val="false"/>
          <w:sz w:val="20"/>
        </w:rPr>
        <w:t>million. The Company incurred issuance costs of $243,000.</w:t>
      </w:r>
    </w:p>
    <w:p>
      <w:pPr>
        <w:pStyle w:val="TextBody"/>
        <w:spacing w:lineRule="auto" w:line="273" w:before="360" w:after="0"/>
        <w:jc w:val="left"/>
        <w:rPr>
          <w:rFonts w:ascii="Times New Roman" w:hAnsi="Times New Roman"/>
          <w:b/>
          <w:sz w:val="20"/>
        </w:rPr>
      </w:pPr>
      <w:r>
        <w:rPr>
          <w:rFonts w:ascii="Times New Roman" w:hAnsi="Times New Roman"/>
          <w:b/>
          <w:sz w:val="20"/>
        </w:rPr>
        <w:t>8.</w:t>
      </w:r>
    </w:p>
    <w:p>
      <w:pPr>
        <w:pStyle w:val="TextBody"/>
        <w:spacing w:lineRule="auto" w:line="273" w:before="360" w:after="283"/>
        <w:jc w:val="left"/>
        <w:rPr>
          <w:rFonts w:ascii="Times New Roman" w:hAnsi="Times New Roman"/>
          <w:b/>
          <w:sz w:val="20"/>
        </w:rPr>
      </w:pPr>
      <w:r>
        <w:rPr>
          <w:rFonts w:ascii="Times New Roman" w:hAnsi="Times New Roman"/>
          <w:b/>
          <w:sz w:val="20"/>
        </w:rPr>
        <w:t xml:space="preserve">Common Stock </w:t>
      </w:r>
    </w:p>
    <w:p>
      <w:pPr>
        <w:pStyle w:val="TextBody"/>
        <w:spacing w:lineRule="auto" w:line="273" w:before="120" w:after="0"/>
        <w:jc w:val="left"/>
        <w:rPr>
          <w:rFonts w:ascii="Times New Roman" w:hAnsi="Times New Roman"/>
          <w:sz w:val="20"/>
        </w:rPr>
      </w:pPr>
      <w:r>
        <w:rPr>
          <w:rFonts w:ascii="Times New Roman" w:hAnsi="Times New Roman"/>
          <w:b w:val="false"/>
          <w:sz w:val="20"/>
        </w:rPr>
        <w:t>Pursuant to its certificate of incorporation, the Company is authorized to issue 500.0 million shares of common stock at a par value $0.0001. As of March 31, 2022, 61,911,929</w:t>
      </w:r>
      <w:r>
        <w:rPr>
          <w:rFonts w:ascii="Times New Roman" w:hAnsi="Times New Roman"/>
          <w:sz w:val="20"/>
        </w:rPr>
        <w:t xml:space="preserve"> </w:t>
      </w:r>
      <w:r>
        <w:rPr>
          <w:rFonts w:ascii="Times New Roman" w:hAnsi="Times New Roman"/>
          <w:b w:val="false"/>
          <w:sz w:val="20"/>
        </w:rPr>
        <w:t>shares of common stock were issued and outstanding.</w:t>
      </w:r>
      <w:r>
        <w:rPr>
          <w:rFonts w:ascii="Times New Roman" w:hAnsi="Times New Roman"/>
          <w:sz w:val="20"/>
        </w:rPr>
        <w:t xml:space="preserve"> </w:t>
      </w:r>
    </w:p>
    <w:p>
      <w:pPr>
        <w:pStyle w:val="TextBody"/>
        <w:spacing w:lineRule="auto" w:line="273" w:before="120" w:after="0"/>
        <w:jc w:val="left"/>
        <w:rPr>
          <w:rFonts w:ascii="Times New Roman" w:hAnsi="Times New Roman"/>
          <w:sz w:val="20"/>
        </w:rPr>
      </w:pPr>
      <w:r>
        <w:rPr>
          <w:rFonts w:ascii="Times New Roman" w:hAnsi="Times New Roman"/>
          <w:b w:val="false"/>
          <w:sz w:val="20"/>
        </w:rPr>
        <w:t>In November 2018, the Company entered into common shares purchase agreements with two</w:t>
      </w:r>
      <w:r>
        <w:rPr>
          <w:rFonts w:ascii="Times New Roman" w:hAnsi="Times New Roman"/>
          <w:sz w:val="20"/>
        </w:rPr>
        <w:t xml:space="preserve"> </w:t>
      </w:r>
      <w:r>
        <w:rPr>
          <w:rFonts w:ascii="Times New Roman" w:hAnsi="Times New Roman"/>
          <w:b w:val="false"/>
          <w:sz w:val="20"/>
        </w:rPr>
        <w:t>founders of the Company. The individuals purchased a total of 2,790,000</w:t>
      </w:r>
      <w:r>
        <w:rPr>
          <w:rFonts w:ascii="Times New Roman" w:hAnsi="Times New Roman"/>
          <w:sz w:val="20"/>
        </w:rPr>
        <w:t xml:space="preserve"> </w:t>
      </w:r>
      <w:r>
        <w:rPr>
          <w:rFonts w:ascii="Times New Roman" w:hAnsi="Times New Roman"/>
          <w:b w:val="false"/>
          <w:sz w:val="20"/>
        </w:rPr>
        <w:t>common shares for a total purchase price of $300. Shares vested monthly for two and four years, respectively. Vesting for a certain number of shares was accelerated upon the Company’s closing of its Series A redeemable convertible preferred share financing. The Company also has an option for a period of ninety days after the individual’s employment is terminated either voluntarily or involuntarily to repurchase the unvested common shares at a price that is the lower of the original price per share paid by the founder for such stock or the fair value as of the date of such repurchase. The founders’ shares were converted to common stock in the Conversion. As of March 31, 2022, all founders’ common stock were vested.</w:t>
      </w:r>
      <w:r>
        <w:rPr>
          <w:rFonts w:ascii="Times New Roman" w:hAnsi="Times New Roman"/>
          <w:sz w:val="20"/>
        </w:rPr>
        <w:t xml:space="preserve"> </w:t>
      </w:r>
    </w:p>
    <w:p>
      <w:pPr>
        <w:pStyle w:val="TextBody"/>
        <w:spacing w:lineRule="auto" w:line="273" w:before="120" w:after="0"/>
        <w:jc w:val="left"/>
        <w:rPr>
          <w:rFonts w:ascii="Times New Roman" w:hAnsi="Times New Roman"/>
          <w:b w:val="false"/>
          <w:sz w:val="20"/>
        </w:rPr>
      </w:pPr>
      <w:r>
        <w:rPr>
          <w:rFonts w:ascii="Times New Roman" w:hAnsi="Times New Roman"/>
          <w:b w:val="false"/>
          <w:sz w:val="20"/>
        </w:rPr>
        <w:t>The Company has reserved shares of common stock for future issuances as follows:</w:t>
      </w:r>
    </w:p>
    <w:p>
      <w:pPr>
        <w:pStyle w:val="TextBody"/>
        <w:spacing w:lineRule="auto" w:line="273" w:before="0" w:after="0"/>
        <w:jc w:val="left"/>
        <w:rPr/>
      </w:pPr>
      <w:r>
        <w:rPr/>
        <w:t> </w:t>
      </w:r>
    </w:p>
    <w:tbl>
      <w:tblPr>
        <w:tblW w:w="5450" w:type="dxa"/>
        <w:jc w:val="left"/>
        <w:tblInd w:w="0" w:type="dxa"/>
        <w:tblCellMar>
          <w:top w:w="28" w:type="dxa"/>
          <w:left w:w="28" w:type="dxa"/>
          <w:bottom w:w="28" w:type="dxa"/>
          <w:right w:w="28" w:type="dxa"/>
        </w:tblCellMar>
      </w:tblPr>
      <w:tblGrid>
        <w:gridCol w:w="3931"/>
        <w:gridCol w:w="146"/>
        <w:gridCol w:w="146"/>
        <w:gridCol w:w="1036"/>
        <w:gridCol w:w="191"/>
      </w:tblGrid>
      <w:tr>
        <w:trPr/>
        <w:tc>
          <w:tcPr>
            <w:tcW w:w="3931"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1036" w:type="dxa"/>
            <w:tcBorders/>
            <w:shd w:fill="auto" w:val="clear"/>
            <w:vAlign w:val="center"/>
          </w:tcPr>
          <w:p>
            <w:pPr>
              <w:pStyle w:val="TableContents"/>
              <w:spacing w:before="0" w:after="283"/>
              <w:rPr>
                <w:sz w:val="4"/>
                <w:szCs w:val="4"/>
              </w:rPr>
            </w:pPr>
            <w:r>
              <w:rPr>
                <w:sz w:val="4"/>
                <w:szCs w:val="4"/>
              </w:rPr>
            </w:r>
          </w:p>
        </w:tc>
        <w:tc>
          <w:tcPr>
            <w:tcW w:w="191" w:type="dxa"/>
            <w:tcBorders/>
            <w:shd w:fill="auto" w:val="clear"/>
            <w:vAlign w:val="center"/>
          </w:tcPr>
          <w:p>
            <w:pPr>
              <w:pStyle w:val="TableContents"/>
              <w:spacing w:before="0" w:after="283"/>
              <w:rPr>
                <w:sz w:val="4"/>
                <w:szCs w:val="4"/>
              </w:rPr>
            </w:pPr>
            <w:r>
              <w:rPr>
                <w:sz w:val="4"/>
                <w:szCs w:val="4"/>
              </w:rPr>
            </w:r>
          </w:p>
        </w:tc>
      </w:tr>
      <w:tr>
        <w:trPr/>
        <w:tc>
          <w:tcPr>
            <w:tcW w:w="3931" w:type="dxa"/>
            <w:tcBorders/>
            <w:shd w:fill="auto" w:val="clear"/>
            <w:vAlign w:val="center"/>
          </w:tcPr>
          <w:p>
            <w:pPr>
              <w:pStyle w:val="TableContents"/>
              <w:spacing w:lineRule="auto" w:line="252" w:before="0" w:after="0"/>
              <w:ind w:left="0" w:right="0" w:hanging="0"/>
              <w:jc w:val="center"/>
              <w:rPr/>
            </w:pPr>
            <w:r>
              <w:rPr/>
              <w:t> </w:t>
            </w:r>
          </w:p>
        </w:tc>
        <w:tc>
          <w:tcPr>
            <w:tcW w:w="146" w:type="dxa"/>
            <w:tcBorders/>
            <w:shd w:fill="auto" w:val="clear"/>
            <w:vAlign w:val="center"/>
          </w:tcPr>
          <w:p>
            <w:pPr>
              <w:pStyle w:val="TableContents"/>
              <w:spacing w:lineRule="auto" w:line="252" w:before="0" w:after="0"/>
              <w:ind w:left="0" w:right="0" w:hanging="0"/>
              <w:jc w:val="center"/>
              <w:rPr/>
            </w:pPr>
            <w:r>
              <w:rPr/>
              <w:t> </w:t>
            </w:r>
          </w:p>
        </w:tc>
        <w:tc>
          <w:tcPr>
            <w:tcW w:w="1182" w:type="dxa"/>
            <w:gridSpan w:val="2"/>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center"/>
              <w:rPr>
                <w:rFonts w:ascii="Times New Roman" w:hAnsi="Times New Roman"/>
                <w:b/>
                <w:sz w:val="16"/>
              </w:rPr>
            </w:pPr>
            <w:r>
              <w:rPr>
                <w:rFonts w:ascii="Times New Roman" w:hAnsi="Times New Roman"/>
                <w:b/>
                <w:sz w:val="16"/>
              </w:rPr>
              <w:t>March 31,</w:t>
              <w:br/>
              <w:t>2022</w:t>
            </w:r>
          </w:p>
        </w:tc>
        <w:tc>
          <w:tcPr>
            <w:tcW w:w="191"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center"/>
              <w:rPr/>
            </w:pPr>
            <w:r>
              <w:rPr/>
              <w:t> </w:t>
            </w:r>
          </w:p>
        </w:tc>
      </w:tr>
      <w:tr>
        <w:trPr/>
        <w:tc>
          <w:tcPr>
            <w:tcW w:w="3931" w:type="dxa"/>
            <w:tcBorders/>
            <w:shd w:fill="auto" w:val="clear"/>
            <w:vAlign w:val="center"/>
          </w:tcPr>
          <w:p>
            <w:pPr>
              <w:pStyle w:val="TableContents"/>
              <w:spacing w:lineRule="auto" w:line="252" w:before="0" w:after="0"/>
              <w:ind w:left="0" w:right="0" w:hanging="0"/>
              <w:jc w:val="left"/>
              <w:rPr>
                <w:rFonts w:ascii="Times New Roman" w:hAnsi="Times New Roman"/>
                <w:b w:val="false"/>
                <w:sz w:val="20"/>
              </w:rPr>
            </w:pPr>
            <w:r>
              <w:rPr>
                <w:rFonts w:ascii="Times New Roman" w:hAnsi="Times New Roman"/>
                <w:b w:val="false"/>
                <w:sz w:val="20"/>
              </w:rPr>
              <w:t>Common stock options issued and outstanding</w:t>
            </w:r>
          </w:p>
        </w:tc>
        <w:tc>
          <w:tcPr>
            <w:tcW w:w="146" w:type="dxa"/>
            <w:tcBorders/>
            <w:shd w:fill="auto" w:val="clear"/>
            <w:vAlign w:val="center"/>
          </w:tcPr>
          <w:p>
            <w:pPr>
              <w:pStyle w:val="TableContents"/>
              <w:spacing w:lineRule="auto" w:line="252" w:before="0" w:after="0"/>
              <w:ind w:left="0" w:right="0" w:hanging="0"/>
              <w:jc w:val="center"/>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036" w:type="dxa"/>
            <w:tcBorders/>
            <w:shd w:fill="auto" w:val="clear"/>
            <w:vAlign w:val="center"/>
          </w:tcPr>
          <w:p>
            <w:pPr>
              <w:pStyle w:val="TableContents"/>
              <w:spacing w:lineRule="auto" w:line="252" w:before="0" w:after="0"/>
              <w:ind w:left="0" w:right="0" w:hanging="0"/>
              <w:jc w:val="right"/>
              <w:rPr>
                <w:rFonts w:ascii="Times New Roman" w:hAnsi="Times New Roman"/>
                <w:b w:val="false"/>
                <w:sz w:val="20"/>
              </w:rPr>
            </w:pPr>
            <w:r>
              <w:rPr>
                <w:rFonts w:ascii="Times New Roman" w:hAnsi="Times New Roman"/>
                <w:b w:val="false"/>
                <w:sz w:val="20"/>
              </w:rPr>
              <w:t>7,018,228</w:t>
            </w:r>
          </w:p>
        </w:tc>
        <w:tc>
          <w:tcPr>
            <w:tcW w:w="191" w:type="dxa"/>
            <w:tcBorders/>
            <w:shd w:fill="auto" w:val="clear"/>
            <w:vAlign w:val="center"/>
          </w:tcPr>
          <w:p>
            <w:pPr>
              <w:pStyle w:val="TableContents"/>
              <w:spacing w:lineRule="auto" w:line="252" w:before="0" w:after="0"/>
              <w:ind w:left="0" w:right="0" w:hanging="0"/>
              <w:jc w:val="left"/>
              <w:rPr/>
            </w:pPr>
            <w:r>
              <w:rPr/>
              <w:t> </w:t>
            </w:r>
          </w:p>
        </w:tc>
      </w:tr>
      <w:tr>
        <w:trPr/>
        <w:tc>
          <w:tcPr>
            <w:tcW w:w="3931" w:type="dxa"/>
            <w:tcBorders/>
            <w:shd w:fill="auto" w:val="clear"/>
            <w:vAlign w:val="center"/>
          </w:tcPr>
          <w:p>
            <w:pPr>
              <w:pStyle w:val="TableContents"/>
              <w:spacing w:lineRule="auto" w:line="252" w:before="0" w:after="0"/>
              <w:ind w:left="0" w:right="0" w:hanging="0"/>
              <w:jc w:val="left"/>
              <w:rPr>
                <w:rFonts w:ascii="Times New Roman" w:hAnsi="Times New Roman"/>
                <w:b w:val="false"/>
                <w:sz w:val="20"/>
              </w:rPr>
            </w:pPr>
            <w:r>
              <w:rPr>
                <w:rFonts w:ascii="Times New Roman" w:hAnsi="Times New Roman"/>
                <w:b w:val="false"/>
                <w:sz w:val="20"/>
              </w:rPr>
              <w:t>Common stock available for future grants</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036" w:type="dxa"/>
            <w:tcBorders/>
            <w:shd w:fill="auto" w:val="clear"/>
            <w:vAlign w:val="center"/>
          </w:tcPr>
          <w:p>
            <w:pPr>
              <w:pStyle w:val="TableContents"/>
              <w:spacing w:lineRule="auto" w:line="252" w:before="0" w:after="0"/>
              <w:ind w:left="0" w:right="0" w:hanging="0"/>
              <w:jc w:val="right"/>
              <w:rPr>
                <w:rFonts w:ascii="Times New Roman" w:hAnsi="Times New Roman"/>
                <w:b w:val="false"/>
                <w:sz w:val="20"/>
              </w:rPr>
            </w:pPr>
            <w:r>
              <w:rPr>
                <w:rFonts w:ascii="Times New Roman" w:hAnsi="Times New Roman"/>
                <w:b w:val="false"/>
                <w:sz w:val="20"/>
              </w:rPr>
              <w:t>2,081,924</w:t>
            </w:r>
          </w:p>
        </w:tc>
        <w:tc>
          <w:tcPr>
            <w:tcW w:w="191" w:type="dxa"/>
            <w:tcBorders/>
            <w:shd w:fill="auto" w:val="clear"/>
            <w:vAlign w:val="center"/>
          </w:tcPr>
          <w:p>
            <w:pPr>
              <w:pStyle w:val="TableContents"/>
              <w:spacing w:lineRule="auto" w:line="252" w:before="0" w:after="0"/>
              <w:ind w:left="0" w:right="0" w:hanging="0"/>
              <w:jc w:val="left"/>
              <w:rPr/>
            </w:pPr>
            <w:r>
              <w:rPr/>
              <w:t> </w:t>
            </w:r>
          </w:p>
        </w:tc>
      </w:tr>
      <w:tr>
        <w:trPr/>
        <w:tc>
          <w:tcPr>
            <w:tcW w:w="3931" w:type="dxa"/>
            <w:tcBorders/>
            <w:shd w:fill="auto" w:val="clear"/>
            <w:vAlign w:val="center"/>
          </w:tcPr>
          <w:p>
            <w:pPr>
              <w:pStyle w:val="TableContents"/>
              <w:spacing w:lineRule="auto" w:line="252" w:before="0" w:after="0"/>
              <w:ind w:left="0" w:right="0" w:hanging="0"/>
              <w:jc w:val="left"/>
              <w:rPr>
                <w:rFonts w:ascii="Times New Roman" w:hAnsi="Times New Roman"/>
                <w:b w:val="false"/>
                <w:sz w:val="20"/>
              </w:rPr>
            </w:pPr>
            <w:r>
              <w:rPr>
                <w:rFonts w:ascii="Times New Roman" w:hAnsi="Times New Roman"/>
                <w:b w:val="false"/>
                <w:sz w:val="20"/>
              </w:rPr>
              <w:t>Common stock available for ESPP</w:t>
            </w:r>
          </w:p>
        </w:tc>
        <w:tc>
          <w:tcPr>
            <w:tcW w:w="146" w:type="dxa"/>
            <w:tcBorders/>
            <w:shd w:fill="auto" w:val="clear"/>
            <w:vAlign w:val="center"/>
          </w:tcPr>
          <w:p>
            <w:pPr>
              <w:pStyle w:val="TableContents"/>
              <w:spacing w:lineRule="auto" w:line="252" w:before="0" w:after="0"/>
              <w:ind w:left="0" w:right="0" w:hanging="0"/>
              <w:jc w:val="center"/>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036" w:type="dxa"/>
            <w:tcBorders/>
            <w:shd w:fill="auto" w:val="clear"/>
            <w:vAlign w:val="center"/>
          </w:tcPr>
          <w:p>
            <w:pPr>
              <w:pStyle w:val="TableContents"/>
              <w:spacing w:lineRule="auto" w:line="252" w:before="0" w:after="0"/>
              <w:ind w:left="0" w:right="0" w:hanging="0"/>
              <w:jc w:val="right"/>
              <w:rPr>
                <w:rFonts w:ascii="Times New Roman" w:hAnsi="Times New Roman"/>
                <w:b w:val="false"/>
                <w:sz w:val="20"/>
              </w:rPr>
            </w:pPr>
            <w:r>
              <w:rPr>
                <w:rFonts w:ascii="Times New Roman" w:hAnsi="Times New Roman"/>
                <w:b w:val="false"/>
                <w:sz w:val="20"/>
              </w:rPr>
              <w:t>1,199,169</w:t>
            </w:r>
          </w:p>
        </w:tc>
        <w:tc>
          <w:tcPr>
            <w:tcW w:w="191" w:type="dxa"/>
            <w:tcBorders/>
            <w:shd w:fill="auto" w:val="clear"/>
            <w:vAlign w:val="center"/>
          </w:tcPr>
          <w:p>
            <w:pPr>
              <w:pStyle w:val="TableContents"/>
              <w:spacing w:lineRule="auto" w:line="252" w:before="0" w:after="0"/>
              <w:ind w:left="0" w:right="0" w:hanging="0"/>
              <w:jc w:val="left"/>
              <w:rPr/>
            </w:pPr>
            <w:r>
              <w:rPr/>
              <w:t> </w:t>
            </w:r>
          </w:p>
        </w:tc>
      </w:tr>
      <w:tr>
        <w:trPr/>
        <w:tc>
          <w:tcPr>
            <w:tcW w:w="3931" w:type="dxa"/>
            <w:tcBorders/>
            <w:shd w:fill="auto" w:val="clear"/>
            <w:vAlign w:val="center"/>
          </w:tcPr>
          <w:p>
            <w:pPr>
              <w:pStyle w:val="TableContents"/>
              <w:spacing w:lineRule="auto" w:line="252" w:before="0" w:after="0"/>
              <w:ind w:left="0" w:right="0" w:hanging="0"/>
              <w:jc w:val="left"/>
              <w:rPr>
                <w:rFonts w:ascii="Times New Roman" w:hAnsi="Times New Roman"/>
                <w:b w:val="false"/>
                <w:sz w:val="20"/>
              </w:rPr>
            </w:pPr>
            <w:r>
              <w:rPr>
                <w:rFonts w:ascii="Times New Roman" w:hAnsi="Times New Roman"/>
                <w:b w:val="false"/>
                <w:sz w:val="20"/>
              </w:rPr>
              <w:t>Restricted stock units issued and outstanding</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46"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c>
          <w:tcPr>
            <w:tcW w:w="1036"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right"/>
              <w:rPr>
                <w:rFonts w:ascii="Times New Roman" w:hAnsi="Times New Roman"/>
                <w:b w:val="false"/>
                <w:sz w:val="20"/>
              </w:rPr>
            </w:pPr>
            <w:r>
              <w:rPr>
                <w:rFonts w:ascii="Times New Roman" w:hAnsi="Times New Roman"/>
                <w:b w:val="false"/>
                <w:sz w:val="20"/>
              </w:rPr>
              <w:t>392,757</w:t>
            </w:r>
          </w:p>
        </w:tc>
        <w:tc>
          <w:tcPr>
            <w:tcW w:w="191"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r>
      <w:tr>
        <w:trPr/>
        <w:tc>
          <w:tcPr>
            <w:tcW w:w="3931" w:type="dxa"/>
            <w:tcBorders/>
            <w:shd w:fill="auto" w:val="clear"/>
            <w:vAlign w:val="center"/>
          </w:tcPr>
          <w:p>
            <w:pPr>
              <w:pStyle w:val="TableContents"/>
              <w:spacing w:lineRule="auto" w:line="252" w:before="0" w:after="0"/>
              <w:ind w:left="0" w:right="0" w:hanging="0"/>
              <w:jc w:val="left"/>
              <w:rPr>
                <w:rFonts w:ascii="Times New Roman" w:hAnsi="Times New Roman"/>
                <w:b w:val="false"/>
                <w:sz w:val="20"/>
              </w:rPr>
            </w:pPr>
            <w:r>
              <w:rPr>
                <w:rFonts w:ascii="Times New Roman" w:hAnsi="Times New Roman"/>
                <w:b w:val="false"/>
                <w:sz w:val="20"/>
              </w:rPr>
              <w:t>Total</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46" w:type="dxa"/>
            <w:tcBorders>
              <w:bottom w:val="double" w:sz="6"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c>
          <w:tcPr>
            <w:tcW w:w="1036" w:type="dxa"/>
            <w:tcBorders>
              <w:bottom w:val="double" w:sz="6" w:space="0" w:color="000000"/>
            </w:tcBorders>
            <w:shd w:fill="auto" w:val="clear"/>
            <w:tcMar>
              <w:top w:w="0" w:type="dxa"/>
              <w:left w:w="0" w:type="dxa"/>
              <w:right w:w="0" w:type="dxa"/>
            </w:tcMar>
            <w:vAlign w:val="center"/>
          </w:tcPr>
          <w:p>
            <w:pPr>
              <w:pStyle w:val="TableContents"/>
              <w:spacing w:lineRule="auto" w:line="252" w:before="0" w:after="0"/>
              <w:ind w:left="0" w:right="0" w:hanging="0"/>
              <w:jc w:val="right"/>
              <w:rPr>
                <w:rFonts w:ascii="Times New Roman" w:hAnsi="Times New Roman"/>
                <w:b w:val="false"/>
                <w:sz w:val="20"/>
              </w:rPr>
            </w:pPr>
            <w:r>
              <w:rPr>
                <w:rFonts w:ascii="Times New Roman" w:hAnsi="Times New Roman"/>
                <w:b w:val="false"/>
                <w:sz w:val="20"/>
              </w:rPr>
              <w:t>10,692,078</w:t>
            </w:r>
          </w:p>
        </w:tc>
        <w:tc>
          <w:tcPr>
            <w:tcW w:w="191" w:type="dxa"/>
            <w:tcBorders>
              <w:bottom w:val="double" w:sz="6"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r>
    </w:tbl>
    <w:p>
      <w:pPr>
        <w:pStyle w:val="TextBody"/>
        <w:spacing w:lineRule="auto" w:line="273" w:before="0" w:after="0"/>
        <w:jc w:val="left"/>
        <w:rPr/>
      </w:pPr>
      <w:r>
        <w:rPr/>
        <w:t> </w:t>
      </w:r>
    </w:p>
    <w:p>
      <w:pPr>
        <w:pStyle w:val="TextBody"/>
        <w:spacing w:lineRule="auto" w:line="273" w:before="0" w:after="0"/>
        <w:jc w:val="left"/>
        <w:rPr/>
      </w:pPr>
      <w:r>
        <w:rPr/>
        <w:t> </w:t>
      </w:r>
    </w:p>
    <w:p>
      <w:pPr>
        <w:pStyle w:val="TextBody"/>
        <w:spacing w:lineRule="auto" w:line="273" w:before="360" w:after="0"/>
        <w:jc w:val="left"/>
        <w:rPr>
          <w:rFonts w:ascii="Times New Roman" w:hAnsi="Times New Roman"/>
          <w:b/>
          <w:sz w:val="20"/>
        </w:rPr>
      </w:pPr>
      <w:r>
        <w:rPr>
          <w:rFonts w:ascii="Times New Roman" w:hAnsi="Times New Roman"/>
          <w:b/>
          <w:sz w:val="20"/>
        </w:rPr>
        <w:t>9.</w:t>
      </w:r>
    </w:p>
    <w:p>
      <w:pPr>
        <w:pStyle w:val="TextBody"/>
        <w:spacing w:lineRule="auto" w:line="273" w:before="360" w:after="283"/>
        <w:jc w:val="left"/>
        <w:rPr>
          <w:rFonts w:ascii="Times New Roman" w:hAnsi="Times New Roman"/>
          <w:b/>
          <w:sz w:val="20"/>
        </w:rPr>
      </w:pPr>
      <w:r>
        <w:rPr>
          <w:rFonts w:ascii="Times New Roman" w:hAnsi="Times New Roman"/>
          <w:b/>
          <w:sz w:val="20"/>
        </w:rPr>
        <w:t>Equity-Based Compensation</w:t>
      </w:r>
    </w:p>
    <w:p>
      <w:pPr>
        <w:pStyle w:val="TextBody"/>
        <w:spacing w:lineRule="auto" w:line="273" w:before="120" w:after="0"/>
        <w:jc w:val="left"/>
        <w:rPr>
          <w:rFonts w:ascii="Times New Roman" w:hAnsi="Times New Roman"/>
          <w:sz w:val="20"/>
        </w:rPr>
      </w:pPr>
      <w:r>
        <w:rPr>
          <w:rFonts w:ascii="Times New Roman" w:hAnsi="Times New Roman"/>
          <w:b w:val="false"/>
          <w:sz w:val="20"/>
        </w:rPr>
        <w:t>Prior to the Conversion, Day One Holding LLC granted incentive shares under the Incentive Share Plan and was authorized to issue 8,924,177</w:t>
      </w:r>
      <w:r>
        <w:rPr>
          <w:rFonts w:ascii="Times New Roman" w:hAnsi="Times New Roman"/>
          <w:sz w:val="20"/>
        </w:rPr>
        <w:t xml:space="preserve"> </w:t>
      </w:r>
      <w:r>
        <w:rPr>
          <w:rFonts w:ascii="Times New Roman" w:hAnsi="Times New Roman"/>
          <w:b w:val="false"/>
          <w:sz w:val="20"/>
        </w:rPr>
        <w:t>incentive shares. Incentive shares were a separate non-voting class of shares that participated in distributions only after incentive shares vested, unless it was approved by the board of directors and included at least two of the preferred members, and a participation threshold was met. The incentive shares represented profits interests in Day One Holding</w:t>
      </w:r>
      <w:r>
        <w:rPr>
          <w:rFonts w:ascii="Times New Roman" w:hAnsi="Times New Roman"/>
          <w:sz w:val="20"/>
        </w:rPr>
        <w:t xml:space="preserve"> </w:t>
      </w:r>
    </w:p>
    <w:p>
      <w:pPr>
        <w:pStyle w:val="TextBody"/>
        <w:spacing w:lineRule="auto" w:line="273" w:before="0" w:after="0"/>
        <w:jc w:val="center"/>
        <w:rPr>
          <w:rFonts w:ascii="Times New Roman" w:hAnsi="Times New Roman"/>
          <w:b w:val="false"/>
          <w:sz w:val="20"/>
        </w:rPr>
      </w:pPr>
      <w:r>
        <w:rPr>
          <w:rFonts w:ascii="Times New Roman" w:hAnsi="Times New Roman"/>
          <w:b w:val="false"/>
          <w:sz w:val="20"/>
        </w:rPr>
        <w:t>14</w:t>
      </w:r>
    </w:p>
    <w:p>
      <w:pPr>
        <w:pStyle w:val="HorizontalLine"/>
        <w:rPr/>
      </w:pPr>
      <w:r>
        <w:rPr/>
      </w:r>
    </w:p>
    <w:p>
      <w:pPr>
        <w:pStyle w:val="TextBody"/>
        <w:spacing w:lineRule="auto" w:line="273" w:before="0" w:after="120"/>
        <w:jc w:val="center"/>
        <w:rPr>
          <w:rFonts w:ascii="Times New Roman" w:hAnsi="Times New Roman"/>
          <w:b/>
          <w:sz w:val="20"/>
        </w:rPr>
      </w:pPr>
      <w:r>
        <w:rPr>
          <w:rFonts w:ascii="Times New Roman" w:hAnsi="Times New Roman"/>
          <w:b/>
          <w:sz w:val="20"/>
        </w:rPr>
        <w:t>Notes to the Condensed Consolidated Financial Statements</w:t>
      </w:r>
    </w:p>
    <w:p>
      <w:pPr>
        <w:pStyle w:val="TextBody"/>
        <w:spacing w:lineRule="auto" w:line="273" w:before="120" w:after="0"/>
        <w:jc w:val="left"/>
        <w:rPr>
          <w:rFonts w:ascii="Times New Roman" w:hAnsi="Times New Roman"/>
          <w:b w:val="false"/>
          <w:sz w:val="20"/>
        </w:rPr>
      </w:pPr>
      <w:r>
        <w:rPr>
          <w:rFonts w:ascii="Times New Roman" w:hAnsi="Times New Roman"/>
          <w:b w:val="false"/>
          <w:sz w:val="20"/>
        </w:rPr>
        <w:t>LLC, which was an interest in the increase in the Company’s value over the participation threshold, as defined in its operating agreement and as determined at the time of grant. A holder of incentive shares had the right to participate in distributions of profits only in excess of the participation threshold. The participation threshold was based on the valuation of the Company’s common shares on or around the grant date.</w:t>
      </w:r>
    </w:p>
    <w:p>
      <w:pPr>
        <w:pStyle w:val="TextBody"/>
        <w:spacing w:lineRule="auto" w:line="273" w:before="120" w:after="0"/>
        <w:jc w:val="left"/>
        <w:rPr>
          <w:rFonts w:ascii="Times New Roman" w:hAnsi="Times New Roman"/>
          <w:sz w:val="20"/>
        </w:rPr>
      </w:pPr>
      <w:r>
        <w:rPr>
          <w:rFonts w:ascii="Times New Roman" w:hAnsi="Times New Roman"/>
          <w:b w:val="false"/>
          <w:sz w:val="20"/>
        </w:rPr>
        <w:t>The fair value of the incentive shares was estimated using an option pricing model with the following assumptions:</w:t>
      </w:r>
      <w:r>
        <w:rPr>
          <w:rFonts w:ascii="Times New Roman" w:hAnsi="Times New Roman"/>
          <w:sz w:val="20"/>
        </w:rPr>
        <w:t xml:space="preserve"> </w:t>
      </w:r>
    </w:p>
    <w:p>
      <w:pPr>
        <w:pStyle w:val="TextBody"/>
        <w:spacing w:lineRule="auto" w:line="273" w:before="0" w:after="0"/>
        <w:jc w:val="left"/>
        <w:rPr/>
      </w:pPr>
      <w:r>
        <w:rPr/>
        <w:t> </w:t>
      </w:r>
    </w:p>
    <w:tbl>
      <w:tblPr>
        <w:tblW w:w="4108" w:type="dxa"/>
        <w:jc w:val="left"/>
        <w:tblInd w:w="0" w:type="dxa"/>
        <w:tblCellMar>
          <w:top w:w="28" w:type="dxa"/>
          <w:left w:w="28" w:type="dxa"/>
          <w:bottom w:w="28" w:type="dxa"/>
          <w:right w:w="28" w:type="dxa"/>
        </w:tblCellMar>
      </w:tblPr>
      <w:tblGrid>
        <w:gridCol w:w="2311"/>
        <w:gridCol w:w="146"/>
        <w:gridCol w:w="1651"/>
      </w:tblGrid>
      <w:tr>
        <w:trPr/>
        <w:tc>
          <w:tcPr>
            <w:tcW w:w="2311"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1651" w:type="dxa"/>
            <w:tcBorders/>
            <w:shd w:fill="auto" w:val="clear"/>
            <w:vAlign w:val="center"/>
          </w:tcPr>
          <w:p>
            <w:pPr>
              <w:pStyle w:val="TableContents"/>
              <w:spacing w:before="0" w:after="283"/>
              <w:rPr>
                <w:sz w:val="4"/>
                <w:szCs w:val="4"/>
              </w:rPr>
            </w:pPr>
            <w:r>
              <w:rPr>
                <w:sz w:val="4"/>
                <w:szCs w:val="4"/>
              </w:rPr>
            </w:r>
          </w:p>
        </w:tc>
      </w:tr>
      <w:tr>
        <w:trPr/>
        <w:tc>
          <w:tcPr>
            <w:tcW w:w="2311" w:type="dxa"/>
            <w:tcBorders/>
            <w:shd w:fill="auto" w:val="clear"/>
            <w:vAlign w:val="center"/>
          </w:tcPr>
          <w:p>
            <w:pPr>
              <w:pStyle w:val="TableContents"/>
              <w:spacing w:lineRule="auto" w:line="252" w:before="0" w:after="0"/>
              <w:ind w:left="0" w:right="0" w:hanging="0"/>
              <w:jc w:val="center"/>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651" w:type="dxa"/>
            <w:tcBorders/>
            <w:shd w:fill="auto" w:val="clear"/>
            <w:vAlign w:val="center"/>
          </w:tcPr>
          <w:p>
            <w:pPr>
              <w:pStyle w:val="TableContents"/>
              <w:spacing w:lineRule="auto" w:line="252" w:before="0" w:after="0"/>
              <w:ind w:left="0" w:right="0" w:hanging="0"/>
              <w:jc w:val="center"/>
              <w:rPr>
                <w:rFonts w:ascii="Times New Roman" w:hAnsi="Times New Roman"/>
                <w:b/>
                <w:sz w:val="16"/>
              </w:rPr>
            </w:pPr>
            <w:r>
              <w:rPr>
                <w:rFonts w:ascii="Times New Roman" w:hAnsi="Times New Roman"/>
                <w:b/>
                <w:sz w:val="16"/>
              </w:rPr>
              <w:t>Three Months Ended</w:t>
              <w:br/>
              <w:t>March 31,</w:t>
            </w:r>
          </w:p>
        </w:tc>
      </w:tr>
      <w:tr>
        <w:trPr/>
        <w:tc>
          <w:tcPr>
            <w:tcW w:w="2311" w:type="dxa"/>
            <w:tcBorders/>
            <w:shd w:fill="auto" w:val="clear"/>
            <w:vAlign w:val="center"/>
          </w:tcPr>
          <w:p>
            <w:pPr>
              <w:pStyle w:val="TableContents"/>
              <w:spacing w:lineRule="auto" w:line="252" w:before="0" w:after="0"/>
              <w:ind w:left="0" w:right="0" w:hanging="0"/>
              <w:jc w:val="center"/>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651"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center"/>
              <w:rPr>
                <w:rFonts w:ascii="Times New Roman" w:hAnsi="Times New Roman"/>
                <w:b/>
                <w:sz w:val="16"/>
              </w:rPr>
            </w:pPr>
            <w:r>
              <w:rPr>
                <w:rFonts w:ascii="Times New Roman" w:hAnsi="Times New Roman"/>
                <w:b/>
                <w:sz w:val="16"/>
              </w:rPr>
              <w:t>2021</w:t>
            </w:r>
          </w:p>
        </w:tc>
      </w:tr>
      <w:tr>
        <w:trPr/>
        <w:tc>
          <w:tcPr>
            <w:tcW w:w="2311" w:type="dxa"/>
            <w:tcBorders/>
            <w:shd w:fill="auto" w:val="clear"/>
            <w:vAlign w:val="center"/>
          </w:tcPr>
          <w:p>
            <w:pPr>
              <w:pStyle w:val="TableContents"/>
              <w:spacing w:lineRule="auto" w:line="252" w:before="0" w:after="0"/>
              <w:ind w:left="0" w:right="0" w:hanging="0"/>
              <w:jc w:val="left"/>
              <w:rPr>
                <w:rFonts w:ascii="Times New Roman" w:hAnsi="Times New Roman"/>
                <w:b w:val="false"/>
                <w:sz w:val="20"/>
              </w:rPr>
            </w:pPr>
            <w:r>
              <w:rPr>
                <w:rFonts w:ascii="Times New Roman" w:hAnsi="Times New Roman"/>
                <w:b w:val="false"/>
                <w:sz w:val="20"/>
              </w:rPr>
              <w:t>Common share fair value</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651" w:type="dxa"/>
            <w:tcBorders/>
            <w:shd w:fill="auto" w:val="clear"/>
            <w:vAlign w:val="center"/>
          </w:tcPr>
          <w:p>
            <w:pPr>
              <w:pStyle w:val="TableContents"/>
              <w:spacing w:lineRule="auto" w:line="252" w:before="0" w:after="0"/>
              <w:ind w:left="0" w:right="0" w:hanging="0"/>
              <w:jc w:val="center"/>
              <w:rPr>
                <w:rFonts w:ascii="Times New Roman" w:hAnsi="Times New Roman"/>
                <w:sz w:val="20"/>
              </w:rPr>
            </w:pPr>
            <w:r>
              <w:rPr>
                <w:rFonts w:ascii="Times New Roman" w:hAnsi="Times New Roman"/>
                <w:b w:val="false"/>
                <w:sz w:val="20"/>
              </w:rPr>
              <w:t>$6.36</w:t>
            </w:r>
            <w:r>
              <w:rPr>
                <w:rFonts w:ascii="Times New Roman" w:hAnsi="Times New Roman"/>
                <w:sz w:val="20"/>
              </w:rPr>
              <w:t>  </w:t>
            </w:r>
            <w:r>
              <w:rPr>
                <w:rFonts w:ascii="Times New Roman" w:hAnsi="Times New Roman"/>
                <w:b w:val="false"/>
                <w:sz w:val="20"/>
              </w:rPr>
              <w:t>- $7.51</w:t>
            </w:r>
          </w:p>
        </w:tc>
      </w:tr>
      <w:tr>
        <w:trPr/>
        <w:tc>
          <w:tcPr>
            <w:tcW w:w="2311" w:type="dxa"/>
            <w:tcBorders/>
            <w:shd w:fill="auto" w:val="clear"/>
            <w:vAlign w:val="center"/>
          </w:tcPr>
          <w:p>
            <w:pPr>
              <w:pStyle w:val="TableContents"/>
              <w:spacing w:lineRule="auto" w:line="252" w:before="0" w:after="0"/>
              <w:ind w:left="0" w:right="0" w:hanging="0"/>
              <w:jc w:val="left"/>
              <w:rPr>
                <w:rFonts w:ascii="Times New Roman" w:hAnsi="Times New Roman"/>
                <w:b w:val="false"/>
                <w:sz w:val="20"/>
              </w:rPr>
            </w:pPr>
            <w:r>
              <w:rPr>
                <w:rFonts w:ascii="Times New Roman" w:hAnsi="Times New Roman"/>
                <w:b w:val="false"/>
                <w:sz w:val="20"/>
              </w:rPr>
              <w:t>Participating threshold</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651" w:type="dxa"/>
            <w:tcBorders/>
            <w:shd w:fill="auto" w:val="clear"/>
            <w:vAlign w:val="center"/>
          </w:tcPr>
          <w:p>
            <w:pPr>
              <w:pStyle w:val="TableContents"/>
              <w:spacing w:lineRule="auto" w:line="252" w:before="0" w:after="0"/>
              <w:ind w:left="0" w:right="0" w:hanging="0"/>
              <w:jc w:val="center"/>
              <w:rPr>
                <w:rFonts w:ascii="Times New Roman" w:hAnsi="Times New Roman"/>
                <w:b w:val="false"/>
                <w:sz w:val="20"/>
              </w:rPr>
            </w:pPr>
            <w:r>
              <w:rPr>
                <w:rFonts w:ascii="Times New Roman" w:hAnsi="Times New Roman"/>
                <w:b w:val="false"/>
                <w:sz w:val="20"/>
              </w:rPr>
              <w:t>$6.36</w:t>
            </w:r>
          </w:p>
        </w:tc>
      </w:tr>
      <w:tr>
        <w:trPr/>
        <w:tc>
          <w:tcPr>
            <w:tcW w:w="2311" w:type="dxa"/>
            <w:tcBorders/>
            <w:shd w:fill="auto" w:val="clear"/>
            <w:vAlign w:val="center"/>
          </w:tcPr>
          <w:p>
            <w:pPr>
              <w:pStyle w:val="TableContents"/>
              <w:spacing w:lineRule="auto" w:line="252" w:before="0" w:after="0"/>
              <w:ind w:left="0" w:right="0" w:hanging="0"/>
              <w:jc w:val="left"/>
              <w:rPr>
                <w:rFonts w:ascii="Times New Roman" w:hAnsi="Times New Roman"/>
                <w:b w:val="false"/>
                <w:sz w:val="20"/>
              </w:rPr>
            </w:pPr>
            <w:r>
              <w:rPr>
                <w:rFonts w:ascii="Times New Roman" w:hAnsi="Times New Roman"/>
                <w:b w:val="false"/>
                <w:sz w:val="20"/>
              </w:rPr>
              <w:t>Risk free rate</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651" w:type="dxa"/>
            <w:tcBorders/>
            <w:shd w:fill="auto" w:val="clear"/>
            <w:vAlign w:val="center"/>
          </w:tcPr>
          <w:p>
            <w:pPr>
              <w:pStyle w:val="TableContents"/>
              <w:spacing w:lineRule="auto" w:line="252" w:before="0" w:after="0"/>
              <w:ind w:left="0" w:right="0" w:hanging="0"/>
              <w:jc w:val="center"/>
              <w:rPr>
                <w:rFonts w:ascii="Times New Roman" w:hAnsi="Times New Roman"/>
                <w:b w:val="false"/>
                <w:sz w:val="20"/>
              </w:rPr>
            </w:pPr>
            <w:r>
              <w:rPr>
                <w:rFonts w:ascii="Times New Roman" w:hAnsi="Times New Roman"/>
                <w:b w:val="false"/>
                <w:sz w:val="20"/>
              </w:rPr>
              <w:t>0.14%</w:t>
            </w:r>
          </w:p>
        </w:tc>
      </w:tr>
      <w:tr>
        <w:trPr/>
        <w:tc>
          <w:tcPr>
            <w:tcW w:w="2311" w:type="dxa"/>
            <w:tcBorders/>
            <w:shd w:fill="auto" w:val="clear"/>
            <w:vAlign w:val="center"/>
          </w:tcPr>
          <w:p>
            <w:pPr>
              <w:pStyle w:val="TableContents"/>
              <w:spacing w:lineRule="auto" w:line="252" w:before="0" w:after="0"/>
              <w:ind w:left="0" w:right="0" w:hanging="0"/>
              <w:jc w:val="left"/>
              <w:rPr>
                <w:rFonts w:ascii="Times New Roman" w:hAnsi="Times New Roman"/>
                <w:b w:val="false"/>
                <w:sz w:val="20"/>
              </w:rPr>
            </w:pPr>
            <w:r>
              <w:rPr>
                <w:rFonts w:ascii="Times New Roman" w:hAnsi="Times New Roman"/>
                <w:b w:val="false"/>
                <w:sz w:val="20"/>
              </w:rPr>
              <w:t>Volatility</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651" w:type="dxa"/>
            <w:tcBorders/>
            <w:shd w:fill="auto" w:val="clear"/>
            <w:vAlign w:val="center"/>
          </w:tcPr>
          <w:p>
            <w:pPr>
              <w:pStyle w:val="TableContents"/>
              <w:spacing w:lineRule="auto" w:line="252" w:before="0" w:after="0"/>
              <w:ind w:left="0" w:right="0" w:hanging="0"/>
              <w:jc w:val="center"/>
              <w:rPr>
                <w:rFonts w:ascii="Times New Roman" w:hAnsi="Times New Roman"/>
                <w:b w:val="false"/>
                <w:sz w:val="20"/>
              </w:rPr>
            </w:pPr>
            <w:r>
              <w:rPr>
                <w:rFonts w:ascii="Times New Roman" w:hAnsi="Times New Roman"/>
                <w:b w:val="false"/>
                <w:sz w:val="20"/>
              </w:rPr>
              <w:t>72.90%</w:t>
            </w:r>
          </w:p>
        </w:tc>
      </w:tr>
      <w:tr>
        <w:trPr/>
        <w:tc>
          <w:tcPr>
            <w:tcW w:w="2311" w:type="dxa"/>
            <w:tcBorders/>
            <w:shd w:fill="auto" w:val="clear"/>
            <w:vAlign w:val="center"/>
          </w:tcPr>
          <w:p>
            <w:pPr>
              <w:pStyle w:val="TableContents"/>
              <w:spacing w:lineRule="auto" w:line="252" w:before="0" w:after="0"/>
              <w:ind w:left="0" w:right="0" w:hanging="0"/>
              <w:jc w:val="left"/>
              <w:rPr>
                <w:rFonts w:ascii="Times New Roman" w:hAnsi="Times New Roman"/>
                <w:b w:val="false"/>
                <w:sz w:val="20"/>
              </w:rPr>
            </w:pPr>
            <w:r>
              <w:rPr>
                <w:rFonts w:ascii="Times New Roman" w:hAnsi="Times New Roman"/>
                <w:b w:val="false"/>
                <w:sz w:val="20"/>
              </w:rPr>
              <w:t>Time to liquidity (in years)</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651" w:type="dxa"/>
            <w:tcBorders/>
            <w:shd w:fill="auto" w:val="clear"/>
            <w:vAlign w:val="center"/>
          </w:tcPr>
          <w:p>
            <w:pPr>
              <w:pStyle w:val="TableContents"/>
              <w:spacing w:lineRule="auto" w:line="252" w:before="0" w:after="0"/>
              <w:ind w:left="0" w:right="0" w:hanging="0"/>
              <w:jc w:val="center"/>
              <w:rPr>
                <w:rFonts w:ascii="Times New Roman" w:hAnsi="Times New Roman"/>
                <w:sz w:val="20"/>
              </w:rPr>
            </w:pPr>
            <w:r>
              <w:rPr>
                <w:rFonts w:ascii="Times New Roman" w:hAnsi="Times New Roman"/>
                <w:b w:val="false"/>
                <w:sz w:val="20"/>
              </w:rPr>
              <w:t>0.20</w:t>
            </w:r>
            <w:r>
              <w:rPr>
                <w:rFonts w:ascii="Times New Roman" w:hAnsi="Times New Roman"/>
                <w:sz w:val="20"/>
              </w:rPr>
              <w:t> </w:t>
            </w:r>
            <w:r>
              <w:rPr>
                <w:rFonts w:ascii="Times New Roman" w:hAnsi="Times New Roman"/>
                <w:b w:val="false"/>
                <w:sz w:val="20"/>
              </w:rPr>
              <w:t>- 1.80</w:t>
            </w:r>
          </w:p>
        </w:tc>
      </w:tr>
      <w:tr>
        <w:trPr/>
        <w:tc>
          <w:tcPr>
            <w:tcW w:w="2311" w:type="dxa"/>
            <w:tcBorders/>
            <w:shd w:fill="auto" w:val="clear"/>
            <w:vAlign w:val="center"/>
          </w:tcPr>
          <w:p>
            <w:pPr>
              <w:pStyle w:val="TableContents"/>
              <w:spacing w:lineRule="auto" w:line="252" w:before="0" w:after="0"/>
              <w:ind w:left="0" w:right="0" w:hanging="0"/>
              <w:jc w:val="left"/>
              <w:rPr>
                <w:rFonts w:ascii="Times New Roman" w:hAnsi="Times New Roman"/>
                <w:b w:val="false"/>
                <w:sz w:val="20"/>
              </w:rPr>
            </w:pPr>
            <w:r>
              <w:rPr>
                <w:rFonts w:ascii="Times New Roman" w:hAnsi="Times New Roman"/>
                <w:b w:val="false"/>
                <w:sz w:val="20"/>
              </w:rPr>
              <w:t>Grant date fair value</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651" w:type="dxa"/>
            <w:tcBorders/>
            <w:shd w:fill="auto" w:val="clear"/>
            <w:vAlign w:val="center"/>
          </w:tcPr>
          <w:p>
            <w:pPr>
              <w:pStyle w:val="TableContents"/>
              <w:spacing w:lineRule="auto" w:line="252" w:before="0" w:after="0"/>
              <w:ind w:left="0" w:right="0" w:hanging="0"/>
              <w:jc w:val="center"/>
              <w:rPr>
                <w:rFonts w:ascii="Times New Roman" w:hAnsi="Times New Roman"/>
                <w:b w:val="false"/>
                <w:sz w:val="20"/>
              </w:rPr>
            </w:pPr>
            <w:r>
              <w:rPr>
                <w:rFonts w:ascii="Times New Roman" w:hAnsi="Times New Roman"/>
                <w:b w:val="false"/>
                <w:sz w:val="20"/>
              </w:rPr>
              <w:t>$4.52</w:t>
            </w:r>
          </w:p>
        </w:tc>
      </w:tr>
    </w:tbl>
    <w:p>
      <w:pPr>
        <w:pStyle w:val="TextBody"/>
        <w:spacing w:lineRule="auto" w:line="273" w:before="0" w:after="0"/>
        <w:jc w:val="left"/>
        <w:rPr/>
      </w:pPr>
      <w:r>
        <w:rPr/>
        <w:t> </w:t>
      </w:r>
    </w:p>
    <w:p>
      <w:pPr>
        <w:pStyle w:val="TextBody"/>
        <w:spacing w:lineRule="auto" w:line="273" w:before="120" w:after="0"/>
        <w:jc w:val="left"/>
        <w:rPr>
          <w:rFonts w:ascii="Times New Roman" w:hAnsi="Times New Roman"/>
          <w:b w:val="false"/>
          <w:sz w:val="20"/>
        </w:rPr>
      </w:pPr>
      <w:r>
        <w:rPr>
          <w:rFonts w:ascii="Times New Roman" w:hAnsi="Times New Roman"/>
          <w:b w:val="false"/>
          <w:sz w:val="20"/>
        </w:rPr>
        <w:t>During the Conversion, the Company converted all incentive shares to vested and unvested shares of common stock. As such, there was no incentive shares activity for the three months ended March 31, 2022.</w:t>
      </w:r>
    </w:p>
    <w:p>
      <w:pPr>
        <w:pStyle w:val="TextBody"/>
        <w:spacing w:lineRule="auto" w:line="273" w:before="120" w:after="0"/>
        <w:jc w:val="left"/>
        <w:rPr>
          <w:rFonts w:ascii="Times New Roman" w:hAnsi="Times New Roman"/>
          <w:b w:val="false"/>
          <w:sz w:val="20"/>
        </w:rPr>
      </w:pPr>
      <w:r>
        <w:rPr>
          <w:rFonts w:ascii="Times New Roman" w:hAnsi="Times New Roman"/>
          <w:b w:val="false"/>
          <w:sz w:val="20"/>
        </w:rPr>
        <w:t>The Company used the option pricing model to estimate the fair value of each incentive shares award on the date of grant. The members’ equity value was based on a recent enterprise valuation analysis performed and common share fair value. The participation threshold amounts were determined by the board of directors at the time of grant. The expected life of the awards granted during the period was determined based on an expected time to the liquidation event. The Company applied the risk-free interest rate based on the U.S. Treasury yield in effect at the time of the grant.</w:t>
      </w:r>
    </w:p>
    <w:p>
      <w:pPr>
        <w:pStyle w:val="TextBody"/>
        <w:spacing w:lineRule="auto" w:line="273" w:before="360" w:after="0"/>
        <w:jc w:val="left"/>
        <w:rPr>
          <w:rFonts w:ascii="Times New Roman" w:hAnsi="Times New Roman"/>
          <w:sz w:val="20"/>
        </w:rPr>
      </w:pPr>
      <w:r>
        <w:rPr>
          <w:rFonts w:ascii="Times New Roman" w:hAnsi="Times New Roman"/>
          <w:b/>
          <w:i/>
          <w:sz w:val="20"/>
        </w:rPr>
        <w:t>2021 Equity Incentive Plan</w:t>
      </w:r>
      <w:r>
        <w:rPr>
          <w:rFonts w:ascii="Times New Roman" w:hAnsi="Times New Roman"/>
          <w:sz w:val="20"/>
        </w:rPr>
        <w:t xml:space="preserve"> </w:t>
      </w:r>
    </w:p>
    <w:p>
      <w:pPr>
        <w:pStyle w:val="TextBody"/>
        <w:spacing w:lineRule="auto" w:line="273" w:before="120" w:after="0"/>
        <w:jc w:val="left"/>
        <w:rPr>
          <w:rFonts w:ascii="Times New Roman" w:hAnsi="Times New Roman"/>
          <w:sz w:val="20"/>
        </w:rPr>
      </w:pPr>
      <w:r>
        <w:rPr>
          <w:rFonts w:ascii="Times New Roman" w:hAnsi="Times New Roman"/>
          <w:b w:val="false"/>
          <w:sz w:val="20"/>
        </w:rPr>
        <w:t>The following table provides a summary of the unvested common stock awards activity during the three months ended March 31, 2022.</w:t>
      </w:r>
      <w:r>
        <w:rPr>
          <w:rFonts w:ascii="Times New Roman" w:hAnsi="Times New Roman"/>
          <w:sz w:val="20"/>
        </w:rPr>
        <w:t xml:space="preserve"> </w:t>
      </w:r>
    </w:p>
    <w:p>
      <w:pPr>
        <w:pStyle w:val="TextBody"/>
        <w:spacing w:lineRule="auto" w:line="273" w:before="0" w:after="0"/>
        <w:jc w:val="left"/>
        <w:rPr/>
      </w:pPr>
      <w:r>
        <w:rPr/>
        <w:t> </w:t>
      </w:r>
    </w:p>
    <w:tbl>
      <w:tblPr>
        <w:tblW w:w="7337" w:type="dxa"/>
        <w:jc w:val="left"/>
        <w:tblInd w:w="0" w:type="dxa"/>
        <w:tblCellMar>
          <w:top w:w="28" w:type="dxa"/>
          <w:left w:w="28" w:type="dxa"/>
          <w:bottom w:w="28" w:type="dxa"/>
          <w:right w:w="28" w:type="dxa"/>
        </w:tblCellMar>
      </w:tblPr>
      <w:tblGrid>
        <w:gridCol w:w="4156"/>
        <w:gridCol w:w="146"/>
        <w:gridCol w:w="146"/>
        <w:gridCol w:w="931"/>
        <w:gridCol w:w="166"/>
        <w:gridCol w:w="146"/>
        <w:gridCol w:w="391"/>
        <w:gridCol w:w="1064"/>
        <w:gridCol w:w="191"/>
      </w:tblGrid>
      <w:tr>
        <w:trPr/>
        <w:tc>
          <w:tcPr>
            <w:tcW w:w="415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931" w:type="dxa"/>
            <w:tcBorders/>
            <w:shd w:fill="auto" w:val="clear"/>
            <w:vAlign w:val="center"/>
          </w:tcPr>
          <w:p>
            <w:pPr>
              <w:pStyle w:val="TableContents"/>
              <w:spacing w:before="0" w:after="283"/>
              <w:rPr>
                <w:sz w:val="4"/>
                <w:szCs w:val="4"/>
              </w:rPr>
            </w:pPr>
            <w:r>
              <w:rPr>
                <w:sz w:val="4"/>
                <w:szCs w:val="4"/>
              </w:rPr>
            </w:r>
          </w:p>
        </w:tc>
        <w:tc>
          <w:tcPr>
            <w:tcW w:w="16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391" w:type="dxa"/>
            <w:tcBorders/>
            <w:shd w:fill="auto" w:val="clear"/>
            <w:vAlign w:val="center"/>
          </w:tcPr>
          <w:p>
            <w:pPr>
              <w:pStyle w:val="TableContents"/>
              <w:spacing w:before="0" w:after="283"/>
              <w:rPr>
                <w:sz w:val="4"/>
                <w:szCs w:val="4"/>
              </w:rPr>
            </w:pPr>
            <w:r>
              <w:rPr>
                <w:sz w:val="4"/>
                <w:szCs w:val="4"/>
              </w:rPr>
            </w:r>
          </w:p>
        </w:tc>
        <w:tc>
          <w:tcPr>
            <w:tcW w:w="1064" w:type="dxa"/>
            <w:tcBorders/>
            <w:shd w:fill="auto" w:val="clear"/>
            <w:vAlign w:val="center"/>
          </w:tcPr>
          <w:p>
            <w:pPr>
              <w:pStyle w:val="TableContents"/>
              <w:spacing w:before="0" w:after="283"/>
              <w:rPr>
                <w:sz w:val="4"/>
                <w:szCs w:val="4"/>
              </w:rPr>
            </w:pPr>
            <w:r>
              <w:rPr>
                <w:sz w:val="4"/>
                <w:szCs w:val="4"/>
              </w:rPr>
            </w:r>
          </w:p>
        </w:tc>
        <w:tc>
          <w:tcPr>
            <w:tcW w:w="191" w:type="dxa"/>
            <w:tcBorders/>
            <w:shd w:fill="auto" w:val="clear"/>
            <w:vAlign w:val="center"/>
          </w:tcPr>
          <w:p>
            <w:pPr>
              <w:pStyle w:val="TableContents"/>
              <w:spacing w:before="0" w:after="283"/>
              <w:rPr>
                <w:sz w:val="4"/>
                <w:szCs w:val="4"/>
              </w:rPr>
            </w:pPr>
            <w:r>
              <w:rPr>
                <w:sz w:val="4"/>
                <w:szCs w:val="4"/>
              </w:rPr>
            </w:r>
          </w:p>
        </w:tc>
      </w:tr>
      <w:tr>
        <w:trPr/>
        <w:tc>
          <w:tcPr>
            <w:tcW w:w="4156" w:type="dxa"/>
            <w:tcBorders/>
            <w:shd w:fill="auto" w:val="clear"/>
            <w:vAlign w:val="center"/>
          </w:tcPr>
          <w:p>
            <w:pPr>
              <w:pStyle w:val="TableContents"/>
              <w:spacing w:lineRule="auto" w:line="252" w:before="0" w:after="0"/>
              <w:ind w:left="0" w:right="0" w:hanging="0"/>
              <w:jc w:val="center"/>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077" w:type="dxa"/>
            <w:gridSpan w:val="2"/>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center"/>
              <w:rPr>
                <w:rFonts w:ascii="Times New Roman" w:hAnsi="Times New Roman"/>
                <w:b/>
                <w:sz w:val="16"/>
              </w:rPr>
            </w:pPr>
            <w:r>
              <w:rPr>
                <w:rFonts w:ascii="Times New Roman" w:hAnsi="Times New Roman"/>
                <w:b/>
                <w:sz w:val="16"/>
              </w:rPr>
              <w:t>Number of</w:t>
              <w:br/>
              <w:t>Shares</w:t>
            </w:r>
          </w:p>
        </w:tc>
        <w:tc>
          <w:tcPr>
            <w:tcW w:w="166"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center"/>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455" w:type="dxa"/>
            <w:gridSpan w:val="2"/>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center"/>
              <w:rPr>
                <w:rFonts w:ascii="Times New Roman" w:hAnsi="Times New Roman"/>
                <w:b/>
                <w:sz w:val="16"/>
              </w:rPr>
            </w:pPr>
            <w:r>
              <w:rPr>
                <w:rFonts w:ascii="Times New Roman" w:hAnsi="Times New Roman"/>
                <w:b/>
                <w:sz w:val="16"/>
              </w:rPr>
              <w:t>Weighted Average</w:t>
              <w:br/>
              <w:t>Grant Date</w:t>
              <w:br/>
              <w:t>Fair Value</w:t>
            </w:r>
          </w:p>
        </w:tc>
        <w:tc>
          <w:tcPr>
            <w:tcW w:w="191"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center"/>
              <w:rPr/>
            </w:pPr>
            <w:r>
              <w:rPr/>
              <w:t> </w:t>
            </w:r>
          </w:p>
        </w:tc>
      </w:tr>
      <w:tr>
        <w:trPr/>
        <w:tc>
          <w:tcPr>
            <w:tcW w:w="4156" w:type="dxa"/>
            <w:tcBorders/>
            <w:shd w:fill="auto" w:val="clear"/>
            <w:vAlign w:val="center"/>
          </w:tcPr>
          <w:p>
            <w:pPr>
              <w:pStyle w:val="TableContents"/>
              <w:spacing w:lineRule="auto" w:line="252" w:before="0" w:after="0"/>
              <w:ind w:left="0" w:right="0" w:hanging="0"/>
              <w:jc w:val="left"/>
              <w:rPr>
                <w:rFonts w:ascii="Times New Roman" w:hAnsi="Times New Roman"/>
                <w:b w:val="false"/>
                <w:sz w:val="20"/>
              </w:rPr>
            </w:pPr>
            <w:r>
              <w:rPr>
                <w:rFonts w:ascii="Times New Roman" w:hAnsi="Times New Roman"/>
                <w:b w:val="false"/>
                <w:sz w:val="20"/>
              </w:rPr>
              <w:t>Unvested common stock as of December 31, 2021</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931" w:type="dxa"/>
            <w:tcBorders/>
            <w:shd w:fill="auto" w:val="clear"/>
            <w:vAlign w:val="center"/>
          </w:tcPr>
          <w:p>
            <w:pPr>
              <w:pStyle w:val="TableContents"/>
              <w:spacing w:lineRule="auto" w:line="252" w:before="0" w:after="0"/>
              <w:ind w:left="0" w:right="0" w:hanging="0"/>
              <w:jc w:val="right"/>
              <w:rPr>
                <w:rFonts w:ascii="Times New Roman" w:hAnsi="Times New Roman"/>
                <w:b w:val="false"/>
                <w:sz w:val="20"/>
              </w:rPr>
            </w:pPr>
            <w:r>
              <w:rPr>
                <w:rFonts w:ascii="Times New Roman" w:hAnsi="Times New Roman"/>
                <w:b w:val="false"/>
                <w:sz w:val="20"/>
              </w:rPr>
              <w:t>3,753,862</w:t>
            </w:r>
          </w:p>
        </w:tc>
        <w:tc>
          <w:tcPr>
            <w:tcW w:w="166" w:type="dxa"/>
            <w:tcBorders/>
            <w:shd w:fill="auto" w:val="cle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391" w:type="dxa"/>
            <w:tcBorders/>
            <w:shd w:fill="auto" w:val="clear"/>
            <w:vAlign w:val="center"/>
          </w:tcPr>
          <w:p>
            <w:pPr>
              <w:pStyle w:val="TableContents"/>
              <w:spacing w:lineRule="auto" w:line="252" w:before="0" w:after="0"/>
              <w:ind w:left="0" w:right="0" w:hanging="0"/>
              <w:jc w:val="left"/>
              <w:rPr>
                <w:rFonts w:ascii="Times New Roman" w:hAnsi="Times New Roman"/>
                <w:b w:val="false"/>
                <w:sz w:val="20"/>
              </w:rPr>
            </w:pPr>
            <w:r>
              <w:rPr>
                <w:rFonts w:ascii="Times New Roman" w:hAnsi="Times New Roman"/>
                <w:b w:val="false"/>
                <w:sz w:val="20"/>
              </w:rPr>
              <w:t>$</w:t>
            </w:r>
          </w:p>
        </w:tc>
        <w:tc>
          <w:tcPr>
            <w:tcW w:w="1064" w:type="dxa"/>
            <w:tcBorders/>
            <w:shd w:fill="auto" w:val="clear"/>
            <w:vAlign w:val="center"/>
          </w:tcPr>
          <w:p>
            <w:pPr>
              <w:pStyle w:val="TableContents"/>
              <w:spacing w:lineRule="auto" w:line="252" w:before="0" w:after="0"/>
              <w:ind w:left="0" w:right="0" w:hanging="0"/>
              <w:jc w:val="right"/>
              <w:rPr>
                <w:rFonts w:ascii="Times New Roman" w:hAnsi="Times New Roman"/>
                <w:b w:val="false"/>
                <w:sz w:val="20"/>
              </w:rPr>
            </w:pPr>
            <w:r>
              <w:rPr>
                <w:rFonts w:ascii="Times New Roman" w:hAnsi="Times New Roman"/>
                <w:b w:val="false"/>
                <w:sz w:val="20"/>
              </w:rPr>
              <w:t>16.00</w:t>
            </w:r>
          </w:p>
        </w:tc>
        <w:tc>
          <w:tcPr>
            <w:tcW w:w="191" w:type="dxa"/>
            <w:tcBorders/>
            <w:shd w:fill="auto" w:val="clear"/>
            <w:vAlign w:val="center"/>
          </w:tcPr>
          <w:p>
            <w:pPr>
              <w:pStyle w:val="TableContents"/>
              <w:spacing w:lineRule="auto" w:line="252" w:before="0" w:after="0"/>
              <w:ind w:left="0" w:right="0" w:hanging="0"/>
              <w:jc w:val="left"/>
              <w:rPr/>
            </w:pPr>
            <w:r>
              <w:rPr/>
              <w:t> </w:t>
            </w:r>
          </w:p>
        </w:tc>
      </w:tr>
      <w:tr>
        <w:trPr/>
        <w:tc>
          <w:tcPr>
            <w:tcW w:w="4156" w:type="dxa"/>
            <w:tcBorders/>
            <w:shd w:fill="auto" w:val="clear"/>
            <w:vAlign w:val="center"/>
          </w:tcPr>
          <w:p>
            <w:pPr>
              <w:pStyle w:val="TableContents"/>
              <w:spacing w:lineRule="auto" w:line="252" w:before="0" w:after="0"/>
              <w:ind w:left="0" w:right="0" w:hanging="0"/>
              <w:jc w:val="left"/>
              <w:rPr>
                <w:rFonts w:ascii="Times New Roman" w:hAnsi="Times New Roman"/>
                <w:b w:val="false"/>
                <w:sz w:val="20"/>
              </w:rPr>
            </w:pPr>
            <w:r>
              <w:rPr>
                <w:rFonts w:ascii="Times New Roman" w:hAnsi="Times New Roman"/>
                <w:b w:val="false"/>
                <w:sz w:val="20"/>
              </w:rPr>
              <w:t>Vested</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931" w:type="dxa"/>
            <w:tcBorders/>
            <w:shd w:fill="auto" w:val="clear"/>
            <w:vAlign w:val="center"/>
          </w:tcPr>
          <w:p>
            <w:pPr>
              <w:pStyle w:val="TableContents"/>
              <w:spacing w:lineRule="auto" w:line="252" w:before="0" w:after="0"/>
              <w:ind w:left="0" w:right="0" w:hanging="0"/>
              <w:jc w:val="right"/>
              <w:rPr>
                <w:rFonts w:ascii="Times New Roman" w:hAnsi="Times New Roman"/>
                <w:b w:val="false"/>
                <w:sz w:val="20"/>
              </w:rPr>
            </w:pPr>
            <w:r>
              <w:rPr>
                <w:rFonts w:ascii="Times New Roman" w:hAnsi="Times New Roman"/>
                <w:b w:val="false"/>
                <w:sz w:val="20"/>
              </w:rPr>
              <w:t>(360,816</w:t>
            </w:r>
          </w:p>
        </w:tc>
        <w:tc>
          <w:tcPr>
            <w:tcW w:w="166" w:type="dxa"/>
            <w:tcBorders/>
            <w:shd w:fill="auto" w:val="clear"/>
            <w:vAlign w:val="center"/>
          </w:tcPr>
          <w:p>
            <w:pPr>
              <w:pStyle w:val="TableContents"/>
              <w:spacing w:lineRule="auto" w:line="252" w:before="0" w:after="0"/>
              <w:ind w:left="0" w:right="0" w:hanging="0"/>
              <w:jc w:val="left"/>
              <w:rPr>
                <w:rFonts w:ascii="Times New Roman" w:hAnsi="Times New Roman"/>
                <w:b w:val="false"/>
                <w:sz w:val="20"/>
              </w:rPr>
            </w:pPr>
            <w:r>
              <w:rPr>
                <w:rFonts w:ascii="Times New Roman" w:hAnsi="Times New Roman"/>
                <w:b w:val="false"/>
                <w:sz w:val="20"/>
              </w:rPr>
              <w:t>)</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391" w:type="dxa"/>
            <w:tcBorders/>
            <w:shd w:fill="auto" w:val="clear"/>
            <w:vAlign w:val="center"/>
          </w:tcPr>
          <w:p>
            <w:pPr>
              <w:pStyle w:val="TableContents"/>
              <w:spacing w:lineRule="auto" w:line="252" w:before="0" w:after="0"/>
              <w:ind w:left="0" w:right="0" w:hanging="0"/>
              <w:jc w:val="left"/>
              <w:rPr>
                <w:rFonts w:ascii="Times New Roman" w:hAnsi="Times New Roman"/>
                <w:b w:val="false"/>
                <w:sz w:val="20"/>
              </w:rPr>
            </w:pPr>
            <w:r>
              <w:rPr>
                <w:rFonts w:ascii="Times New Roman" w:hAnsi="Times New Roman"/>
                <w:b w:val="false"/>
                <w:sz w:val="20"/>
              </w:rPr>
              <w:t>$</w:t>
            </w:r>
          </w:p>
        </w:tc>
        <w:tc>
          <w:tcPr>
            <w:tcW w:w="1064" w:type="dxa"/>
            <w:tcBorders/>
            <w:shd w:fill="auto" w:val="clear"/>
            <w:vAlign w:val="center"/>
          </w:tcPr>
          <w:p>
            <w:pPr>
              <w:pStyle w:val="TableContents"/>
              <w:spacing w:lineRule="auto" w:line="252" w:before="0" w:after="0"/>
              <w:ind w:left="0" w:right="0" w:hanging="0"/>
              <w:jc w:val="right"/>
              <w:rPr>
                <w:rFonts w:ascii="Times New Roman" w:hAnsi="Times New Roman"/>
                <w:b w:val="false"/>
                <w:sz w:val="20"/>
              </w:rPr>
            </w:pPr>
            <w:r>
              <w:rPr>
                <w:rFonts w:ascii="Times New Roman" w:hAnsi="Times New Roman"/>
                <w:b w:val="false"/>
                <w:sz w:val="20"/>
              </w:rPr>
              <w:t>16.00</w:t>
            </w:r>
          </w:p>
        </w:tc>
        <w:tc>
          <w:tcPr>
            <w:tcW w:w="191" w:type="dxa"/>
            <w:tcBorders/>
            <w:shd w:fill="auto" w:val="clear"/>
            <w:vAlign w:val="center"/>
          </w:tcPr>
          <w:p>
            <w:pPr>
              <w:pStyle w:val="TableContents"/>
              <w:spacing w:lineRule="auto" w:line="252" w:before="0" w:after="0"/>
              <w:ind w:left="0" w:right="0" w:hanging="0"/>
              <w:jc w:val="left"/>
              <w:rPr/>
            </w:pPr>
            <w:r>
              <w:rPr/>
              <w:t> </w:t>
            </w:r>
          </w:p>
        </w:tc>
      </w:tr>
      <w:tr>
        <w:trPr/>
        <w:tc>
          <w:tcPr>
            <w:tcW w:w="4156" w:type="dxa"/>
            <w:tcBorders/>
            <w:shd w:fill="auto" w:val="clear"/>
            <w:vAlign w:val="center"/>
          </w:tcPr>
          <w:p>
            <w:pPr>
              <w:pStyle w:val="TableContents"/>
              <w:spacing w:lineRule="auto" w:line="252" w:before="0" w:after="0"/>
              <w:ind w:left="0" w:right="0" w:hanging="0"/>
              <w:jc w:val="left"/>
              <w:rPr>
                <w:rFonts w:ascii="Times New Roman" w:hAnsi="Times New Roman"/>
                <w:b w:val="false"/>
                <w:sz w:val="20"/>
              </w:rPr>
            </w:pPr>
            <w:r>
              <w:rPr>
                <w:rFonts w:ascii="Times New Roman" w:hAnsi="Times New Roman"/>
                <w:b w:val="false"/>
                <w:sz w:val="20"/>
              </w:rPr>
              <w:t>Forfeiture</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46"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c>
          <w:tcPr>
            <w:tcW w:w="931"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right"/>
              <w:rPr>
                <w:rFonts w:ascii="Times New Roman" w:hAnsi="Times New Roman"/>
                <w:b w:val="false"/>
                <w:sz w:val="20"/>
              </w:rPr>
            </w:pPr>
            <w:r>
              <w:rPr>
                <w:rFonts w:ascii="Times New Roman" w:hAnsi="Times New Roman"/>
                <w:b w:val="false"/>
                <w:sz w:val="20"/>
              </w:rPr>
              <w:t>(40,363</w:t>
            </w:r>
          </w:p>
        </w:tc>
        <w:tc>
          <w:tcPr>
            <w:tcW w:w="166"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rFonts w:ascii="Times New Roman" w:hAnsi="Times New Roman"/>
                <w:b w:val="false"/>
                <w:sz w:val="20"/>
              </w:rPr>
            </w:pPr>
            <w:r>
              <w:rPr>
                <w:rFonts w:ascii="Times New Roman" w:hAnsi="Times New Roman"/>
                <w:b w:val="false"/>
                <w:sz w:val="20"/>
              </w:rPr>
              <w:t>)</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391" w:type="dxa"/>
            <w:tcBorders/>
            <w:shd w:fill="auto" w:val="clear"/>
            <w:vAlign w:val="center"/>
          </w:tcPr>
          <w:p>
            <w:pPr>
              <w:pStyle w:val="TableContents"/>
              <w:spacing w:lineRule="auto" w:line="252" w:before="0" w:after="0"/>
              <w:ind w:left="0" w:right="0" w:hanging="0"/>
              <w:jc w:val="left"/>
              <w:rPr>
                <w:rFonts w:ascii="Times New Roman" w:hAnsi="Times New Roman"/>
                <w:b w:val="false"/>
                <w:sz w:val="20"/>
              </w:rPr>
            </w:pPr>
            <w:r>
              <w:rPr>
                <w:rFonts w:ascii="Times New Roman" w:hAnsi="Times New Roman"/>
                <w:b w:val="false"/>
                <w:sz w:val="20"/>
              </w:rPr>
              <w:t>$</w:t>
            </w:r>
          </w:p>
        </w:tc>
        <w:tc>
          <w:tcPr>
            <w:tcW w:w="1064" w:type="dxa"/>
            <w:tcBorders/>
            <w:shd w:fill="auto" w:val="clear"/>
            <w:vAlign w:val="center"/>
          </w:tcPr>
          <w:p>
            <w:pPr>
              <w:pStyle w:val="TableContents"/>
              <w:spacing w:lineRule="auto" w:line="252" w:before="0" w:after="0"/>
              <w:ind w:left="0" w:right="0" w:hanging="0"/>
              <w:jc w:val="right"/>
              <w:rPr>
                <w:rFonts w:ascii="Times New Roman" w:hAnsi="Times New Roman"/>
                <w:b w:val="false"/>
                <w:sz w:val="20"/>
              </w:rPr>
            </w:pPr>
            <w:r>
              <w:rPr>
                <w:rFonts w:ascii="Times New Roman" w:hAnsi="Times New Roman"/>
                <w:b w:val="false"/>
                <w:sz w:val="20"/>
              </w:rPr>
              <w:t>16.00</w:t>
            </w:r>
          </w:p>
        </w:tc>
        <w:tc>
          <w:tcPr>
            <w:tcW w:w="191" w:type="dxa"/>
            <w:tcBorders/>
            <w:shd w:fill="auto" w:val="clear"/>
            <w:vAlign w:val="center"/>
          </w:tcPr>
          <w:p>
            <w:pPr>
              <w:pStyle w:val="TableContents"/>
              <w:spacing w:lineRule="auto" w:line="252" w:before="0" w:after="0"/>
              <w:ind w:left="0" w:right="0" w:hanging="0"/>
              <w:jc w:val="left"/>
              <w:rPr/>
            </w:pPr>
            <w:r>
              <w:rPr/>
              <w:t> </w:t>
            </w:r>
          </w:p>
        </w:tc>
      </w:tr>
      <w:tr>
        <w:trPr/>
        <w:tc>
          <w:tcPr>
            <w:tcW w:w="4156" w:type="dxa"/>
            <w:tcBorders/>
            <w:shd w:fill="auto" w:val="clear"/>
            <w:vAlign w:val="center"/>
          </w:tcPr>
          <w:p>
            <w:pPr>
              <w:pStyle w:val="TableContents"/>
              <w:spacing w:lineRule="auto" w:line="252" w:before="0" w:after="0"/>
              <w:ind w:left="0" w:right="0" w:hanging="0"/>
              <w:jc w:val="left"/>
              <w:rPr>
                <w:rFonts w:ascii="Times New Roman" w:hAnsi="Times New Roman"/>
                <w:b w:val="false"/>
                <w:sz w:val="20"/>
              </w:rPr>
            </w:pPr>
            <w:r>
              <w:rPr>
                <w:rFonts w:ascii="Times New Roman" w:hAnsi="Times New Roman"/>
                <w:b w:val="false"/>
                <w:sz w:val="20"/>
              </w:rPr>
              <w:t>Unvested common stock as of March 31, 2022</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46" w:type="dxa"/>
            <w:tcBorders>
              <w:bottom w:val="double" w:sz="6"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c>
          <w:tcPr>
            <w:tcW w:w="931" w:type="dxa"/>
            <w:tcBorders>
              <w:bottom w:val="double" w:sz="6" w:space="0" w:color="000000"/>
            </w:tcBorders>
            <w:shd w:fill="auto" w:val="clear"/>
            <w:tcMar>
              <w:top w:w="0" w:type="dxa"/>
              <w:left w:w="0" w:type="dxa"/>
              <w:right w:w="0" w:type="dxa"/>
            </w:tcMar>
            <w:vAlign w:val="center"/>
          </w:tcPr>
          <w:p>
            <w:pPr>
              <w:pStyle w:val="TableContents"/>
              <w:spacing w:lineRule="auto" w:line="252" w:before="0" w:after="0"/>
              <w:ind w:left="0" w:right="0" w:hanging="0"/>
              <w:jc w:val="right"/>
              <w:rPr>
                <w:rFonts w:ascii="Times New Roman" w:hAnsi="Times New Roman"/>
                <w:b w:val="false"/>
                <w:sz w:val="20"/>
              </w:rPr>
            </w:pPr>
            <w:r>
              <w:rPr>
                <w:rFonts w:ascii="Times New Roman" w:hAnsi="Times New Roman"/>
                <w:b w:val="false"/>
                <w:sz w:val="20"/>
              </w:rPr>
              <w:t>3,352,683</w:t>
            </w:r>
          </w:p>
        </w:tc>
        <w:tc>
          <w:tcPr>
            <w:tcW w:w="166" w:type="dxa"/>
            <w:tcBorders>
              <w:bottom w:val="double" w:sz="6"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391" w:type="dxa"/>
            <w:tcBorders/>
            <w:shd w:fill="auto" w:val="clear"/>
            <w:vAlign w:val="center"/>
          </w:tcPr>
          <w:p>
            <w:pPr>
              <w:pStyle w:val="TableContents"/>
              <w:spacing w:lineRule="auto" w:line="252" w:before="0" w:after="0"/>
              <w:ind w:left="0" w:right="0" w:hanging="0"/>
              <w:jc w:val="left"/>
              <w:rPr>
                <w:rFonts w:ascii="Times New Roman" w:hAnsi="Times New Roman"/>
                <w:b w:val="false"/>
                <w:sz w:val="20"/>
              </w:rPr>
            </w:pPr>
            <w:r>
              <w:rPr>
                <w:rFonts w:ascii="Times New Roman" w:hAnsi="Times New Roman"/>
                <w:b w:val="false"/>
                <w:sz w:val="20"/>
              </w:rPr>
              <w:t>$</w:t>
            </w:r>
          </w:p>
        </w:tc>
        <w:tc>
          <w:tcPr>
            <w:tcW w:w="1064" w:type="dxa"/>
            <w:tcBorders/>
            <w:shd w:fill="auto" w:val="clear"/>
            <w:vAlign w:val="center"/>
          </w:tcPr>
          <w:p>
            <w:pPr>
              <w:pStyle w:val="TableContents"/>
              <w:spacing w:lineRule="auto" w:line="252" w:before="0" w:after="0"/>
              <w:ind w:left="0" w:right="0" w:hanging="0"/>
              <w:jc w:val="right"/>
              <w:rPr>
                <w:rFonts w:ascii="Times New Roman" w:hAnsi="Times New Roman"/>
                <w:b w:val="false"/>
                <w:sz w:val="20"/>
              </w:rPr>
            </w:pPr>
            <w:r>
              <w:rPr>
                <w:rFonts w:ascii="Times New Roman" w:hAnsi="Times New Roman"/>
                <w:b w:val="false"/>
                <w:sz w:val="20"/>
              </w:rPr>
              <w:t>16.00</w:t>
            </w:r>
          </w:p>
        </w:tc>
        <w:tc>
          <w:tcPr>
            <w:tcW w:w="191" w:type="dxa"/>
            <w:tcBorders/>
            <w:shd w:fill="auto" w:val="clear"/>
            <w:vAlign w:val="center"/>
          </w:tcPr>
          <w:p>
            <w:pPr>
              <w:pStyle w:val="TableContents"/>
              <w:spacing w:lineRule="auto" w:line="252" w:before="0" w:after="0"/>
              <w:ind w:left="0" w:right="0" w:hanging="0"/>
              <w:jc w:val="left"/>
              <w:rPr/>
            </w:pPr>
            <w:r>
              <w:rPr/>
              <w:t> </w:t>
            </w:r>
          </w:p>
        </w:tc>
      </w:tr>
    </w:tbl>
    <w:p>
      <w:pPr>
        <w:pStyle w:val="TextBody"/>
        <w:spacing w:lineRule="auto" w:line="273" w:before="0" w:after="0"/>
        <w:jc w:val="left"/>
        <w:rPr/>
      </w:pPr>
      <w:r>
        <w:rPr/>
        <w:t> </w:t>
      </w:r>
    </w:p>
    <w:p>
      <w:pPr>
        <w:pStyle w:val="TextBody"/>
        <w:spacing w:lineRule="auto" w:line="273" w:before="0" w:after="0"/>
        <w:jc w:val="left"/>
        <w:rPr>
          <w:rFonts w:ascii="Times New Roman" w:hAnsi="Times New Roman"/>
          <w:sz w:val="20"/>
        </w:rPr>
      </w:pPr>
      <w:r>
        <w:rPr>
          <w:rFonts w:ascii="Times New Roman" w:hAnsi="Times New Roman"/>
          <w:b w:val="false"/>
          <w:sz w:val="20"/>
        </w:rPr>
        <w:t>In May 2021, in connection with the IPO, the board of directors and stockholders approved the 2021 Equity Incentive Plan, or the 2021 Plan, which became effective on the day before the date of the effectiveness of the IPO. The 2021 Plan provides for the grant of incentive stock options, non-statutory stock options, stock appreciation rights, awards of restricted stock, restricted stock units and other stock-based awards. The number of shares of common stock reserved for issuance under the 2021 Plan is equal to the sum of: (x) 6,369,000</w:t>
      </w:r>
      <w:r>
        <w:rPr>
          <w:rFonts w:ascii="Times New Roman" w:hAnsi="Times New Roman"/>
          <w:sz w:val="20"/>
        </w:rPr>
        <w:t xml:space="preserve"> </w:t>
      </w:r>
      <w:r>
        <w:rPr>
          <w:rFonts w:ascii="Times New Roman" w:hAnsi="Times New Roman"/>
          <w:b w:val="false"/>
          <w:sz w:val="20"/>
        </w:rPr>
        <w:t>shares of common stock; plus (y) 4,719,605</w:t>
      </w:r>
      <w:r>
        <w:rPr>
          <w:rFonts w:ascii="Times New Roman" w:hAnsi="Times New Roman"/>
          <w:sz w:val="20"/>
        </w:rPr>
        <w:t xml:space="preserve"> </w:t>
      </w:r>
      <w:r>
        <w:rPr>
          <w:rFonts w:ascii="Times New Roman" w:hAnsi="Times New Roman"/>
          <w:b w:val="false"/>
          <w:sz w:val="20"/>
        </w:rPr>
        <w:t>shares of common stock issued in respect of the Conversion of incentive shares that were subject to vesting immediately prior to the effectiveness of the registration statement for the IPO that expire, terminate or are otherwise surrendered, canceled, forfeited or repurchased by us at their original issuance price pursuant to a contractual repurchase right. The number of shares available for grant and issuance under the 2021 Plan will be automatically increased on the first day of each fiscal year, beginning with the fiscal year commencing on January 1, 2021 and continuing for each fiscal year until, and including, the fiscal year commencing on January 1, 2031, by the lesser of (a) 5% of the number of shares of all classes of the Company’s common stock, plus the total number of shares of Company common stock issuable upon conversion of any preferred stock or exercise of any warrants to acquire shares of Company common stock for a nominal exercise price issued and outstanding on each December 31 immediately prior to the date of increase or (b) such number of shares determined by the board of directors.</w:t>
      </w:r>
      <w:r>
        <w:rPr>
          <w:rFonts w:ascii="Times New Roman" w:hAnsi="Times New Roman"/>
          <w:sz w:val="20"/>
        </w:rPr>
        <w:t xml:space="preserve"> </w:t>
      </w:r>
    </w:p>
    <w:p>
      <w:pPr>
        <w:pStyle w:val="TextBody"/>
        <w:spacing w:lineRule="auto" w:line="273" w:before="120" w:after="0"/>
        <w:jc w:val="left"/>
        <w:rPr>
          <w:rFonts w:ascii="Times New Roman" w:hAnsi="Times New Roman"/>
          <w:sz w:val="20"/>
        </w:rPr>
      </w:pPr>
      <w:r>
        <w:rPr>
          <w:rFonts w:ascii="Times New Roman" w:hAnsi="Times New Roman"/>
          <w:b w:val="false"/>
          <w:sz w:val="20"/>
        </w:rPr>
        <w:t>The following table provides a summary of stock option activity under the 2021 Plan during the three months ended March 31, 2022.</w:t>
      </w:r>
      <w:r>
        <w:rPr>
          <w:rFonts w:ascii="Times New Roman" w:hAnsi="Times New Roman"/>
          <w:sz w:val="20"/>
        </w:rPr>
        <w:t xml:space="preserve"> </w:t>
      </w:r>
    </w:p>
    <w:p>
      <w:pPr>
        <w:pStyle w:val="TextBody"/>
        <w:spacing w:lineRule="auto" w:line="273" w:before="0" w:after="0"/>
        <w:jc w:val="left"/>
        <w:rPr/>
      </w:pPr>
      <w:r>
        <w:rPr/>
        <w:t> </w:t>
      </w:r>
    </w:p>
    <w:p>
      <w:pPr>
        <w:pStyle w:val="TextBody"/>
        <w:spacing w:lineRule="auto" w:line="273" w:before="0" w:after="0"/>
        <w:jc w:val="center"/>
        <w:rPr>
          <w:rFonts w:ascii="Times New Roman" w:hAnsi="Times New Roman"/>
          <w:b w:val="false"/>
          <w:sz w:val="20"/>
        </w:rPr>
      </w:pPr>
      <w:r>
        <w:rPr>
          <w:rFonts w:ascii="Times New Roman" w:hAnsi="Times New Roman"/>
          <w:b w:val="false"/>
          <w:sz w:val="20"/>
        </w:rPr>
        <w:t>15</w:t>
      </w:r>
    </w:p>
    <w:p>
      <w:pPr>
        <w:pStyle w:val="HorizontalLine"/>
        <w:rPr/>
      </w:pPr>
      <w:r>
        <w:rPr/>
      </w:r>
    </w:p>
    <w:p>
      <w:pPr>
        <w:pStyle w:val="TextBody"/>
        <w:spacing w:lineRule="auto" w:line="273" w:before="0" w:after="120"/>
        <w:jc w:val="center"/>
        <w:rPr>
          <w:rFonts w:ascii="Times New Roman" w:hAnsi="Times New Roman"/>
          <w:b/>
          <w:sz w:val="20"/>
        </w:rPr>
      </w:pPr>
      <w:r>
        <w:rPr>
          <w:rFonts w:ascii="Times New Roman" w:hAnsi="Times New Roman"/>
          <w:b/>
          <w:sz w:val="20"/>
        </w:rPr>
        <w:t>Notes to the Condensed Consolidated Financial Statements</w:t>
      </w:r>
    </w:p>
    <w:tbl>
      <w:tblPr>
        <w:tblW w:w="9363" w:type="dxa"/>
        <w:jc w:val="left"/>
        <w:tblInd w:w="0" w:type="dxa"/>
        <w:tblCellMar>
          <w:top w:w="28" w:type="dxa"/>
          <w:left w:w="28" w:type="dxa"/>
          <w:bottom w:w="28" w:type="dxa"/>
          <w:right w:w="28" w:type="dxa"/>
        </w:tblCellMar>
      </w:tblPr>
      <w:tblGrid>
        <w:gridCol w:w="2941"/>
        <w:gridCol w:w="146"/>
        <w:gridCol w:w="146"/>
        <w:gridCol w:w="931"/>
        <w:gridCol w:w="166"/>
        <w:gridCol w:w="146"/>
        <w:gridCol w:w="396"/>
        <w:gridCol w:w="1075"/>
        <w:gridCol w:w="146"/>
        <w:gridCol w:w="146"/>
        <w:gridCol w:w="423"/>
        <w:gridCol w:w="1048"/>
        <w:gridCol w:w="146"/>
        <w:gridCol w:w="146"/>
        <w:gridCol w:w="442"/>
        <w:gridCol w:w="728"/>
        <w:gridCol w:w="191"/>
      </w:tblGrid>
      <w:tr>
        <w:trPr/>
        <w:tc>
          <w:tcPr>
            <w:tcW w:w="2941"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931" w:type="dxa"/>
            <w:tcBorders/>
            <w:shd w:fill="auto" w:val="clear"/>
            <w:vAlign w:val="center"/>
          </w:tcPr>
          <w:p>
            <w:pPr>
              <w:pStyle w:val="TableContents"/>
              <w:spacing w:before="0" w:after="283"/>
              <w:rPr>
                <w:sz w:val="4"/>
                <w:szCs w:val="4"/>
              </w:rPr>
            </w:pPr>
            <w:r>
              <w:rPr>
                <w:sz w:val="4"/>
                <w:szCs w:val="4"/>
              </w:rPr>
            </w:r>
          </w:p>
        </w:tc>
        <w:tc>
          <w:tcPr>
            <w:tcW w:w="16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396" w:type="dxa"/>
            <w:tcBorders/>
            <w:shd w:fill="auto" w:val="clear"/>
            <w:vAlign w:val="center"/>
          </w:tcPr>
          <w:p>
            <w:pPr>
              <w:pStyle w:val="TableContents"/>
              <w:spacing w:before="0" w:after="283"/>
              <w:rPr>
                <w:sz w:val="4"/>
                <w:szCs w:val="4"/>
              </w:rPr>
            </w:pPr>
            <w:r>
              <w:rPr>
                <w:sz w:val="4"/>
                <w:szCs w:val="4"/>
              </w:rPr>
            </w:r>
          </w:p>
        </w:tc>
        <w:tc>
          <w:tcPr>
            <w:tcW w:w="1075"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423" w:type="dxa"/>
            <w:tcBorders/>
            <w:shd w:fill="auto" w:val="clear"/>
            <w:vAlign w:val="center"/>
          </w:tcPr>
          <w:p>
            <w:pPr>
              <w:pStyle w:val="TableContents"/>
              <w:spacing w:before="0" w:after="283"/>
              <w:rPr>
                <w:sz w:val="4"/>
                <w:szCs w:val="4"/>
              </w:rPr>
            </w:pPr>
            <w:r>
              <w:rPr>
                <w:sz w:val="4"/>
                <w:szCs w:val="4"/>
              </w:rPr>
            </w:r>
          </w:p>
        </w:tc>
        <w:tc>
          <w:tcPr>
            <w:tcW w:w="1048"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442" w:type="dxa"/>
            <w:tcBorders/>
            <w:shd w:fill="auto" w:val="clear"/>
            <w:vAlign w:val="center"/>
          </w:tcPr>
          <w:p>
            <w:pPr>
              <w:pStyle w:val="TableContents"/>
              <w:spacing w:before="0" w:after="283"/>
              <w:rPr>
                <w:sz w:val="4"/>
                <w:szCs w:val="4"/>
              </w:rPr>
            </w:pPr>
            <w:r>
              <w:rPr>
                <w:sz w:val="4"/>
                <w:szCs w:val="4"/>
              </w:rPr>
            </w:r>
          </w:p>
        </w:tc>
        <w:tc>
          <w:tcPr>
            <w:tcW w:w="728" w:type="dxa"/>
            <w:tcBorders/>
            <w:shd w:fill="auto" w:val="clear"/>
            <w:vAlign w:val="center"/>
          </w:tcPr>
          <w:p>
            <w:pPr>
              <w:pStyle w:val="TableContents"/>
              <w:spacing w:before="0" w:after="283"/>
              <w:rPr>
                <w:sz w:val="4"/>
                <w:szCs w:val="4"/>
              </w:rPr>
            </w:pPr>
            <w:r>
              <w:rPr>
                <w:sz w:val="4"/>
                <w:szCs w:val="4"/>
              </w:rPr>
            </w:r>
          </w:p>
        </w:tc>
        <w:tc>
          <w:tcPr>
            <w:tcW w:w="191" w:type="dxa"/>
            <w:tcBorders/>
            <w:shd w:fill="auto" w:val="clear"/>
            <w:vAlign w:val="center"/>
          </w:tcPr>
          <w:p>
            <w:pPr>
              <w:pStyle w:val="TableContents"/>
              <w:spacing w:before="0" w:after="283"/>
              <w:rPr>
                <w:sz w:val="4"/>
                <w:szCs w:val="4"/>
              </w:rPr>
            </w:pPr>
            <w:r>
              <w:rPr>
                <w:sz w:val="4"/>
                <w:szCs w:val="4"/>
              </w:rPr>
            </w:r>
          </w:p>
        </w:tc>
      </w:tr>
      <w:tr>
        <w:trPr/>
        <w:tc>
          <w:tcPr>
            <w:tcW w:w="2941" w:type="dxa"/>
            <w:tcBorders/>
            <w:shd w:fill="auto" w:val="clear"/>
            <w:vAlign w:val="center"/>
          </w:tcPr>
          <w:p>
            <w:pPr>
              <w:pStyle w:val="TableContents"/>
              <w:spacing w:lineRule="auto" w:line="252" w:before="0" w:after="0"/>
              <w:ind w:left="0" w:right="0" w:hanging="0"/>
              <w:jc w:val="center"/>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077" w:type="dxa"/>
            <w:gridSpan w:val="2"/>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center"/>
              <w:rPr>
                <w:rFonts w:ascii="Times New Roman" w:hAnsi="Times New Roman"/>
                <w:b/>
                <w:sz w:val="16"/>
              </w:rPr>
            </w:pPr>
            <w:r>
              <w:rPr>
                <w:rFonts w:ascii="Times New Roman" w:hAnsi="Times New Roman"/>
                <w:b/>
                <w:sz w:val="16"/>
              </w:rPr>
              <w:t>Options</w:t>
            </w:r>
          </w:p>
        </w:tc>
        <w:tc>
          <w:tcPr>
            <w:tcW w:w="166"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center"/>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471" w:type="dxa"/>
            <w:gridSpan w:val="2"/>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center"/>
              <w:rPr>
                <w:rFonts w:ascii="Times New Roman" w:hAnsi="Times New Roman"/>
                <w:b/>
                <w:sz w:val="16"/>
              </w:rPr>
            </w:pPr>
            <w:r>
              <w:rPr>
                <w:rFonts w:ascii="Times New Roman" w:hAnsi="Times New Roman"/>
                <w:b/>
                <w:sz w:val="16"/>
              </w:rPr>
              <w:t>Weighted-Average</w:t>
              <w:br/>
              <w:t>Exercise Price</w:t>
            </w:r>
          </w:p>
        </w:tc>
        <w:tc>
          <w:tcPr>
            <w:tcW w:w="146"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center"/>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471" w:type="dxa"/>
            <w:gridSpan w:val="2"/>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center"/>
              <w:rPr>
                <w:rFonts w:ascii="Times New Roman" w:hAnsi="Times New Roman"/>
                <w:b/>
                <w:sz w:val="16"/>
              </w:rPr>
            </w:pPr>
            <w:r>
              <w:rPr>
                <w:rFonts w:ascii="Times New Roman" w:hAnsi="Times New Roman"/>
                <w:b/>
                <w:sz w:val="16"/>
              </w:rPr>
              <w:t>Weighted-Average</w:t>
              <w:br/>
              <w:t xml:space="preserve">Remaining </w:t>
              <w:br/>
              <w:t>Contractual Term</w:t>
            </w:r>
          </w:p>
        </w:tc>
        <w:tc>
          <w:tcPr>
            <w:tcW w:w="146"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center"/>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170" w:type="dxa"/>
            <w:gridSpan w:val="2"/>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center"/>
              <w:rPr>
                <w:rFonts w:ascii="Times New Roman" w:hAnsi="Times New Roman"/>
                <w:b/>
                <w:sz w:val="16"/>
              </w:rPr>
            </w:pPr>
            <w:r>
              <w:rPr>
                <w:rFonts w:ascii="Times New Roman" w:hAnsi="Times New Roman"/>
                <w:b/>
                <w:sz w:val="16"/>
              </w:rPr>
              <w:t xml:space="preserve">Aggregate </w:t>
              <w:br/>
              <w:t>Intrinsic Value</w:t>
              <w:br/>
              <w:t>(in thousands)</w:t>
            </w:r>
          </w:p>
        </w:tc>
        <w:tc>
          <w:tcPr>
            <w:tcW w:w="191"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center"/>
              <w:rPr/>
            </w:pPr>
            <w:r>
              <w:rPr/>
              <w:t> </w:t>
            </w:r>
          </w:p>
        </w:tc>
      </w:tr>
      <w:tr>
        <w:trPr/>
        <w:tc>
          <w:tcPr>
            <w:tcW w:w="2941" w:type="dxa"/>
            <w:tcBorders/>
            <w:shd w:fill="auto" w:val="clear"/>
            <w:vAlign w:val="center"/>
          </w:tcPr>
          <w:p>
            <w:pPr>
              <w:pStyle w:val="TableContents"/>
              <w:spacing w:lineRule="auto" w:line="252" w:before="0" w:after="0"/>
              <w:ind w:left="0" w:right="0" w:hanging="0"/>
              <w:jc w:val="left"/>
              <w:rPr>
                <w:rFonts w:ascii="Times New Roman" w:hAnsi="Times New Roman"/>
                <w:b w:val="false"/>
                <w:sz w:val="20"/>
              </w:rPr>
            </w:pPr>
            <w:r>
              <w:rPr>
                <w:rFonts w:ascii="Times New Roman" w:hAnsi="Times New Roman"/>
                <w:b w:val="false"/>
                <w:sz w:val="20"/>
              </w:rPr>
              <w:t>Outstanding at December 31, 2021</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931" w:type="dxa"/>
            <w:tcBorders/>
            <w:shd w:fill="auto" w:val="clear"/>
            <w:vAlign w:val="center"/>
          </w:tcPr>
          <w:p>
            <w:pPr>
              <w:pStyle w:val="TableContents"/>
              <w:spacing w:lineRule="auto" w:line="252" w:before="0" w:after="0"/>
              <w:ind w:left="0" w:right="0" w:hanging="0"/>
              <w:jc w:val="right"/>
              <w:rPr>
                <w:rFonts w:ascii="Times New Roman" w:hAnsi="Times New Roman"/>
                <w:b w:val="false"/>
                <w:sz w:val="20"/>
              </w:rPr>
            </w:pPr>
            <w:r>
              <w:rPr>
                <w:rFonts w:ascii="Times New Roman" w:hAnsi="Times New Roman"/>
                <w:b w:val="false"/>
                <w:sz w:val="20"/>
              </w:rPr>
              <w:t>5,071,896</w:t>
            </w:r>
          </w:p>
        </w:tc>
        <w:tc>
          <w:tcPr>
            <w:tcW w:w="166" w:type="dxa"/>
            <w:tcBorders/>
            <w:shd w:fill="auto" w:val="cle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396" w:type="dxa"/>
            <w:tcBorders/>
            <w:shd w:fill="auto" w:val="clear"/>
            <w:vAlign w:val="center"/>
          </w:tcPr>
          <w:p>
            <w:pPr>
              <w:pStyle w:val="TableContents"/>
              <w:spacing w:lineRule="auto" w:line="252" w:before="0" w:after="0"/>
              <w:ind w:left="0" w:right="0" w:hanging="0"/>
              <w:jc w:val="left"/>
              <w:rPr>
                <w:rFonts w:ascii="Times New Roman" w:hAnsi="Times New Roman"/>
                <w:b w:val="false"/>
                <w:sz w:val="20"/>
              </w:rPr>
            </w:pPr>
            <w:r>
              <w:rPr>
                <w:rFonts w:ascii="Times New Roman" w:hAnsi="Times New Roman"/>
                <w:b w:val="false"/>
                <w:sz w:val="20"/>
              </w:rPr>
              <w:t>$</w:t>
            </w:r>
          </w:p>
        </w:tc>
        <w:tc>
          <w:tcPr>
            <w:tcW w:w="1075" w:type="dxa"/>
            <w:tcBorders/>
            <w:shd w:fill="auto" w:val="clear"/>
            <w:vAlign w:val="center"/>
          </w:tcPr>
          <w:p>
            <w:pPr>
              <w:pStyle w:val="TableContents"/>
              <w:spacing w:lineRule="auto" w:line="252" w:before="0" w:after="0"/>
              <w:ind w:left="0" w:right="0" w:hanging="0"/>
              <w:jc w:val="right"/>
              <w:rPr>
                <w:rFonts w:ascii="Times New Roman" w:hAnsi="Times New Roman"/>
                <w:b w:val="false"/>
                <w:sz w:val="20"/>
              </w:rPr>
            </w:pPr>
            <w:r>
              <w:rPr>
                <w:rFonts w:ascii="Times New Roman" w:hAnsi="Times New Roman"/>
                <w:b w:val="false"/>
                <w:sz w:val="20"/>
              </w:rPr>
              <w:t>16.90</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471" w:type="dxa"/>
            <w:gridSpan w:val="2"/>
            <w:tcBorders/>
            <w:shd w:fill="auto" w:val="clear"/>
            <w:vAlign w:val="center"/>
          </w:tcPr>
          <w:p>
            <w:pPr>
              <w:pStyle w:val="TableContents"/>
              <w:spacing w:lineRule="auto" w:line="252" w:before="0" w:after="0"/>
              <w:ind w:left="0" w:right="0" w:hanging="0"/>
              <w:jc w:val="right"/>
              <w:rPr/>
            </w:pPr>
            <w:r>
              <w:rPr/>
              <w:t> </w:t>
            </w:r>
          </w:p>
        </w:tc>
        <w:tc>
          <w:tcPr>
            <w:tcW w:w="146" w:type="dxa"/>
            <w:tcBorders/>
            <w:shd w:fill="auto" w:val="clear"/>
            <w:vAlign w:val="center"/>
          </w:tcPr>
          <w:p>
            <w:pPr>
              <w:pStyle w:val="TableContents"/>
              <w:spacing w:lineRule="auto" w:line="252" w:before="0" w:after="0"/>
              <w:ind w:left="0" w:right="0" w:hanging="0"/>
              <w:jc w:val="righ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170" w:type="dxa"/>
            <w:gridSpan w:val="2"/>
            <w:tcBorders/>
            <w:shd w:fill="auto" w:val="clear"/>
            <w:vAlign w:val="center"/>
          </w:tcPr>
          <w:p>
            <w:pPr>
              <w:pStyle w:val="TableContents"/>
              <w:spacing w:lineRule="auto" w:line="252" w:before="0" w:after="0"/>
              <w:ind w:left="0" w:right="0" w:hanging="0"/>
              <w:jc w:val="right"/>
              <w:rPr/>
            </w:pPr>
            <w:r>
              <w:rPr/>
              <w:t> </w:t>
            </w:r>
          </w:p>
        </w:tc>
        <w:tc>
          <w:tcPr>
            <w:tcW w:w="191" w:type="dxa"/>
            <w:tcBorders/>
            <w:shd w:fill="auto" w:val="clear"/>
            <w:vAlign w:val="center"/>
          </w:tcPr>
          <w:p>
            <w:pPr>
              <w:pStyle w:val="TableContents"/>
              <w:spacing w:lineRule="auto" w:line="252" w:before="0" w:after="0"/>
              <w:ind w:left="0" w:right="0" w:hanging="0"/>
              <w:jc w:val="right"/>
              <w:rPr/>
            </w:pPr>
            <w:r>
              <w:rPr/>
              <w:t> </w:t>
            </w:r>
          </w:p>
        </w:tc>
      </w:tr>
      <w:tr>
        <w:trPr/>
        <w:tc>
          <w:tcPr>
            <w:tcW w:w="2941" w:type="dxa"/>
            <w:tcBorders/>
            <w:shd w:fill="auto" w:val="clear"/>
            <w:vAlign w:val="center"/>
          </w:tcPr>
          <w:p>
            <w:pPr>
              <w:pStyle w:val="TableContents"/>
              <w:spacing w:lineRule="auto" w:line="252" w:before="0" w:after="0"/>
              <w:ind w:left="0" w:right="0" w:hanging="0"/>
              <w:jc w:val="left"/>
              <w:rPr>
                <w:rFonts w:ascii="Times New Roman" w:hAnsi="Times New Roman"/>
                <w:b w:val="false"/>
                <w:sz w:val="20"/>
              </w:rPr>
            </w:pPr>
            <w:r>
              <w:rPr>
                <w:rFonts w:ascii="Times New Roman" w:hAnsi="Times New Roman"/>
                <w:b w:val="false"/>
                <w:sz w:val="20"/>
              </w:rPr>
              <w:t>Granted</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931" w:type="dxa"/>
            <w:tcBorders/>
            <w:shd w:fill="auto" w:val="clear"/>
            <w:vAlign w:val="center"/>
          </w:tcPr>
          <w:p>
            <w:pPr>
              <w:pStyle w:val="TableContents"/>
              <w:spacing w:lineRule="auto" w:line="252" w:before="0" w:after="0"/>
              <w:ind w:left="0" w:right="0" w:hanging="0"/>
              <w:jc w:val="right"/>
              <w:rPr>
                <w:rFonts w:ascii="Times New Roman" w:hAnsi="Times New Roman"/>
                <w:b w:val="false"/>
                <w:sz w:val="20"/>
              </w:rPr>
            </w:pPr>
            <w:r>
              <w:rPr>
                <w:rFonts w:ascii="Times New Roman" w:hAnsi="Times New Roman"/>
                <w:b w:val="false"/>
                <w:sz w:val="20"/>
              </w:rPr>
              <w:t>2,008,230</w:t>
            </w:r>
          </w:p>
        </w:tc>
        <w:tc>
          <w:tcPr>
            <w:tcW w:w="166" w:type="dxa"/>
            <w:tcBorders/>
            <w:shd w:fill="auto" w:val="cle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396" w:type="dxa"/>
            <w:tcBorders/>
            <w:shd w:fill="auto" w:val="clear"/>
            <w:vAlign w:val="center"/>
          </w:tcPr>
          <w:p>
            <w:pPr>
              <w:pStyle w:val="TableContents"/>
              <w:spacing w:lineRule="auto" w:line="252" w:before="0" w:after="0"/>
              <w:ind w:left="0" w:right="0" w:hanging="0"/>
              <w:jc w:val="left"/>
              <w:rPr>
                <w:rFonts w:ascii="Times New Roman" w:hAnsi="Times New Roman"/>
                <w:b w:val="false"/>
                <w:sz w:val="20"/>
              </w:rPr>
            </w:pPr>
            <w:r>
              <w:rPr>
                <w:rFonts w:ascii="Times New Roman" w:hAnsi="Times New Roman"/>
                <w:b w:val="false"/>
                <w:sz w:val="20"/>
              </w:rPr>
              <w:t>$</w:t>
            </w:r>
          </w:p>
        </w:tc>
        <w:tc>
          <w:tcPr>
            <w:tcW w:w="1075" w:type="dxa"/>
            <w:tcBorders/>
            <w:shd w:fill="auto" w:val="clear"/>
            <w:vAlign w:val="center"/>
          </w:tcPr>
          <w:p>
            <w:pPr>
              <w:pStyle w:val="TableContents"/>
              <w:spacing w:lineRule="auto" w:line="252" w:before="0" w:after="0"/>
              <w:ind w:left="0" w:right="0" w:hanging="0"/>
              <w:jc w:val="right"/>
              <w:rPr>
                <w:rFonts w:ascii="Times New Roman" w:hAnsi="Times New Roman"/>
                <w:b w:val="false"/>
                <w:sz w:val="20"/>
              </w:rPr>
            </w:pPr>
            <w:r>
              <w:rPr>
                <w:rFonts w:ascii="Times New Roman" w:hAnsi="Times New Roman"/>
                <w:b w:val="false"/>
                <w:sz w:val="20"/>
              </w:rPr>
              <w:t>14.22</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471" w:type="dxa"/>
            <w:gridSpan w:val="2"/>
            <w:tcBorders/>
            <w:shd w:fill="auto" w:val="clear"/>
            <w:vAlign w:val="center"/>
          </w:tcPr>
          <w:p>
            <w:pPr>
              <w:pStyle w:val="TableContents"/>
              <w:spacing w:lineRule="auto" w:line="252" w:before="0" w:after="0"/>
              <w:ind w:left="0" w:right="0" w:hanging="0"/>
              <w:jc w:val="right"/>
              <w:rPr/>
            </w:pPr>
            <w:r>
              <w:rPr/>
              <w:t> </w:t>
            </w:r>
          </w:p>
        </w:tc>
        <w:tc>
          <w:tcPr>
            <w:tcW w:w="146" w:type="dxa"/>
            <w:tcBorders/>
            <w:shd w:fill="auto" w:val="clear"/>
            <w:vAlign w:val="center"/>
          </w:tcPr>
          <w:p>
            <w:pPr>
              <w:pStyle w:val="TableContents"/>
              <w:spacing w:lineRule="auto" w:line="252" w:before="0" w:after="0"/>
              <w:ind w:left="0" w:right="0" w:hanging="0"/>
              <w:jc w:val="righ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170" w:type="dxa"/>
            <w:gridSpan w:val="2"/>
            <w:tcBorders/>
            <w:shd w:fill="auto" w:val="clear"/>
            <w:vAlign w:val="center"/>
          </w:tcPr>
          <w:p>
            <w:pPr>
              <w:pStyle w:val="TableContents"/>
              <w:spacing w:lineRule="auto" w:line="252" w:before="0" w:after="0"/>
              <w:ind w:left="0" w:right="0" w:hanging="0"/>
              <w:jc w:val="right"/>
              <w:rPr/>
            </w:pPr>
            <w:r>
              <w:rPr/>
              <w:t> </w:t>
            </w:r>
          </w:p>
        </w:tc>
        <w:tc>
          <w:tcPr>
            <w:tcW w:w="191" w:type="dxa"/>
            <w:tcBorders/>
            <w:shd w:fill="auto" w:val="clear"/>
            <w:vAlign w:val="center"/>
          </w:tcPr>
          <w:p>
            <w:pPr>
              <w:pStyle w:val="TableContents"/>
              <w:spacing w:lineRule="auto" w:line="252" w:before="0" w:after="0"/>
              <w:ind w:left="0" w:right="0" w:hanging="0"/>
              <w:jc w:val="right"/>
              <w:rPr/>
            </w:pPr>
            <w:r>
              <w:rPr/>
              <w:t> </w:t>
            </w:r>
          </w:p>
        </w:tc>
      </w:tr>
      <w:tr>
        <w:trPr/>
        <w:tc>
          <w:tcPr>
            <w:tcW w:w="2941" w:type="dxa"/>
            <w:tcBorders/>
            <w:shd w:fill="auto" w:val="clear"/>
            <w:vAlign w:val="center"/>
          </w:tcPr>
          <w:p>
            <w:pPr>
              <w:pStyle w:val="TableContents"/>
              <w:spacing w:lineRule="auto" w:line="252" w:before="0" w:after="0"/>
              <w:ind w:left="0" w:right="0" w:hanging="0"/>
              <w:jc w:val="left"/>
              <w:rPr>
                <w:rFonts w:ascii="Times New Roman" w:hAnsi="Times New Roman"/>
                <w:b w:val="false"/>
                <w:sz w:val="20"/>
              </w:rPr>
            </w:pPr>
            <w:r>
              <w:rPr>
                <w:rFonts w:ascii="Times New Roman" w:hAnsi="Times New Roman"/>
                <w:b w:val="false"/>
                <w:sz w:val="20"/>
              </w:rPr>
              <w:t>Forfeiture</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46"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c>
          <w:tcPr>
            <w:tcW w:w="931"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right"/>
              <w:rPr>
                <w:rFonts w:ascii="Times New Roman" w:hAnsi="Times New Roman"/>
                <w:b w:val="false"/>
                <w:sz w:val="20"/>
              </w:rPr>
            </w:pPr>
            <w:r>
              <w:rPr>
                <w:rFonts w:ascii="Times New Roman" w:hAnsi="Times New Roman"/>
                <w:b w:val="false"/>
                <w:sz w:val="20"/>
              </w:rPr>
              <w:t>(61,898</w:t>
            </w:r>
          </w:p>
        </w:tc>
        <w:tc>
          <w:tcPr>
            <w:tcW w:w="166"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rFonts w:ascii="Times New Roman" w:hAnsi="Times New Roman"/>
                <w:b w:val="false"/>
                <w:sz w:val="20"/>
              </w:rPr>
            </w:pPr>
            <w:r>
              <w:rPr>
                <w:rFonts w:ascii="Times New Roman" w:hAnsi="Times New Roman"/>
                <w:b w:val="false"/>
                <w:sz w:val="20"/>
              </w:rPr>
              <w:t>)</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396" w:type="dxa"/>
            <w:tcBorders/>
            <w:shd w:fill="auto" w:val="clear"/>
            <w:vAlign w:val="center"/>
          </w:tcPr>
          <w:p>
            <w:pPr>
              <w:pStyle w:val="TableContents"/>
              <w:spacing w:lineRule="auto" w:line="252" w:before="0" w:after="0"/>
              <w:ind w:left="0" w:right="0" w:hanging="0"/>
              <w:jc w:val="left"/>
              <w:rPr>
                <w:rFonts w:ascii="Times New Roman" w:hAnsi="Times New Roman"/>
                <w:b w:val="false"/>
                <w:sz w:val="20"/>
              </w:rPr>
            </w:pPr>
            <w:r>
              <w:rPr>
                <w:rFonts w:ascii="Times New Roman" w:hAnsi="Times New Roman"/>
                <w:b w:val="false"/>
                <w:sz w:val="20"/>
              </w:rPr>
              <w:t>$</w:t>
            </w:r>
          </w:p>
        </w:tc>
        <w:tc>
          <w:tcPr>
            <w:tcW w:w="1075" w:type="dxa"/>
            <w:tcBorders/>
            <w:shd w:fill="auto" w:val="clear"/>
            <w:vAlign w:val="center"/>
          </w:tcPr>
          <w:p>
            <w:pPr>
              <w:pStyle w:val="TableContents"/>
              <w:spacing w:lineRule="auto" w:line="252" w:before="0" w:after="0"/>
              <w:ind w:left="0" w:right="0" w:hanging="0"/>
              <w:jc w:val="right"/>
              <w:rPr>
                <w:rFonts w:ascii="Times New Roman" w:hAnsi="Times New Roman"/>
                <w:b w:val="false"/>
                <w:sz w:val="20"/>
              </w:rPr>
            </w:pPr>
            <w:r>
              <w:rPr>
                <w:rFonts w:ascii="Times New Roman" w:hAnsi="Times New Roman"/>
                <w:b w:val="false"/>
                <w:sz w:val="20"/>
              </w:rPr>
              <w:t>16.78</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471" w:type="dxa"/>
            <w:gridSpan w:val="2"/>
            <w:tcBorders/>
            <w:shd w:fill="auto" w:val="clear"/>
            <w:vAlign w:val="center"/>
          </w:tcPr>
          <w:p>
            <w:pPr>
              <w:pStyle w:val="TableContents"/>
              <w:spacing w:lineRule="auto" w:line="252" w:before="0" w:after="0"/>
              <w:ind w:left="0" w:right="0" w:hanging="0"/>
              <w:jc w:val="right"/>
              <w:rPr/>
            </w:pPr>
            <w:r>
              <w:rPr/>
              <w:t> </w:t>
            </w:r>
          </w:p>
        </w:tc>
        <w:tc>
          <w:tcPr>
            <w:tcW w:w="146" w:type="dxa"/>
            <w:tcBorders/>
            <w:shd w:fill="auto" w:val="clear"/>
            <w:vAlign w:val="center"/>
          </w:tcPr>
          <w:p>
            <w:pPr>
              <w:pStyle w:val="TableContents"/>
              <w:spacing w:lineRule="auto" w:line="252" w:before="0" w:after="0"/>
              <w:ind w:left="0" w:right="0" w:hanging="0"/>
              <w:jc w:val="righ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170" w:type="dxa"/>
            <w:gridSpan w:val="2"/>
            <w:tcBorders/>
            <w:shd w:fill="auto" w:val="clear"/>
            <w:vAlign w:val="center"/>
          </w:tcPr>
          <w:p>
            <w:pPr>
              <w:pStyle w:val="TableContents"/>
              <w:spacing w:lineRule="auto" w:line="252" w:before="0" w:after="0"/>
              <w:ind w:left="0" w:right="0" w:hanging="0"/>
              <w:jc w:val="right"/>
              <w:rPr/>
            </w:pPr>
            <w:r>
              <w:rPr/>
              <w:t> </w:t>
            </w:r>
          </w:p>
        </w:tc>
        <w:tc>
          <w:tcPr>
            <w:tcW w:w="191" w:type="dxa"/>
            <w:tcBorders/>
            <w:shd w:fill="auto" w:val="clear"/>
            <w:vAlign w:val="center"/>
          </w:tcPr>
          <w:p>
            <w:pPr>
              <w:pStyle w:val="TableContents"/>
              <w:spacing w:lineRule="auto" w:line="252" w:before="0" w:after="0"/>
              <w:ind w:left="0" w:right="0" w:hanging="0"/>
              <w:jc w:val="right"/>
              <w:rPr/>
            </w:pPr>
            <w:r>
              <w:rPr/>
              <w:t> </w:t>
            </w:r>
          </w:p>
        </w:tc>
      </w:tr>
      <w:tr>
        <w:trPr/>
        <w:tc>
          <w:tcPr>
            <w:tcW w:w="2941" w:type="dxa"/>
            <w:tcBorders/>
            <w:shd w:fill="auto" w:val="clear"/>
            <w:vAlign w:val="center"/>
          </w:tcPr>
          <w:p>
            <w:pPr>
              <w:pStyle w:val="TableContents"/>
              <w:spacing w:lineRule="auto" w:line="252" w:before="0" w:after="0"/>
              <w:ind w:left="0" w:right="0" w:hanging="0"/>
              <w:jc w:val="left"/>
              <w:rPr>
                <w:rFonts w:ascii="Times New Roman" w:hAnsi="Times New Roman"/>
                <w:b w:val="false"/>
                <w:sz w:val="20"/>
              </w:rPr>
            </w:pPr>
            <w:r>
              <w:rPr>
                <w:rFonts w:ascii="Times New Roman" w:hAnsi="Times New Roman"/>
                <w:b w:val="false"/>
                <w:sz w:val="20"/>
              </w:rPr>
              <w:t>Outstanding at March 31, 2022</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46"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c>
          <w:tcPr>
            <w:tcW w:w="931"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right"/>
              <w:rPr>
                <w:rFonts w:ascii="Times New Roman" w:hAnsi="Times New Roman"/>
                <w:b w:val="false"/>
                <w:sz w:val="20"/>
              </w:rPr>
            </w:pPr>
            <w:r>
              <w:rPr>
                <w:rFonts w:ascii="Times New Roman" w:hAnsi="Times New Roman"/>
                <w:b w:val="false"/>
                <w:sz w:val="20"/>
              </w:rPr>
              <w:t>7,018,228</w:t>
            </w:r>
          </w:p>
        </w:tc>
        <w:tc>
          <w:tcPr>
            <w:tcW w:w="166"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396" w:type="dxa"/>
            <w:tcBorders/>
            <w:shd w:fill="auto" w:val="clear"/>
            <w:vAlign w:val="center"/>
          </w:tcPr>
          <w:p>
            <w:pPr>
              <w:pStyle w:val="TableContents"/>
              <w:spacing w:lineRule="auto" w:line="252" w:before="0" w:after="0"/>
              <w:ind w:left="0" w:right="0" w:hanging="0"/>
              <w:jc w:val="left"/>
              <w:rPr>
                <w:rFonts w:ascii="Times New Roman" w:hAnsi="Times New Roman"/>
                <w:b w:val="false"/>
                <w:sz w:val="20"/>
              </w:rPr>
            </w:pPr>
            <w:r>
              <w:rPr>
                <w:rFonts w:ascii="Times New Roman" w:hAnsi="Times New Roman"/>
                <w:b w:val="false"/>
                <w:sz w:val="20"/>
              </w:rPr>
              <w:t>$</w:t>
            </w:r>
          </w:p>
        </w:tc>
        <w:tc>
          <w:tcPr>
            <w:tcW w:w="1075" w:type="dxa"/>
            <w:tcBorders/>
            <w:shd w:fill="auto" w:val="clear"/>
            <w:vAlign w:val="center"/>
          </w:tcPr>
          <w:p>
            <w:pPr>
              <w:pStyle w:val="TableContents"/>
              <w:spacing w:lineRule="auto" w:line="252" w:before="0" w:after="0"/>
              <w:ind w:left="0" w:right="0" w:hanging="0"/>
              <w:jc w:val="right"/>
              <w:rPr>
                <w:rFonts w:ascii="Times New Roman" w:hAnsi="Times New Roman"/>
                <w:b w:val="false"/>
                <w:sz w:val="20"/>
              </w:rPr>
            </w:pPr>
            <w:r>
              <w:rPr>
                <w:rFonts w:ascii="Times New Roman" w:hAnsi="Times New Roman"/>
                <w:b w:val="false"/>
                <w:sz w:val="20"/>
              </w:rPr>
              <w:t>16.13</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423" w:type="dxa"/>
            <w:tcBorders/>
            <w:shd w:fill="auto" w:val="clear"/>
            <w:vAlign w:val="center"/>
          </w:tcPr>
          <w:p>
            <w:pPr>
              <w:pStyle w:val="TableContents"/>
              <w:spacing w:lineRule="auto" w:line="252" w:before="0" w:after="0"/>
              <w:ind w:left="0" w:right="0" w:hanging="0"/>
              <w:jc w:val="left"/>
              <w:rPr/>
            </w:pPr>
            <w:r>
              <w:rPr/>
              <w:t> </w:t>
            </w:r>
          </w:p>
        </w:tc>
        <w:tc>
          <w:tcPr>
            <w:tcW w:w="1048" w:type="dxa"/>
            <w:tcBorders/>
            <w:shd w:fill="auto" w:val="clear"/>
            <w:vAlign w:val="center"/>
          </w:tcPr>
          <w:p>
            <w:pPr>
              <w:pStyle w:val="TableContents"/>
              <w:spacing w:lineRule="auto" w:line="252" w:before="0" w:after="0"/>
              <w:ind w:left="0" w:right="0" w:hanging="0"/>
              <w:jc w:val="right"/>
              <w:rPr>
                <w:rFonts w:ascii="Times New Roman" w:hAnsi="Times New Roman"/>
                <w:b w:val="false"/>
                <w:sz w:val="20"/>
              </w:rPr>
            </w:pPr>
            <w:r>
              <w:rPr>
                <w:rFonts w:ascii="Times New Roman" w:hAnsi="Times New Roman"/>
                <w:b w:val="false"/>
                <w:sz w:val="20"/>
              </w:rPr>
              <w:t>9.3</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442" w:type="dxa"/>
            <w:tcBorders/>
            <w:shd w:fill="auto" w:val="clear"/>
            <w:vAlign w:val="center"/>
          </w:tcPr>
          <w:p>
            <w:pPr>
              <w:pStyle w:val="TableContents"/>
              <w:spacing w:lineRule="auto" w:line="252" w:before="0" w:after="0"/>
              <w:ind w:left="0" w:right="0" w:hanging="0"/>
              <w:jc w:val="left"/>
              <w:rPr>
                <w:rFonts w:ascii="Times New Roman" w:hAnsi="Times New Roman"/>
                <w:b w:val="false"/>
                <w:sz w:val="20"/>
              </w:rPr>
            </w:pPr>
            <w:r>
              <w:rPr>
                <w:rFonts w:ascii="Times New Roman" w:hAnsi="Times New Roman"/>
                <w:b w:val="false"/>
                <w:sz w:val="20"/>
              </w:rPr>
              <w:t>$</w:t>
            </w:r>
          </w:p>
        </w:tc>
        <w:tc>
          <w:tcPr>
            <w:tcW w:w="728" w:type="dxa"/>
            <w:tcBorders/>
            <w:shd w:fill="auto" w:val="clear"/>
            <w:vAlign w:val="center"/>
          </w:tcPr>
          <w:p>
            <w:pPr>
              <w:pStyle w:val="TableContents"/>
              <w:spacing w:lineRule="auto" w:line="252" w:before="0" w:after="0"/>
              <w:ind w:left="0" w:right="0" w:hanging="0"/>
              <w:jc w:val="right"/>
              <w:rPr>
                <w:rFonts w:ascii="Times New Roman" w:hAnsi="Times New Roman"/>
                <w:b w:val="false"/>
                <w:sz w:val="20"/>
              </w:rPr>
            </w:pPr>
            <w:r>
              <w:rPr>
                <w:rFonts w:ascii="Times New Roman" w:hAnsi="Times New Roman"/>
                <w:b w:val="false"/>
                <w:sz w:val="20"/>
              </w:rPr>
              <w:t>26</w:t>
            </w:r>
          </w:p>
        </w:tc>
        <w:tc>
          <w:tcPr>
            <w:tcW w:w="191" w:type="dxa"/>
            <w:tcBorders/>
            <w:shd w:fill="auto" w:val="clear"/>
            <w:vAlign w:val="center"/>
          </w:tcPr>
          <w:p>
            <w:pPr>
              <w:pStyle w:val="TableContents"/>
              <w:spacing w:lineRule="auto" w:line="252" w:before="0" w:after="0"/>
              <w:ind w:left="0" w:right="0" w:hanging="0"/>
              <w:jc w:val="left"/>
              <w:rPr/>
            </w:pPr>
            <w:r>
              <w:rPr/>
              <w:t> </w:t>
            </w:r>
          </w:p>
        </w:tc>
      </w:tr>
      <w:tr>
        <w:trPr/>
        <w:tc>
          <w:tcPr>
            <w:tcW w:w="2941" w:type="dxa"/>
            <w:tcBorders/>
            <w:shd w:fill="auto" w:val="clear"/>
            <w:vAlign w:val="center"/>
          </w:tcPr>
          <w:p>
            <w:pPr>
              <w:pStyle w:val="TableContents"/>
              <w:spacing w:lineRule="auto" w:line="252" w:before="0" w:after="0"/>
              <w:ind w:left="0" w:right="0" w:hanging="0"/>
              <w:jc w:val="left"/>
              <w:rPr>
                <w:rFonts w:ascii="Times New Roman" w:hAnsi="Times New Roman"/>
                <w:b w:val="false"/>
                <w:sz w:val="20"/>
              </w:rPr>
            </w:pPr>
            <w:r>
              <w:rPr>
                <w:rFonts w:ascii="Times New Roman" w:hAnsi="Times New Roman"/>
                <w:b w:val="false"/>
                <w:sz w:val="20"/>
              </w:rPr>
              <w:t>Exercisable at March 31, 2022</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931" w:type="dxa"/>
            <w:tcBorders/>
            <w:shd w:fill="auto" w:val="clear"/>
            <w:vAlign w:val="center"/>
          </w:tcPr>
          <w:p>
            <w:pPr>
              <w:pStyle w:val="TableContents"/>
              <w:spacing w:lineRule="auto" w:line="252" w:before="0" w:after="0"/>
              <w:ind w:left="0" w:right="0" w:hanging="0"/>
              <w:jc w:val="right"/>
              <w:rPr>
                <w:rFonts w:ascii="Times New Roman" w:hAnsi="Times New Roman"/>
                <w:b w:val="false"/>
                <w:sz w:val="20"/>
              </w:rPr>
            </w:pPr>
            <w:r>
              <w:rPr>
                <w:rFonts w:ascii="Times New Roman" w:hAnsi="Times New Roman"/>
                <w:b w:val="false"/>
                <w:sz w:val="20"/>
              </w:rPr>
              <w:t>293,995</w:t>
            </w:r>
          </w:p>
        </w:tc>
        <w:tc>
          <w:tcPr>
            <w:tcW w:w="166" w:type="dxa"/>
            <w:tcBorders/>
            <w:shd w:fill="auto" w:val="cle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396" w:type="dxa"/>
            <w:tcBorders/>
            <w:shd w:fill="auto" w:val="clear"/>
            <w:vAlign w:val="center"/>
          </w:tcPr>
          <w:p>
            <w:pPr>
              <w:pStyle w:val="TableContents"/>
              <w:spacing w:lineRule="auto" w:line="252" w:before="0" w:after="0"/>
              <w:ind w:left="0" w:right="0" w:hanging="0"/>
              <w:jc w:val="left"/>
              <w:rPr>
                <w:rFonts w:ascii="Times New Roman" w:hAnsi="Times New Roman"/>
                <w:b w:val="false"/>
                <w:sz w:val="20"/>
              </w:rPr>
            </w:pPr>
            <w:r>
              <w:rPr>
                <w:rFonts w:ascii="Times New Roman" w:hAnsi="Times New Roman"/>
                <w:b w:val="false"/>
                <w:sz w:val="20"/>
              </w:rPr>
              <w:t>$</w:t>
            </w:r>
          </w:p>
        </w:tc>
        <w:tc>
          <w:tcPr>
            <w:tcW w:w="1075" w:type="dxa"/>
            <w:tcBorders/>
            <w:shd w:fill="auto" w:val="clear"/>
            <w:vAlign w:val="center"/>
          </w:tcPr>
          <w:p>
            <w:pPr>
              <w:pStyle w:val="TableContents"/>
              <w:spacing w:lineRule="auto" w:line="252" w:before="0" w:after="0"/>
              <w:ind w:left="0" w:right="0" w:hanging="0"/>
              <w:jc w:val="right"/>
              <w:rPr>
                <w:rFonts w:ascii="Times New Roman" w:hAnsi="Times New Roman"/>
                <w:b w:val="false"/>
                <w:sz w:val="20"/>
              </w:rPr>
            </w:pPr>
            <w:r>
              <w:rPr>
                <w:rFonts w:ascii="Times New Roman" w:hAnsi="Times New Roman"/>
                <w:b w:val="false"/>
                <w:sz w:val="20"/>
              </w:rPr>
              <w:t>15.91</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423" w:type="dxa"/>
            <w:tcBorders/>
            <w:shd w:fill="auto" w:val="clear"/>
            <w:vAlign w:val="center"/>
          </w:tcPr>
          <w:p>
            <w:pPr>
              <w:pStyle w:val="TableContents"/>
              <w:spacing w:lineRule="auto" w:line="252" w:before="0" w:after="0"/>
              <w:ind w:left="0" w:right="0" w:hanging="0"/>
              <w:jc w:val="left"/>
              <w:rPr/>
            </w:pPr>
            <w:r>
              <w:rPr/>
              <w:t> </w:t>
            </w:r>
          </w:p>
        </w:tc>
        <w:tc>
          <w:tcPr>
            <w:tcW w:w="1048" w:type="dxa"/>
            <w:tcBorders/>
            <w:shd w:fill="auto" w:val="clear"/>
            <w:vAlign w:val="center"/>
          </w:tcPr>
          <w:p>
            <w:pPr>
              <w:pStyle w:val="TableContents"/>
              <w:spacing w:lineRule="auto" w:line="252" w:before="0" w:after="0"/>
              <w:ind w:left="0" w:right="0" w:hanging="0"/>
              <w:jc w:val="right"/>
              <w:rPr>
                <w:rFonts w:ascii="Times New Roman" w:hAnsi="Times New Roman"/>
                <w:b w:val="false"/>
                <w:sz w:val="20"/>
              </w:rPr>
            </w:pPr>
            <w:r>
              <w:rPr>
                <w:rFonts w:ascii="Times New Roman" w:hAnsi="Times New Roman"/>
                <w:b w:val="false"/>
                <w:sz w:val="20"/>
              </w:rPr>
              <w:t>9.2</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442" w:type="dxa"/>
            <w:tcBorders/>
            <w:shd w:fill="auto" w:val="clear"/>
            <w:vAlign w:val="center"/>
          </w:tcPr>
          <w:p>
            <w:pPr>
              <w:pStyle w:val="TableContents"/>
              <w:spacing w:lineRule="auto" w:line="252" w:before="0" w:after="0"/>
              <w:ind w:left="0" w:right="0" w:hanging="0"/>
              <w:jc w:val="left"/>
              <w:rPr>
                <w:rFonts w:ascii="Times New Roman" w:hAnsi="Times New Roman"/>
                <w:b w:val="false"/>
                <w:sz w:val="20"/>
              </w:rPr>
            </w:pPr>
            <w:r>
              <w:rPr>
                <w:rFonts w:ascii="Times New Roman" w:hAnsi="Times New Roman"/>
                <w:b w:val="false"/>
                <w:sz w:val="20"/>
              </w:rPr>
              <w:t>$</w:t>
            </w:r>
          </w:p>
        </w:tc>
        <w:tc>
          <w:tcPr>
            <w:tcW w:w="728" w:type="dxa"/>
            <w:tcBorders/>
            <w:shd w:fill="auto" w:val="clear"/>
            <w:vAlign w:val="center"/>
          </w:tcPr>
          <w:p>
            <w:pPr>
              <w:pStyle w:val="TableContents"/>
              <w:spacing w:lineRule="auto" w:line="252" w:before="0" w:after="0"/>
              <w:ind w:left="0" w:right="0" w:hanging="0"/>
              <w:jc w:val="right"/>
              <w:rPr/>
            </w:pPr>
            <w:r>
              <w:rPr/>
              <w:t>—</w:t>
            </w:r>
          </w:p>
        </w:tc>
        <w:tc>
          <w:tcPr>
            <w:tcW w:w="191" w:type="dxa"/>
            <w:tcBorders/>
            <w:shd w:fill="auto" w:val="clear"/>
            <w:vAlign w:val="center"/>
          </w:tcPr>
          <w:p>
            <w:pPr>
              <w:pStyle w:val="TableContents"/>
              <w:spacing w:lineRule="auto" w:line="252" w:before="0" w:after="0"/>
              <w:ind w:left="0" w:right="0" w:hanging="0"/>
              <w:jc w:val="left"/>
              <w:rPr/>
            </w:pPr>
            <w:r>
              <w:rPr/>
              <w:t> </w:t>
            </w:r>
          </w:p>
        </w:tc>
      </w:tr>
    </w:tbl>
    <w:p>
      <w:pPr>
        <w:pStyle w:val="TextBody"/>
        <w:spacing w:lineRule="auto" w:line="273" w:before="120" w:after="0"/>
        <w:jc w:val="left"/>
        <w:rPr/>
      </w:pPr>
      <w:r>
        <w:rPr/>
        <w:t> </w:t>
      </w:r>
    </w:p>
    <w:p>
      <w:pPr>
        <w:pStyle w:val="TextBody"/>
        <w:spacing w:lineRule="auto" w:line="273" w:before="120" w:after="0"/>
        <w:jc w:val="left"/>
        <w:rPr>
          <w:rFonts w:ascii="Times New Roman" w:hAnsi="Times New Roman"/>
          <w:sz w:val="20"/>
        </w:rPr>
      </w:pPr>
      <w:r>
        <w:rPr>
          <w:rFonts w:ascii="Times New Roman" w:hAnsi="Times New Roman"/>
          <w:b w:val="false"/>
          <w:sz w:val="20"/>
        </w:rPr>
        <w:t>Aggregate intrinsic value represents the difference between the estimated fair value of the underlying common stock and the exercise price of outstanding, in-the-money options.</w:t>
        <w:br/>
      </w:r>
      <w:r>
        <w:rPr>
          <w:rFonts w:ascii="Times New Roman" w:hAnsi="Times New Roman"/>
          <w:sz w:val="20"/>
        </w:rPr>
        <w:t> </w:t>
      </w:r>
    </w:p>
    <w:p>
      <w:pPr>
        <w:pStyle w:val="TextBody"/>
        <w:spacing w:lineRule="auto" w:line="273" w:before="120" w:after="0"/>
        <w:jc w:val="left"/>
        <w:rPr>
          <w:rFonts w:ascii="Times New Roman" w:hAnsi="Times New Roman"/>
          <w:sz w:val="20"/>
        </w:rPr>
      </w:pPr>
      <w:r>
        <w:rPr>
          <w:rFonts w:ascii="Times New Roman" w:hAnsi="Times New Roman"/>
          <w:b w:val="false"/>
          <w:sz w:val="20"/>
        </w:rPr>
        <w:t>The total fair value of options that vested during the three months ended March 31, 2022 was $1.7</w:t>
      </w:r>
      <w:r>
        <w:rPr>
          <w:rFonts w:ascii="Times New Roman" w:hAnsi="Times New Roman"/>
          <w:sz w:val="20"/>
        </w:rPr>
        <w:t xml:space="preserve"> </w:t>
      </w:r>
      <w:r>
        <w:rPr>
          <w:rFonts w:ascii="Times New Roman" w:hAnsi="Times New Roman"/>
          <w:b w:val="false"/>
          <w:sz w:val="20"/>
        </w:rPr>
        <w:t>million. The weighted-average grant date fair value of options granted during the three months ended March 31, 2022 was $8.47</w:t>
      </w:r>
      <w:r>
        <w:rPr>
          <w:rFonts w:ascii="Times New Roman" w:hAnsi="Times New Roman"/>
          <w:sz w:val="20"/>
        </w:rPr>
        <w:t xml:space="preserve"> </w:t>
      </w:r>
      <w:r>
        <w:rPr>
          <w:rFonts w:ascii="Times New Roman" w:hAnsi="Times New Roman"/>
          <w:b w:val="false"/>
          <w:sz w:val="20"/>
        </w:rPr>
        <w:t>per share.</w:t>
      </w:r>
    </w:p>
    <w:p>
      <w:pPr>
        <w:pStyle w:val="TextBody"/>
        <w:spacing w:lineRule="auto" w:line="273" w:before="120" w:after="0"/>
        <w:jc w:val="left"/>
        <w:rPr>
          <w:rFonts w:ascii="Times New Roman" w:hAnsi="Times New Roman"/>
          <w:sz w:val="20"/>
        </w:rPr>
      </w:pPr>
      <w:r>
        <w:rPr>
          <w:rFonts w:ascii="Times New Roman" w:hAnsi="Times New Roman"/>
          <w:b w:val="false"/>
          <w:sz w:val="20"/>
        </w:rPr>
        <w:t>Unamortized stock-based compensation for stock options as of March 31, 2022 was $53.0</w:t>
      </w:r>
      <w:r>
        <w:rPr>
          <w:rFonts w:ascii="Times New Roman" w:hAnsi="Times New Roman"/>
          <w:sz w:val="20"/>
        </w:rPr>
        <w:t xml:space="preserve"> </w:t>
      </w:r>
      <w:r>
        <w:rPr>
          <w:rFonts w:ascii="Times New Roman" w:hAnsi="Times New Roman"/>
          <w:b w:val="false"/>
          <w:sz w:val="20"/>
        </w:rPr>
        <w:t>million, which is expected to be recognized over a weighted-average period of 3.3</w:t>
      </w:r>
      <w:r>
        <w:rPr>
          <w:rFonts w:ascii="Times New Roman" w:hAnsi="Times New Roman"/>
          <w:sz w:val="20"/>
        </w:rPr>
        <w:t xml:space="preserve"> </w:t>
      </w:r>
      <w:r>
        <w:rPr>
          <w:rFonts w:ascii="Times New Roman" w:hAnsi="Times New Roman"/>
          <w:b w:val="false"/>
          <w:sz w:val="20"/>
        </w:rPr>
        <w:t xml:space="preserve">years. </w:t>
        <w:br/>
      </w:r>
      <w:r>
        <w:rPr>
          <w:rFonts w:ascii="Times New Roman" w:hAnsi="Times New Roman"/>
          <w:sz w:val="20"/>
        </w:rPr>
        <w:t> </w:t>
      </w:r>
    </w:p>
    <w:p>
      <w:pPr>
        <w:pStyle w:val="TextBody"/>
        <w:spacing w:lineRule="auto" w:line="273" w:before="120" w:after="0"/>
        <w:jc w:val="left"/>
        <w:rPr>
          <w:rFonts w:ascii="Times New Roman" w:hAnsi="Times New Roman"/>
          <w:b w:val="false"/>
          <w:sz w:val="20"/>
        </w:rPr>
      </w:pPr>
      <w:r>
        <w:rPr>
          <w:rFonts w:ascii="Times New Roman" w:hAnsi="Times New Roman"/>
          <w:b w:val="false"/>
          <w:sz w:val="20"/>
        </w:rPr>
        <w:t>The following table provides a summary of restricted stock units activity under the 2021 Plan during the three months ended March 31, 2022:</w:t>
      </w:r>
    </w:p>
    <w:p>
      <w:pPr>
        <w:pStyle w:val="TextBody"/>
        <w:spacing w:lineRule="auto" w:line="273" w:before="120" w:after="0"/>
        <w:jc w:val="left"/>
        <w:rPr/>
      </w:pPr>
      <w:r>
        <w:rPr/>
        <w:t> </w:t>
      </w:r>
    </w:p>
    <w:p>
      <w:pPr>
        <w:pStyle w:val="TextBody"/>
        <w:spacing w:lineRule="auto" w:line="273" w:before="120" w:after="0"/>
        <w:jc w:val="left"/>
        <w:rPr>
          <w:rFonts w:ascii="Times New Roman" w:hAnsi="Times New Roman"/>
          <w:sz w:val="20"/>
        </w:rPr>
      </w:pPr>
      <w:r>
        <w:rPr>
          <w:rFonts w:ascii="Times New Roman" w:hAnsi="Times New Roman"/>
          <w:b w:val="false"/>
          <w:sz w:val="20"/>
        </w:rPr>
        <w:br/>
      </w:r>
      <w:r>
        <w:rPr>
          <w:rFonts w:ascii="Times New Roman" w:hAnsi="Times New Roman"/>
          <w:sz w:val="20"/>
        </w:rPr>
        <w:t> </w:t>
      </w:r>
    </w:p>
    <w:tbl>
      <w:tblPr>
        <w:tblW w:w="7457" w:type="dxa"/>
        <w:jc w:val="left"/>
        <w:tblInd w:w="0" w:type="dxa"/>
        <w:tblCellMar>
          <w:top w:w="28" w:type="dxa"/>
          <w:left w:w="28" w:type="dxa"/>
          <w:bottom w:w="28" w:type="dxa"/>
          <w:right w:w="28" w:type="dxa"/>
        </w:tblCellMar>
      </w:tblPr>
      <w:tblGrid>
        <w:gridCol w:w="4426"/>
        <w:gridCol w:w="146"/>
        <w:gridCol w:w="146"/>
        <w:gridCol w:w="781"/>
        <w:gridCol w:w="166"/>
        <w:gridCol w:w="146"/>
        <w:gridCol w:w="391"/>
        <w:gridCol w:w="1064"/>
        <w:gridCol w:w="191"/>
      </w:tblGrid>
      <w:tr>
        <w:trPr/>
        <w:tc>
          <w:tcPr>
            <w:tcW w:w="442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781" w:type="dxa"/>
            <w:tcBorders/>
            <w:shd w:fill="auto" w:val="clear"/>
            <w:vAlign w:val="center"/>
          </w:tcPr>
          <w:p>
            <w:pPr>
              <w:pStyle w:val="TableContents"/>
              <w:spacing w:before="0" w:after="283"/>
              <w:rPr>
                <w:sz w:val="4"/>
                <w:szCs w:val="4"/>
              </w:rPr>
            </w:pPr>
            <w:r>
              <w:rPr>
                <w:sz w:val="4"/>
                <w:szCs w:val="4"/>
              </w:rPr>
            </w:r>
          </w:p>
        </w:tc>
        <w:tc>
          <w:tcPr>
            <w:tcW w:w="16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391" w:type="dxa"/>
            <w:tcBorders/>
            <w:shd w:fill="auto" w:val="clear"/>
            <w:vAlign w:val="center"/>
          </w:tcPr>
          <w:p>
            <w:pPr>
              <w:pStyle w:val="TableContents"/>
              <w:spacing w:before="0" w:after="283"/>
              <w:rPr>
                <w:sz w:val="4"/>
                <w:szCs w:val="4"/>
              </w:rPr>
            </w:pPr>
            <w:r>
              <w:rPr>
                <w:sz w:val="4"/>
                <w:szCs w:val="4"/>
              </w:rPr>
            </w:r>
          </w:p>
        </w:tc>
        <w:tc>
          <w:tcPr>
            <w:tcW w:w="1064" w:type="dxa"/>
            <w:tcBorders/>
            <w:shd w:fill="auto" w:val="clear"/>
            <w:vAlign w:val="center"/>
          </w:tcPr>
          <w:p>
            <w:pPr>
              <w:pStyle w:val="TableContents"/>
              <w:spacing w:before="0" w:after="283"/>
              <w:rPr>
                <w:sz w:val="4"/>
                <w:szCs w:val="4"/>
              </w:rPr>
            </w:pPr>
            <w:r>
              <w:rPr>
                <w:sz w:val="4"/>
                <w:szCs w:val="4"/>
              </w:rPr>
            </w:r>
          </w:p>
        </w:tc>
        <w:tc>
          <w:tcPr>
            <w:tcW w:w="191" w:type="dxa"/>
            <w:tcBorders/>
            <w:shd w:fill="auto" w:val="clear"/>
            <w:vAlign w:val="center"/>
          </w:tcPr>
          <w:p>
            <w:pPr>
              <w:pStyle w:val="TableContents"/>
              <w:spacing w:before="0" w:after="283"/>
              <w:rPr>
                <w:sz w:val="4"/>
                <w:szCs w:val="4"/>
              </w:rPr>
            </w:pPr>
            <w:r>
              <w:rPr>
                <w:sz w:val="4"/>
                <w:szCs w:val="4"/>
              </w:rPr>
            </w:r>
          </w:p>
        </w:tc>
      </w:tr>
      <w:tr>
        <w:trPr/>
        <w:tc>
          <w:tcPr>
            <w:tcW w:w="4426" w:type="dxa"/>
            <w:tcBorders/>
            <w:shd w:fill="auto" w:val="clear"/>
            <w:vAlign w:val="center"/>
          </w:tcPr>
          <w:p>
            <w:pPr>
              <w:pStyle w:val="TableContents"/>
              <w:spacing w:lineRule="auto" w:line="252" w:before="0" w:after="0"/>
              <w:ind w:left="0" w:right="0" w:hanging="0"/>
              <w:jc w:val="center"/>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927" w:type="dxa"/>
            <w:gridSpan w:val="2"/>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center"/>
              <w:rPr>
                <w:rFonts w:ascii="Times New Roman" w:hAnsi="Times New Roman"/>
                <w:b/>
                <w:sz w:val="16"/>
              </w:rPr>
            </w:pPr>
            <w:r>
              <w:rPr>
                <w:rFonts w:ascii="Times New Roman" w:hAnsi="Times New Roman"/>
                <w:b/>
                <w:sz w:val="16"/>
              </w:rPr>
              <w:t>Number of</w:t>
              <w:br/>
              <w:t>Shares</w:t>
            </w:r>
          </w:p>
        </w:tc>
        <w:tc>
          <w:tcPr>
            <w:tcW w:w="166"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center"/>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455" w:type="dxa"/>
            <w:gridSpan w:val="2"/>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center"/>
              <w:rPr>
                <w:rFonts w:ascii="Times New Roman" w:hAnsi="Times New Roman"/>
                <w:b/>
                <w:sz w:val="16"/>
              </w:rPr>
            </w:pPr>
            <w:r>
              <w:rPr>
                <w:rFonts w:ascii="Times New Roman" w:hAnsi="Times New Roman"/>
                <w:b/>
                <w:sz w:val="16"/>
              </w:rPr>
              <w:t>Weighted Average</w:t>
              <w:br/>
              <w:t>Grant Date</w:t>
              <w:br/>
              <w:t>Fair Value</w:t>
            </w:r>
          </w:p>
        </w:tc>
        <w:tc>
          <w:tcPr>
            <w:tcW w:w="191"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center"/>
              <w:rPr/>
            </w:pPr>
            <w:r>
              <w:rPr/>
              <w:t> </w:t>
            </w:r>
          </w:p>
        </w:tc>
      </w:tr>
      <w:tr>
        <w:trPr/>
        <w:tc>
          <w:tcPr>
            <w:tcW w:w="4426" w:type="dxa"/>
            <w:tcBorders/>
            <w:shd w:fill="auto" w:val="clear"/>
            <w:vAlign w:val="center"/>
          </w:tcPr>
          <w:p>
            <w:pPr>
              <w:pStyle w:val="TableContents"/>
              <w:spacing w:lineRule="auto" w:line="252" w:before="0" w:after="0"/>
              <w:ind w:left="0" w:right="0" w:hanging="0"/>
              <w:jc w:val="left"/>
              <w:rPr>
                <w:rFonts w:ascii="Times New Roman" w:hAnsi="Times New Roman"/>
                <w:b w:val="false"/>
                <w:sz w:val="20"/>
              </w:rPr>
            </w:pPr>
            <w:r>
              <w:rPr>
                <w:rFonts w:ascii="Times New Roman" w:hAnsi="Times New Roman"/>
                <w:b w:val="false"/>
                <w:sz w:val="20"/>
              </w:rPr>
              <w:t>Unvested restricted stock units at December 31, 2021</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781" w:type="dxa"/>
            <w:tcBorders/>
            <w:shd w:fill="auto" w:val="clear"/>
            <w:vAlign w:val="center"/>
          </w:tcPr>
          <w:p>
            <w:pPr>
              <w:pStyle w:val="TableContents"/>
              <w:spacing w:lineRule="auto" w:line="252" w:before="0" w:after="0"/>
              <w:ind w:left="0" w:right="0" w:hanging="0"/>
              <w:jc w:val="right"/>
              <w:rPr>
                <w:rFonts w:ascii="Times New Roman" w:hAnsi="Times New Roman"/>
                <w:b w:val="false"/>
                <w:sz w:val="20"/>
              </w:rPr>
            </w:pPr>
            <w:r>
              <w:rPr>
                <w:rFonts w:ascii="Times New Roman" w:hAnsi="Times New Roman"/>
                <w:b w:val="false"/>
                <w:sz w:val="20"/>
              </w:rPr>
              <w:t>96,890</w:t>
            </w:r>
          </w:p>
        </w:tc>
        <w:tc>
          <w:tcPr>
            <w:tcW w:w="166" w:type="dxa"/>
            <w:tcBorders/>
            <w:shd w:fill="auto" w:val="cle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391" w:type="dxa"/>
            <w:tcBorders/>
            <w:shd w:fill="auto" w:val="clear"/>
            <w:vAlign w:val="center"/>
          </w:tcPr>
          <w:p>
            <w:pPr>
              <w:pStyle w:val="TableContents"/>
              <w:spacing w:lineRule="auto" w:line="252" w:before="0" w:after="0"/>
              <w:ind w:left="0" w:right="0" w:hanging="0"/>
              <w:jc w:val="left"/>
              <w:rPr>
                <w:rFonts w:ascii="Times New Roman" w:hAnsi="Times New Roman"/>
                <w:b w:val="false"/>
                <w:sz w:val="20"/>
              </w:rPr>
            </w:pPr>
            <w:r>
              <w:rPr>
                <w:rFonts w:ascii="Times New Roman" w:hAnsi="Times New Roman"/>
                <w:b w:val="false"/>
                <w:sz w:val="20"/>
              </w:rPr>
              <w:t>$</w:t>
            </w:r>
          </w:p>
        </w:tc>
        <w:tc>
          <w:tcPr>
            <w:tcW w:w="1064" w:type="dxa"/>
            <w:tcBorders/>
            <w:shd w:fill="auto" w:val="clear"/>
            <w:vAlign w:val="center"/>
          </w:tcPr>
          <w:p>
            <w:pPr>
              <w:pStyle w:val="TableContents"/>
              <w:spacing w:lineRule="auto" w:line="252" w:before="0" w:after="0"/>
              <w:ind w:left="0" w:right="0" w:hanging="0"/>
              <w:jc w:val="right"/>
              <w:rPr>
                <w:rFonts w:ascii="Times New Roman" w:hAnsi="Times New Roman"/>
                <w:b w:val="false"/>
                <w:sz w:val="20"/>
              </w:rPr>
            </w:pPr>
            <w:r>
              <w:rPr>
                <w:rFonts w:ascii="Times New Roman" w:hAnsi="Times New Roman"/>
                <w:b w:val="false"/>
                <w:sz w:val="20"/>
              </w:rPr>
              <w:t>22.93</w:t>
            </w:r>
          </w:p>
        </w:tc>
        <w:tc>
          <w:tcPr>
            <w:tcW w:w="191" w:type="dxa"/>
            <w:tcBorders/>
            <w:shd w:fill="auto" w:val="clear"/>
            <w:vAlign w:val="center"/>
          </w:tcPr>
          <w:p>
            <w:pPr>
              <w:pStyle w:val="TableContents"/>
              <w:spacing w:lineRule="auto" w:line="252" w:before="0" w:after="0"/>
              <w:ind w:left="0" w:right="0" w:hanging="0"/>
              <w:jc w:val="left"/>
              <w:rPr/>
            </w:pPr>
            <w:r>
              <w:rPr/>
              <w:t> </w:t>
            </w:r>
          </w:p>
        </w:tc>
      </w:tr>
      <w:tr>
        <w:trPr/>
        <w:tc>
          <w:tcPr>
            <w:tcW w:w="4426" w:type="dxa"/>
            <w:tcBorders/>
            <w:shd w:fill="auto" w:val="clear"/>
            <w:vAlign w:val="center"/>
          </w:tcPr>
          <w:p>
            <w:pPr>
              <w:pStyle w:val="TableContents"/>
              <w:spacing w:lineRule="auto" w:line="252" w:before="0" w:after="0"/>
              <w:ind w:left="0" w:right="0" w:hanging="0"/>
              <w:jc w:val="left"/>
              <w:rPr>
                <w:rFonts w:ascii="Times New Roman" w:hAnsi="Times New Roman"/>
                <w:b w:val="false"/>
                <w:sz w:val="20"/>
              </w:rPr>
            </w:pPr>
            <w:r>
              <w:rPr>
                <w:rFonts w:ascii="Times New Roman" w:hAnsi="Times New Roman"/>
                <w:b w:val="false"/>
                <w:sz w:val="20"/>
              </w:rPr>
              <w:t>Granted</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781" w:type="dxa"/>
            <w:tcBorders/>
            <w:shd w:fill="auto" w:val="clear"/>
            <w:vAlign w:val="center"/>
          </w:tcPr>
          <w:p>
            <w:pPr>
              <w:pStyle w:val="TableContents"/>
              <w:spacing w:lineRule="auto" w:line="252" w:before="0" w:after="0"/>
              <w:ind w:left="0" w:right="0" w:hanging="0"/>
              <w:jc w:val="right"/>
              <w:rPr>
                <w:rFonts w:ascii="Times New Roman" w:hAnsi="Times New Roman"/>
                <w:b w:val="false"/>
                <w:sz w:val="20"/>
              </w:rPr>
            </w:pPr>
            <w:r>
              <w:rPr>
                <w:rFonts w:ascii="Times New Roman" w:hAnsi="Times New Roman"/>
                <w:b w:val="false"/>
                <w:sz w:val="20"/>
              </w:rPr>
              <w:t>311,945</w:t>
            </w:r>
          </w:p>
        </w:tc>
        <w:tc>
          <w:tcPr>
            <w:tcW w:w="166" w:type="dxa"/>
            <w:tcBorders/>
            <w:shd w:fill="auto" w:val="cle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391" w:type="dxa"/>
            <w:tcBorders/>
            <w:shd w:fill="auto" w:val="clear"/>
            <w:vAlign w:val="center"/>
          </w:tcPr>
          <w:p>
            <w:pPr>
              <w:pStyle w:val="TableContents"/>
              <w:spacing w:lineRule="auto" w:line="252" w:before="0" w:after="0"/>
              <w:ind w:left="0" w:right="0" w:hanging="0"/>
              <w:jc w:val="left"/>
              <w:rPr>
                <w:rFonts w:ascii="Times New Roman" w:hAnsi="Times New Roman"/>
                <w:b w:val="false"/>
                <w:sz w:val="20"/>
              </w:rPr>
            </w:pPr>
            <w:r>
              <w:rPr>
                <w:rFonts w:ascii="Times New Roman" w:hAnsi="Times New Roman"/>
                <w:b w:val="false"/>
                <w:sz w:val="20"/>
              </w:rPr>
              <w:t>$</w:t>
            </w:r>
          </w:p>
        </w:tc>
        <w:tc>
          <w:tcPr>
            <w:tcW w:w="1064" w:type="dxa"/>
            <w:tcBorders/>
            <w:shd w:fill="auto" w:val="clear"/>
            <w:vAlign w:val="center"/>
          </w:tcPr>
          <w:p>
            <w:pPr>
              <w:pStyle w:val="TableContents"/>
              <w:spacing w:lineRule="auto" w:line="252" w:before="0" w:after="0"/>
              <w:ind w:left="0" w:right="0" w:hanging="0"/>
              <w:jc w:val="right"/>
              <w:rPr>
                <w:rFonts w:ascii="Times New Roman" w:hAnsi="Times New Roman"/>
                <w:b w:val="false"/>
                <w:sz w:val="20"/>
              </w:rPr>
            </w:pPr>
            <w:r>
              <w:rPr>
                <w:rFonts w:ascii="Times New Roman" w:hAnsi="Times New Roman"/>
                <w:b w:val="false"/>
                <w:sz w:val="20"/>
              </w:rPr>
              <w:t>14.21</w:t>
            </w:r>
          </w:p>
        </w:tc>
        <w:tc>
          <w:tcPr>
            <w:tcW w:w="191" w:type="dxa"/>
            <w:tcBorders/>
            <w:shd w:fill="auto" w:val="clear"/>
            <w:vAlign w:val="center"/>
          </w:tcPr>
          <w:p>
            <w:pPr>
              <w:pStyle w:val="TableContents"/>
              <w:spacing w:lineRule="auto" w:line="252" w:before="0" w:after="0"/>
              <w:ind w:left="0" w:right="0" w:hanging="0"/>
              <w:jc w:val="left"/>
              <w:rPr/>
            </w:pPr>
            <w:r>
              <w:rPr/>
              <w:t> </w:t>
            </w:r>
          </w:p>
        </w:tc>
      </w:tr>
      <w:tr>
        <w:trPr/>
        <w:tc>
          <w:tcPr>
            <w:tcW w:w="4426" w:type="dxa"/>
            <w:tcBorders/>
            <w:shd w:fill="auto" w:val="clear"/>
            <w:vAlign w:val="center"/>
          </w:tcPr>
          <w:p>
            <w:pPr>
              <w:pStyle w:val="TableContents"/>
              <w:spacing w:lineRule="auto" w:line="252" w:before="0" w:after="0"/>
              <w:ind w:left="0" w:right="0" w:hanging="0"/>
              <w:jc w:val="left"/>
              <w:rPr>
                <w:rFonts w:ascii="Times New Roman" w:hAnsi="Times New Roman"/>
                <w:b w:val="false"/>
                <w:sz w:val="20"/>
              </w:rPr>
            </w:pPr>
            <w:r>
              <w:rPr>
                <w:rFonts w:ascii="Times New Roman" w:hAnsi="Times New Roman"/>
                <w:b w:val="false"/>
                <w:sz w:val="20"/>
              </w:rPr>
              <w:t>Vested</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781" w:type="dxa"/>
            <w:tcBorders/>
            <w:shd w:fill="auto" w:val="clear"/>
            <w:vAlign w:val="center"/>
          </w:tcPr>
          <w:p>
            <w:pPr>
              <w:pStyle w:val="TableContents"/>
              <w:spacing w:lineRule="auto" w:line="252" w:before="0" w:after="0"/>
              <w:ind w:left="0" w:right="0" w:hanging="0"/>
              <w:jc w:val="right"/>
              <w:rPr>
                <w:rFonts w:ascii="Times New Roman" w:hAnsi="Times New Roman"/>
                <w:b w:val="false"/>
                <w:sz w:val="20"/>
              </w:rPr>
            </w:pPr>
            <w:r>
              <w:rPr>
                <w:rFonts w:ascii="Times New Roman" w:hAnsi="Times New Roman"/>
                <w:b w:val="false"/>
                <w:sz w:val="20"/>
              </w:rPr>
              <w:t>(14,068</w:t>
            </w:r>
          </w:p>
        </w:tc>
        <w:tc>
          <w:tcPr>
            <w:tcW w:w="166" w:type="dxa"/>
            <w:tcBorders/>
            <w:shd w:fill="auto" w:val="clear"/>
            <w:vAlign w:val="center"/>
          </w:tcPr>
          <w:p>
            <w:pPr>
              <w:pStyle w:val="TableContents"/>
              <w:spacing w:lineRule="auto" w:line="252" w:before="0" w:after="0"/>
              <w:ind w:left="0" w:right="0" w:hanging="0"/>
              <w:jc w:val="left"/>
              <w:rPr>
                <w:rFonts w:ascii="Times New Roman" w:hAnsi="Times New Roman"/>
                <w:b w:val="false"/>
                <w:sz w:val="20"/>
              </w:rPr>
            </w:pPr>
            <w:r>
              <w:rPr>
                <w:rFonts w:ascii="Times New Roman" w:hAnsi="Times New Roman"/>
                <w:b w:val="false"/>
                <w:sz w:val="20"/>
              </w:rPr>
              <w:t>)</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391" w:type="dxa"/>
            <w:tcBorders/>
            <w:shd w:fill="auto" w:val="clear"/>
            <w:vAlign w:val="center"/>
          </w:tcPr>
          <w:p>
            <w:pPr>
              <w:pStyle w:val="TableContents"/>
              <w:spacing w:lineRule="auto" w:line="252" w:before="0" w:after="0"/>
              <w:ind w:left="0" w:right="0" w:hanging="0"/>
              <w:jc w:val="left"/>
              <w:rPr>
                <w:rFonts w:ascii="Times New Roman" w:hAnsi="Times New Roman"/>
                <w:b w:val="false"/>
                <w:sz w:val="20"/>
              </w:rPr>
            </w:pPr>
            <w:r>
              <w:rPr>
                <w:rFonts w:ascii="Times New Roman" w:hAnsi="Times New Roman"/>
                <w:b w:val="false"/>
                <w:sz w:val="20"/>
              </w:rPr>
              <w:t>$</w:t>
            </w:r>
          </w:p>
        </w:tc>
        <w:tc>
          <w:tcPr>
            <w:tcW w:w="1064" w:type="dxa"/>
            <w:tcBorders/>
            <w:shd w:fill="auto" w:val="clear"/>
            <w:vAlign w:val="center"/>
          </w:tcPr>
          <w:p>
            <w:pPr>
              <w:pStyle w:val="TableContents"/>
              <w:spacing w:lineRule="auto" w:line="252" w:before="0" w:after="0"/>
              <w:ind w:left="0" w:right="0" w:hanging="0"/>
              <w:jc w:val="right"/>
              <w:rPr>
                <w:rFonts w:ascii="Times New Roman" w:hAnsi="Times New Roman"/>
                <w:b w:val="false"/>
                <w:sz w:val="20"/>
              </w:rPr>
            </w:pPr>
            <w:r>
              <w:rPr>
                <w:rFonts w:ascii="Times New Roman" w:hAnsi="Times New Roman"/>
                <w:b w:val="false"/>
                <w:sz w:val="20"/>
              </w:rPr>
              <w:t>14.26</w:t>
            </w:r>
          </w:p>
        </w:tc>
        <w:tc>
          <w:tcPr>
            <w:tcW w:w="191" w:type="dxa"/>
            <w:tcBorders/>
            <w:shd w:fill="auto" w:val="clear"/>
            <w:vAlign w:val="center"/>
          </w:tcPr>
          <w:p>
            <w:pPr>
              <w:pStyle w:val="TableContents"/>
              <w:spacing w:lineRule="auto" w:line="252" w:before="0" w:after="0"/>
              <w:ind w:left="0" w:right="0" w:hanging="0"/>
              <w:jc w:val="left"/>
              <w:rPr/>
            </w:pPr>
            <w:r>
              <w:rPr/>
              <w:t> </w:t>
            </w:r>
          </w:p>
        </w:tc>
      </w:tr>
      <w:tr>
        <w:trPr/>
        <w:tc>
          <w:tcPr>
            <w:tcW w:w="4426" w:type="dxa"/>
            <w:tcBorders/>
            <w:shd w:fill="auto" w:val="clear"/>
            <w:vAlign w:val="center"/>
          </w:tcPr>
          <w:p>
            <w:pPr>
              <w:pStyle w:val="TableContents"/>
              <w:spacing w:lineRule="auto" w:line="252" w:before="0" w:after="0"/>
              <w:ind w:left="0" w:right="0" w:hanging="0"/>
              <w:jc w:val="left"/>
              <w:rPr>
                <w:rFonts w:ascii="Times New Roman" w:hAnsi="Times New Roman"/>
                <w:b w:val="false"/>
                <w:sz w:val="20"/>
              </w:rPr>
            </w:pPr>
            <w:r>
              <w:rPr>
                <w:rFonts w:ascii="Times New Roman" w:hAnsi="Times New Roman"/>
                <w:b w:val="false"/>
                <w:sz w:val="20"/>
              </w:rPr>
              <w:t>Forfeiture</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46"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c>
          <w:tcPr>
            <w:tcW w:w="781"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right"/>
              <w:rPr>
                <w:rFonts w:ascii="Times New Roman" w:hAnsi="Times New Roman"/>
                <w:b w:val="false"/>
                <w:sz w:val="20"/>
              </w:rPr>
            </w:pPr>
            <w:r>
              <w:rPr>
                <w:rFonts w:ascii="Times New Roman" w:hAnsi="Times New Roman"/>
                <w:b w:val="false"/>
                <w:sz w:val="20"/>
              </w:rPr>
              <w:t>(2,010</w:t>
            </w:r>
          </w:p>
        </w:tc>
        <w:tc>
          <w:tcPr>
            <w:tcW w:w="166"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rFonts w:ascii="Times New Roman" w:hAnsi="Times New Roman"/>
                <w:b w:val="false"/>
                <w:sz w:val="20"/>
              </w:rPr>
            </w:pPr>
            <w:r>
              <w:rPr>
                <w:rFonts w:ascii="Times New Roman" w:hAnsi="Times New Roman"/>
                <w:b w:val="false"/>
                <w:sz w:val="20"/>
              </w:rPr>
              <w:t>)</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391" w:type="dxa"/>
            <w:tcBorders/>
            <w:shd w:fill="auto" w:val="clear"/>
            <w:vAlign w:val="center"/>
          </w:tcPr>
          <w:p>
            <w:pPr>
              <w:pStyle w:val="TableContents"/>
              <w:spacing w:lineRule="auto" w:line="252" w:before="0" w:after="0"/>
              <w:ind w:left="0" w:right="0" w:hanging="0"/>
              <w:jc w:val="left"/>
              <w:rPr>
                <w:rFonts w:ascii="Times New Roman" w:hAnsi="Times New Roman"/>
                <w:b w:val="false"/>
                <w:sz w:val="20"/>
              </w:rPr>
            </w:pPr>
            <w:r>
              <w:rPr>
                <w:rFonts w:ascii="Times New Roman" w:hAnsi="Times New Roman"/>
                <w:b w:val="false"/>
                <w:sz w:val="20"/>
              </w:rPr>
              <w:t>$</w:t>
            </w:r>
          </w:p>
        </w:tc>
        <w:tc>
          <w:tcPr>
            <w:tcW w:w="1064" w:type="dxa"/>
            <w:tcBorders/>
            <w:shd w:fill="auto" w:val="clear"/>
            <w:vAlign w:val="center"/>
          </w:tcPr>
          <w:p>
            <w:pPr>
              <w:pStyle w:val="TableContents"/>
              <w:spacing w:lineRule="auto" w:line="252" w:before="0" w:after="0"/>
              <w:ind w:left="0" w:right="0" w:hanging="0"/>
              <w:jc w:val="right"/>
              <w:rPr>
                <w:rFonts w:ascii="Times New Roman" w:hAnsi="Times New Roman"/>
                <w:b w:val="false"/>
                <w:sz w:val="20"/>
              </w:rPr>
            </w:pPr>
            <w:r>
              <w:rPr>
                <w:rFonts w:ascii="Times New Roman" w:hAnsi="Times New Roman"/>
                <w:b w:val="false"/>
                <w:sz w:val="20"/>
              </w:rPr>
              <w:t>19.88</w:t>
            </w:r>
          </w:p>
        </w:tc>
        <w:tc>
          <w:tcPr>
            <w:tcW w:w="191" w:type="dxa"/>
            <w:tcBorders/>
            <w:shd w:fill="auto" w:val="clear"/>
            <w:vAlign w:val="center"/>
          </w:tcPr>
          <w:p>
            <w:pPr>
              <w:pStyle w:val="TableContents"/>
              <w:spacing w:lineRule="auto" w:line="252" w:before="0" w:after="0"/>
              <w:ind w:left="0" w:right="0" w:hanging="0"/>
              <w:jc w:val="left"/>
              <w:rPr/>
            </w:pPr>
            <w:r>
              <w:rPr/>
              <w:t> </w:t>
            </w:r>
          </w:p>
        </w:tc>
      </w:tr>
      <w:tr>
        <w:trPr/>
        <w:tc>
          <w:tcPr>
            <w:tcW w:w="4426" w:type="dxa"/>
            <w:tcBorders/>
            <w:shd w:fill="auto" w:val="clear"/>
            <w:vAlign w:val="center"/>
          </w:tcPr>
          <w:p>
            <w:pPr>
              <w:pStyle w:val="TableContents"/>
              <w:spacing w:lineRule="auto" w:line="252" w:before="0" w:after="0"/>
              <w:ind w:left="0" w:right="0" w:hanging="0"/>
              <w:jc w:val="left"/>
              <w:rPr>
                <w:rFonts w:ascii="Times New Roman" w:hAnsi="Times New Roman"/>
                <w:b w:val="false"/>
                <w:sz w:val="20"/>
              </w:rPr>
            </w:pPr>
            <w:r>
              <w:rPr>
                <w:rFonts w:ascii="Times New Roman" w:hAnsi="Times New Roman"/>
                <w:b w:val="false"/>
                <w:sz w:val="20"/>
              </w:rPr>
              <w:t>Unvested restricted stock units at March 31, 2022</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46" w:type="dxa"/>
            <w:tcBorders>
              <w:bottom w:val="double" w:sz="6"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c>
          <w:tcPr>
            <w:tcW w:w="781" w:type="dxa"/>
            <w:tcBorders>
              <w:bottom w:val="double" w:sz="6" w:space="0" w:color="000000"/>
            </w:tcBorders>
            <w:shd w:fill="auto" w:val="clear"/>
            <w:tcMar>
              <w:top w:w="0" w:type="dxa"/>
              <w:left w:w="0" w:type="dxa"/>
              <w:right w:w="0" w:type="dxa"/>
            </w:tcMar>
            <w:vAlign w:val="center"/>
          </w:tcPr>
          <w:p>
            <w:pPr>
              <w:pStyle w:val="TableContents"/>
              <w:spacing w:lineRule="auto" w:line="252" w:before="0" w:after="0"/>
              <w:ind w:left="0" w:right="0" w:hanging="0"/>
              <w:jc w:val="right"/>
              <w:rPr>
                <w:rFonts w:ascii="Times New Roman" w:hAnsi="Times New Roman"/>
                <w:b w:val="false"/>
                <w:sz w:val="20"/>
              </w:rPr>
            </w:pPr>
            <w:r>
              <w:rPr>
                <w:rFonts w:ascii="Times New Roman" w:hAnsi="Times New Roman"/>
                <w:b w:val="false"/>
                <w:sz w:val="20"/>
              </w:rPr>
              <w:t>392,757</w:t>
            </w:r>
          </w:p>
        </w:tc>
        <w:tc>
          <w:tcPr>
            <w:tcW w:w="166" w:type="dxa"/>
            <w:tcBorders>
              <w:bottom w:val="double" w:sz="6"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391" w:type="dxa"/>
            <w:tcBorders/>
            <w:shd w:fill="auto" w:val="clear"/>
            <w:vAlign w:val="center"/>
          </w:tcPr>
          <w:p>
            <w:pPr>
              <w:pStyle w:val="TableContents"/>
              <w:spacing w:lineRule="auto" w:line="252" w:before="0" w:after="0"/>
              <w:ind w:left="0" w:right="0" w:hanging="0"/>
              <w:jc w:val="left"/>
              <w:rPr>
                <w:rFonts w:ascii="Times New Roman" w:hAnsi="Times New Roman"/>
                <w:b w:val="false"/>
                <w:sz w:val="20"/>
              </w:rPr>
            </w:pPr>
            <w:r>
              <w:rPr>
                <w:rFonts w:ascii="Times New Roman" w:hAnsi="Times New Roman"/>
                <w:b w:val="false"/>
                <w:sz w:val="20"/>
              </w:rPr>
              <w:t>$</w:t>
            </w:r>
          </w:p>
        </w:tc>
        <w:tc>
          <w:tcPr>
            <w:tcW w:w="1064" w:type="dxa"/>
            <w:tcBorders/>
            <w:shd w:fill="auto" w:val="clear"/>
            <w:vAlign w:val="center"/>
          </w:tcPr>
          <w:p>
            <w:pPr>
              <w:pStyle w:val="TableContents"/>
              <w:spacing w:lineRule="auto" w:line="252" w:before="0" w:after="0"/>
              <w:ind w:left="0" w:right="0" w:hanging="0"/>
              <w:jc w:val="right"/>
              <w:rPr>
                <w:rFonts w:ascii="Times New Roman" w:hAnsi="Times New Roman"/>
                <w:b w:val="false"/>
                <w:sz w:val="20"/>
              </w:rPr>
            </w:pPr>
            <w:r>
              <w:rPr>
                <w:rFonts w:ascii="Times New Roman" w:hAnsi="Times New Roman"/>
                <w:b w:val="false"/>
                <w:sz w:val="20"/>
              </w:rPr>
              <w:t>16.33</w:t>
            </w:r>
          </w:p>
        </w:tc>
        <w:tc>
          <w:tcPr>
            <w:tcW w:w="191" w:type="dxa"/>
            <w:tcBorders/>
            <w:shd w:fill="auto" w:val="clear"/>
            <w:vAlign w:val="center"/>
          </w:tcPr>
          <w:p>
            <w:pPr>
              <w:pStyle w:val="TableContents"/>
              <w:spacing w:lineRule="auto" w:line="252" w:before="0" w:after="0"/>
              <w:ind w:left="0" w:right="0" w:hanging="0"/>
              <w:jc w:val="left"/>
              <w:rPr/>
            </w:pPr>
            <w:r>
              <w:rPr/>
              <w:t> </w:t>
            </w:r>
          </w:p>
        </w:tc>
      </w:tr>
    </w:tbl>
    <w:p>
      <w:pPr>
        <w:pStyle w:val="TextBody"/>
        <w:spacing w:lineRule="auto" w:line="273" w:before="120" w:after="0"/>
        <w:jc w:val="left"/>
        <w:rPr/>
      </w:pPr>
      <w:r>
        <w:rPr/>
        <w:t> </w:t>
      </w:r>
    </w:p>
    <w:p>
      <w:pPr>
        <w:pStyle w:val="TextBody"/>
        <w:spacing w:lineRule="auto" w:line="273" w:before="120" w:after="0"/>
        <w:jc w:val="left"/>
        <w:rPr>
          <w:rFonts w:ascii="Times New Roman" w:hAnsi="Times New Roman"/>
          <w:sz w:val="20"/>
        </w:rPr>
      </w:pPr>
      <w:r>
        <w:rPr>
          <w:rFonts w:ascii="Times New Roman" w:hAnsi="Times New Roman"/>
          <w:b w:val="false"/>
          <w:sz w:val="20"/>
        </w:rPr>
        <w:t>Restricted stock units vest quarterly over four years</w:t>
      </w:r>
      <w:r>
        <w:rPr>
          <w:rFonts w:ascii="Times New Roman" w:hAnsi="Times New Roman"/>
          <w:sz w:val="20"/>
        </w:rPr>
        <w:t xml:space="preserve"> </w:t>
      </w:r>
      <w:r>
        <w:rPr>
          <w:rFonts w:ascii="Times New Roman" w:hAnsi="Times New Roman"/>
          <w:b w:val="false"/>
          <w:sz w:val="20"/>
        </w:rPr>
        <w:t>with a one-year cliff from the grant date. Unamortized stock-based compensation for restricted stock units as of March 31, 2022 was $6.0</w:t>
      </w:r>
      <w:r>
        <w:rPr>
          <w:rFonts w:ascii="Times New Roman" w:hAnsi="Times New Roman"/>
          <w:sz w:val="20"/>
        </w:rPr>
        <w:t xml:space="preserve"> </w:t>
      </w:r>
      <w:r>
        <w:rPr>
          <w:rFonts w:ascii="Times New Roman" w:hAnsi="Times New Roman"/>
          <w:b w:val="false"/>
          <w:sz w:val="20"/>
        </w:rPr>
        <w:t>million, which is expected to be recognized over a weighted-average period of</w:t>
      </w:r>
      <w:r>
        <w:rPr>
          <w:rFonts w:ascii="Times New Roman" w:hAnsi="Times New Roman"/>
          <w:sz w:val="20"/>
        </w:rPr>
        <w:t xml:space="preserve"> </w:t>
      </w:r>
      <w:r>
        <w:rPr>
          <w:rFonts w:ascii="Times New Roman" w:hAnsi="Times New Roman"/>
          <w:b w:val="false"/>
          <w:sz w:val="20"/>
        </w:rPr>
        <w:t>3.7</w:t>
      </w:r>
      <w:r>
        <w:rPr>
          <w:rFonts w:ascii="Times New Roman" w:hAnsi="Times New Roman"/>
          <w:sz w:val="20"/>
        </w:rPr>
        <w:t xml:space="preserve"> </w:t>
      </w:r>
      <w:r>
        <w:rPr>
          <w:rFonts w:ascii="Times New Roman" w:hAnsi="Times New Roman"/>
          <w:b w:val="false"/>
          <w:sz w:val="20"/>
        </w:rPr>
        <w:t>years.</w:t>
      </w:r>
    </w:p>
    <w:p>
      <w:pPr>
        <w:pStyle w:val="TextBody"/>
        <w:spacing w:lineRule="auto" w:line="273" w:before="360" w:after="0"/>
        <w:jc w:val="left"/>
        <w:rPr>
          <w:rFonts w:ascii="Times New Roman" w:hAnsi="Times New Roman"/>
          <w:sz w:val="20"/>
        </w:rPr>
      </w:pPr>
      <w:r>
        <w:rPr>
          <w:rFonts w:ascii="Times New Roman" w:hAnsi="Times New Roman"/>
          <w:b/>
          <w:i/>
          <w:sz w:val="20"/>
        </w:rPr>
        <w:t>2021 Employee Stock Purchase Plan</w:t>
      </w:r>
      <w:r>
        <w:rPr>
          <w:rFonts w:ascii="Times New Roman" w:hAnsi="Times New Roman"/>
          <w:sz w:val="20"/>
        </w:rPr>
        <w:t xml:space="preserve"> </w:t>
      </w:r>
    </w:p>
    <w:p>
      <w:pPr>
        <w:pStyle w:val="TextBody"/>
        <w:spacing w:lineRule="auto" w:line="273" w:before="120" w:after="0"/>
        <w:jc w:val="left"/>
        <w:rPr>
          <w:rFonts w:ascii="Times New Roman" w:hAnsi="Times New Roman"/>
          <w:sz w:val="20"/>
        </w:rPr>
      </w:pPr>
      <w:r>
        <w:rPr>
          <w:rFonts w:ascii="Times New Roman" w:hAnsi="Times New Roman"/>
          <w:b w:val="false"/>
          <w:sz w:val="20"/>
        </w:rPr>
        <w:t>In May 2021, the board of directors adopted, and the stockholders approved the 2021 Employee Stock Purchase Plan, or the ESPP, which became effective on May 26, 2021. A total of 603,000</w:t>
      </w:r>
      <w:r>
        <w:rPr>
          <w:rFonts w:ascii="Times New Roman" w:hAnsi="Times New Roman"/>
          <w:sz w:val="20"/>
        </w:rPr>
        <w:t xml:space="preserve"> </w:t>
      </w:r>
      <w:r>
        <w:rPr>
          <w:rFonts w:ascii="Times New Roman" w:hAnsi="Times New Roman"/>
          <w:b w:val="false"/>
          <w:sz w:val="20"/>
        </w:rPr>
        <w:t>shares of common stock were initially reserved for issuance under the ESPP. The number of shares of the common stock reserved for issuance under the ESPP will automatically increase on the first day of each fiscal year, beginning with the fiscal year commencing on January 1, 2021 and continuing for each fiscal year until, and including, the fiscal year commencing on January 1, 2031, by the lesser of: (a) 1% of the total number of outstanding shares of common stock of the Company (on an as converted basis outstanding on the immediately preceding December 31 (rounded down to the nearest whole share) and (b) an amount determined by the board of directors. 23,353</w:t>
      </w:r>
      <w:r>
        <w:rPr>
          <w:rFonts w:ascii="Times New Roman" w:hAnsi="Times New Roman"/>
          <w:sz w:val="20"/>
        </w:rPr>
        <w:t xml:space="preserve"> </w:t>
      </w:r>
      <w:r>
        <w:rPr>
          <w:rFonts w:ascii="Times New Roman" w:hAnsi="Times New Roman"/>
          <w:b w:val="false"/>
          <w:sz w:val="20"/>
        </w:rPr>
        <w:t>shares have been issued under the ESPP as of March 31, 2022. The Company recognized $0.1</w:t>
      </w:r>
      <w:r>
        <w:rPr>
          <w:rFonts w:ascii="Times New Roman" w:hAnsi="Times New Roman"/>
          <w:sz w:val="20"/>
        </w:rPr>
        <w:t xml:space="preserve"> </w:t>
      </w:r>
      <w:r>
        <w:rPr>
          <w:rFonts w:ascii="Times New Roman" w:hAnsi="Times New Roman"/>
          <w:b w:val="false"/>
          <w:sz w:val="20"/>
        </w:rPr>
        <w:t>million compensation expense related to the ESPP plan for the three months ending March 31, 2022.</w:t>
      </w:r>
      <w:r>
        <w:rPr>
          <w:rFonts w:ascii="Times New Roman" w:hAnsi="Times New Roman"/>
          <w:sz w:val="20"/>
        </w:rPr>
        <w:t xml:space="preserve"> </w:t>
      </w:r>
    </w:p>
    <w:p>
      <w:pPr>
        <w:pStyle w:val="TextBody"/>
        <w:spacing w:lineRule="auto" w:line="273" w:before="0" w:after="0"/>
        <w:jc w:val="center"/>
        <w:rPr>
          <w:rFonts w:ascii="Times New Roman" w:hAnsi="Times New Roman"/>
          <w:b w:val="false"/>
          <w:sz w:val="20"/>
        </w:rPr>
      </w:pPr>
      <w:r>
        <w:rPr>
          <w:rFonts w:ascii="Times New Roman" w:hAnsi="Times New Roman"/>
          <w:b w:val="false"/>
          <w:sz w:val="20"/>
        </w:rPr>
        <w:t>16</w:t>
      </w:r>
    </w:p>
    <w:p>
      <w:pPr>
        <w:pStyle w:val="HorizontalLine"/>
        <w:rPr/>
      </w:pPr>
      <w:r>
        <w:rPr/>
      </w:r>
    </w:p>
    <w:p>
      <w:pPr>
        <w:pStyle w:val="TextBody"/>
        <w:spacing w:lineRule="auto" w:line="273" w:before="0" w:after="120"/>
        <w:jc w:val="center"/>
        <w:rPr>
          <w:rFonts w:ascii="Times New Roman" w:hAnsi="Times New Roman"/>
          <w:b/>
          <w:sz w:val="20"/>
        </w:rPr>
      </w:pPr>
      <w:r>
        <w:rPr>
          <w:rFonts w:ascii="Times New Roman" w:hAnsi="Times New Roman"/>
          <w:b/>
          <w:sz w:val="20"/>
        </w:rPr>
        <w:t>Notes to the Condensed Consolidated Financial Statements</w:t>
      </w:r>
    </w:p>
    <w:p>
      <w:pPr>
        <w:pStyle w:val="TextBody"/>
        <w:spacing w:lineRule="auto" w:line="273" w:before="360" w:after="0"/>
        <w:jc w:val="left"/>
        <w:rPr>
          <w:rFonts w:ascii="Times New Roman" w:hAnsi="Times New Roman"/>
          <w:sz w:val="20"/>
        </w:rPr>
      </w:pPr>
      <w:r>
        <w:rPr>
          <w:rFonts w:ascii="Times New Roman" w:hAnsi="Times New Roman"/>
          <w:b/>
          <w:i/>
          <w:sz w:val="20"/>
        </w:rPr>
        <w:t>Share/Stock-based compensation</w:t>
      </w:r>
      <w:r>
        <w:rPr>
          <w:rFonts w:ascii="Times New Roman" w:hAnsi="Times New Roman"/>
          <w:sz w:val="20"/>
        </w:rPr>
        <w:t xml:space="preserve"> </w:t>
      </w:r>
    </w:p>
    <w:p>
      <w:pPr>
        <w:pStyle w:val="TextBody"/>
        <w:spacing w:lineRule="auto" w:line="273" w:before="120" w:after="0"/>
        <w:jc w:val="left"/>
        <w:rPr>
          <w:rFonts w:ascii="Times New Roman" w:hAnsi="Times New Roman"/>
          <w:sz w:val="20"/>
        </w:rPr>
      </w:pPr>
      <w:r>
        <w:rPr>
          <w:rFonts w:ascii="Times New Roman" w:hAnsi="Times New Roman"/>
          <w:b w:val="false"/>
          <w:sz w:val="20"/>
        </w:rPr>
        <w:t>The Company used the Black-Scholes option pricing model to estimate the fair value of stock options awards granted with the following assumptions:</w:t>
      </w:r>
      <w:r>
        <w:rPr>
          <w:rFonts w:ascii="Times New Roman" w:hAnsi="Times New Roman"/>
          <w:sz w:val="20"/>
        </w:rPr>
        <w:t xml:space="preserve"> </w:t>
      </w:r>
    </w:p>
    <w:p>
      <w:pPr>
        <w:pStyle w:val="TextBody"/>
        <w:spacing w:lineRule="auto" w:line="273" w:before="0" w:after="0"/>
        <w:jc w:val="left"/>
        <w:rPr/>
      </w:pPr>
      <w:r>
        <w:rPr/>
        <w:t> </w:t>
      </w:r>
    </w:p>
    <w:tbl>
      <w:tblPr>
        <w:tblW w:w="4118" w:type="dxa"/>
        <w:jc w:val="left"/>
        <w:tblInd w:w="0" w:type="dxa"/>
        <w:tblCellMar>
          <w:top w:w="28" w:type="dxa"/>
          <w:left w:w="28" w:type="dxa"/>
          <w:bottom w:w="28" w:type="dxa"/>
          <w:right w:w="28" w:type="dxa"/>
        </w:tblCellMar>
      </w:tblPr>
      <w:tblGrid>
        <w:gridCol w:w="2131"/>
        <w:gridCol w:w="146"/>
        <w:gridCol w:w="488"/>
        <w:gridCol w:w="1162"/>
        <w:gridCol w:w="191"/>
      </w:tblGrid>
      <w:tr>
        <w:trPr/>
        <w:tc>
          <w:tcPr>
            <w:tcW w:w="2131"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488" w:type="dxa"/>
            <w:tcBorders/>
            <w:shd w:fill="auto" w:val="clear"/>
            <w:vAlign w:val="center"/>
          </w:tcPr>
          <w:p>
            <w:pPr>
              <w:pStyle w:val="TableContents"/>
              <w:spacing w:before="0" w:after="283"/>
              <w:rPr>
                <w:sz w:val="4"/>
                <w:szCs w:val="4"/>
              </w:rPr>
            </w:pPr>
            <w:r>
              <w:rPr>
                <w:sz w:val="4"/>
                <w:szCs w:val="4"/>
              </w:rPr>
            </w:r>
          </w:p>
        </w:tc>
        <w:tc>
          <w:tcPr>
            <w:tcW w:w="1162" w:type="dxa"/>
            <w:tcBorders/>
            <w:shd w:fill="auto" w:val="clear"/>
            <w:vAlign w:val="center"/>
          </w:tcPr>
          <w:p>
            <w:pPr>
              <w:pStyle w:val="TableContents"/>
              <w:spacing w:before="0" w:after="283"/>
              <w:rPr>
                <w:sz w:val="4"/>
                <w:szCs w:val="4"/>
              </w:rPr>
            </w:pPr>
            <w:r>
              <w:rPr>
                <w:sz w:val="4"/>
                <w:szCs w:val="4"/>
              </w:rPr>
            </w:r>
          </w:p>
        </w:tc>
        <w:tc>
          <w:tcPr>
            <w:tcW w:w="191" w:type="dxa"/>
            <w:tcBorders/>
            <w:shd w:fill="auto" w:val="clear"/>
            <w:vAlign w:val="center"/>
          </w:tcPr>
          <w:p>
            <w:pPr>
              <w:pStyle w:val="TableContents"/>
              <w:spacing w:before="0" w:after="283"/>
              <w:rPr>
                <w:sz w:val="4"/>
                <w:szCs w:val="4"/>
              </w:rPr>
            </w:pPr>
            <w:r>
              <w:rPr>
                <w:sz w:val="4"/>
                <w:szCs w:val="4"/>
              </w:rPr>
            </w:r>
          </w:p>
        </w:tc>
      </w:tr>
      <w:tr>
        <w:trPr/>
        <w:tc>
          <w:tcPr>
            <w:tcW w:w="2131" w:type="dxa"/>
            <w:tcBorders/>
            <w:shd w:fill="auto" w:val="cle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650" w:type="dxa"/>
            <w:gridSpan w:val="2"/>
            <w:tcBorders/>
            <w:shd w:fill="auto" w:val="clear"/>
            <w:vAlign w:val="center"/>
          </w:tcPr>
          <w:p>
            <w:pPr>
              <w:pStyle w:val="TableContents"/>
              <w:spacing w:lineRule="auto" w:line="252" w:before="0" w:after="0"/>
              <w:ind w:left="0" w:right="0" w:hanging="0"/>
              <w:jc w:val="center"/>
              <w:rPr>
                <w:rFonts w:ascii="Times New Roman" w:hAnsi="Times New Roman"/>
                <w:b/>
                <w:sz w:val="16"/>
              </w:rPr>
            </w:pPr>
            <w:r>
              <w:rPr>
                <w:rFonts w:ascii="Times New Roman" w:hAnsi="Times New Roman"/>
                <w:b/>
                <w:sz w:val="16"/>
              </w:rPr>
              <w:t xml:space="preserve">Three Months Ended </w:t>
              <w:br/>
              <w:t>March 31, 2022</w:t>
            </w:r>
          </w:p>
        </w:tc>
        <w:tc>
          <w:tcPr>
            <w:tcW w:w="191" w:type="dxa"/>
            <w:tcBorders/>
            <w:shd w:fill="auto" w:val="clear"/>
            <w:vAlign w:val="center"/>
          </w:tcPr>
          <w:p>
            <w:pPr>
              <w:pStyle w:val="TableContents"/>
              <w:spacing w:lineRule="auto" w:line="252" w:before="0" w:after="0"/>
              <w:ind w:left="0" w:right="0" w:hanging="0"/>
              <w:jc w:val="center"/>
              <w:rPr/>
            </w:pPr>
            <w:r>
              <w:rPr/>
              <w:t> </w:t>
            </w:r>
          </w:p>
        </w:tc>
      </w:tr>
      <w:tr>
        <w:trPr/>
        <w:tc>
          <w:tcPr>
            <w:tcW w:w="2131" w:type="dxa"/>
            <w:tcBorders/>
            <w:shd w:fill="auto" w:val="cle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650" w:type="dxa"/>
            <w:gridSpan w:val="2"/>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center"/>
              <w:rPr>
                <w:rFonts w:ascii="Times New Roman" w:hAnsi="Times New Roman"/>
                <w:b/>
                <w:sz w:val="16"/>
              </w:rPr>
            </w:pPr>
            <w:r>
              <w:rPr>
                <w:rFonts w:ascii="Times New Roman" w:hAnsi="Times New Roman"/>
                <w:b/>
                <w:sz w:val="16"/>
              </w:rPr>
              <w:t>Stock Options</w:t>
            </w:r>
          </w:p>
        </w:tc>
        <w:tc>
          <w:tcPr>
            <w:tcW w:w="191"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center"/>
              <w:rPr/>
            </w:pPr>
            <w:r>
              <w:rPr/>
              <w:t> </w:t>
            </w:r>
          </w:p>
        </w:tc>
      </w:tr>
      <w:tr>
        <w:trPr/>
        <w:tc>
          <w:tcPr>
            <w:tcW w:w="2131" w:type="dxa"/>
            <w:tcBorders/>
            <w:shd w:fill="auto" w:val="clear"/>
            <w:vAlign w:val="center"/>
          </w:tcPr>
          <w:p>
            <w:pPr>
              <w:pStyle w:val="TableContents"/>
              <w:spacing w:lineRule="auto" w:line="252" w:before="0" w:after="0"/>
              <w:ind w:left="0" w:right="0" w:hanging="0"/>
              <w:jc w:val="left"/>
              <w:rPr>
                <w:rFonts w:ascii="Times New Roman" w:hAnsi="Times New Roman"/>
                <w:b w:val="false"/>
                <w:sz w:val="20"/>
              </w:rPr>
            </w:pPr>
            <w:r>
              <w:rPr>
                <w:rFonts w:ascii="Times New Roman" w:hAnsi="Times New Roman"/>
                <w:b w:val="false"/>
                <w:sz w:val="20"/>
              </w:rPr>
              <w:t>Expected term (in years)</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650" w:type="dxa"/>
            <w:gridSpan w:val="2"/>
            <w:tcBorders/>
            <w:shd w:fill="auto" w:val="clear"/>
            <w:vAlign w:val="center"/>
          </w:tcPr>
          <w:p>
            <w:pPr>
              <w:pStyle w:val="TableContents"/>
              <w:spacing w:lineRule="auto" w:line="252" w:before="0" w:after="0"/>
              <w:ind w:left="0" w:right="0" w:hanging="0"/>
              <w:jc w:val="center"/>
              <w:rPr>
                <w:rFonts w:ascii="Times New Roman" w:hAnsi="Times New Roman"/>
                <w:sz w:val="20"/>
              </w:rPr>
            </w:pPr>
            <w:r>
              <w:rPr>
                <w:rFonts w:ascii="Times New Roman" w:hAnsi="Times New Roman"/>
                <w:b w:val="false"/>
                <w:sz w:val="20"/>
              </w:rPr>
              <w:t>5.90</w:t>
            </w:r>
            <w:r>
              <w:rPr>
                <w:rFonts w:ascii="Times New Roman" w:hAnsi="Times New Roman"/>
                <w:sz w:val="20"/>
              </w:rPr>
              <w:t> </w:t>
            </w:r>
            <w:r>
              <w:rPr>
                <w:rFonts w:ascii="Times New Roman" w:hAnsi="Times New Roman"/>
                <w:b w:val="false"/>
                <w:sz w:val="20"/>
              </w:rPr>
              <w:t>- 6.08</w:t>
            </w:r>
          </w:p>
        </w:tc>
        <w:tc>
          <w:tcPr>
            <w:tcW w:w="191" w:type="dxa"/>
            <w:tcBorders/>
            <w:shd w:fill="auto" w:val="clear"/>
            <w:vAlign w:val="center"/>
          </w:tcPr>
          <w:p>
            <w:pPr>
              <w:pStyle w:val="TableContents"/>
              <w:spacing w:lineRule="auto" w:line="252" w:before="0" w:after="0"/>
              <w:ind w:left="0" w:right="0" w:hanging="0"/>
              <w:jc w:val="center"/>
              <w:rPr/>
            </w:pPr>
            <w:r>
              <w:rPr/>
              <w:t> </w:t>
            </w:r>
          </w:p>
        </w:tc>
      </w:tr>
      <w:tr>
        <w:trPr/>
        <w:tc>
          <w:tcPr>
            <w:tcW w:w="2131" w:type="dxa"/>
            <w:tcBorders/>
            <w:shd w:fill="auto" w:val="clear"/>
            <w:vAlign w:val="center"/>
          </w:tcPr>
          <w:p>
            <w:pPr>
              <w:pStyle w:val="TableContents"/>
              <w:spacing w:lineRule="auto" w:line="252" w:before="0" w:after="0"/>
              <w:ind w:left="0" w:right="0" w:hanging="0"/>
              <w:jc w:val="left"/>
              <w:rPr>
                <w:rFonts w:ascii="Times New Roman" w:hAnsi="Times New Roman"/>
                <w:b w:val="false"/>
                <w:sz w:val="20"/>
              </w:rPr>
            </w:pPr>
            <w:r>
              <w:rPr>
                <w:rFonts w:ascii="Times New Roman" w:hAnsi="Times New Roman"/>
                <w:b w:val="false"/>
                <w:sz w:val="20"/>
              </w:rPr>
              <w:t>Expected volatility</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650" w:type="dxa"/>
            <w:gridSpan w:val="2"/>
            <w:tcBorders/>
            <w:shd w:fill="auto" w:val="clear"/>
            <w:vAlign w:val="center"/>
          </w:tcPr>
          <w:p>
            <w:pPr>
              <w:pStyle w:val="TableContents"/>
              <w:spacing w:lineRule="auto" w:line="252" w:before="0" w:after="0"/>
              <w:ind w:left="0" w:right="0" w:hanging="0"/>
              <w:jc w:val="center"/>
              <w:rPr>
                <w:rFonts w:ascii="Times New Roman" w:hAnsi="Times New Roman"/>
                <w:b w:val="false"/>
                <w:sz w:val="20"/>
              </w:rPr>
            </w:pPr>
            <w:r>
              <w:rPr>
                <w:rFonts w:ascii="Times New Roman" w:hAnsi="Times New Roman"/>
                <w:b w:val="false"/>
                <w:sz w:val="20"/>
              </w:rPr>
              <w:t>65.20% - 66.92%</w:t>
            </w:r>
          </w:p>
        </w:tc>
        <w:tc>
          <w:tcPr>
            <w:tcW w:w="191" w:type="dxa"/>
            <w:tcBorders/>
            <w:shd w:fill="auto" w:val="clear"/>
            <w:vAlign w:val="center"/>
          </w:tcPr>
          <w:p>
            <w:pPr>
              <w:pStyle w:val="TableContents"/>
              <w:spacing w:lineRule="auto" w:line="252" w:before="0" w:after="0"/>
              <w:ind w:left="0" w:right="0" w:hanging="0"/>
              <w:jc w:val="center"/>
              <w:rPr/>
            </w:pPr>
            <w:r>
              <w:rPr/>
              <w:t> </w:t>
            </w:r>
          </w:p>
        </w:tc>
      </w:tr>
      <w:tr>
        <w:trPr/>
        <w:tc>
          <w:tcPr>
            <w:tcW w:w="2131" w:type="dxa"/>
            <w:tcBorders/>
            <w:shd w:fill="auto" w:val="clear"/>
            <w:vAlign w:val="center"/>
          </w:tcPr>
          <w:p>
            <w:pPr>
              <w:pStyle w:val="TableContents"/>
              <w:spacing w:lineRule="auto" w:line="252" w:before="0" w:after="0"/>
              <w:ind w:left="0" w:right="0" w:hanging="0"/>
              <w:jc w:val="left"/>
              <w:rPr>
                <w:rFonts w:ascii="Times New Roman" w:hAnsi="Times New Roman"/>
                <w:b w:val="false"/>
                <w:sz w:val="20"/>
              </w:rPr>
            </w:pPr>
            <w:r>
              <w:rPr>
                <w:rFonts w:ascii="Times New Roman" w:hAnsi="Times New Roman"/>
                <w:b w:val="false"/>
                <w:sz w:val="20"/>
              </w:rPr>
              <w:t>Risk-free interest rate</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650" w:type="dxa"/>
            <w:gridSpan w:val="2"/>
            <w:tcBorders/>
            <w:shd w:fill="auto" w:val="clear"/>
            <w:vAlign w:val="center"/>
          </w:tcPr>
          <w:p>
            <w:pPr>
              <w:pStyle w:val="TableContents"/>
              <w:spacing w:lineRule="auto" w:line="252" w:before="0" w:after="0"/>
              <w:ind w:left="0" w:right="0" w:hanging="0"/>
              <w:jc w:val="center"/>
              <w:rPr>
                <w:rFonts w:ascii="Times New Roman" w:hAnsi="Times New Roman"/>
                <w:b w:val="false"/>
                <w:sz w:val="20"/>
              </w:rPr>
            </w:pPr>
            <w:r>
              <w:rPr>
                <w:rFonts w:ascii="Times New Roman" w:hAnsi="Times New Roman"/>
                <w:b w:val="false"/>
                <w:sz w:val="20"/>
              </w:rPr>
              <w:t>1.47% - 2.55%</w:t>
            </w:r>
          </w:p>
        </w:tc>
        <w:tc>
          <w:tcPr>
            <w:tcW w:w="191" w:type="dxa"/>
            <w:tcBorders/>
            <w:shd w:fill="auto" w:val="clear"/>
            <w:vAlign w:val="center"/>
          </w:tcPr>
          <w:p>
            <w:pPr>
              <w:pStyle w:val="TableContents"/>
              <w:spacing w:lineRule="auto" w:line="252" w:before="0" w:after="0"/>
              <w:ind w:left="0" w:right="0" w:hanging="0"/>
              <w:jc w:val="center"/>
              <w:rPr/>
            </w:pPr>
            <w:r>
              <w:rPr/>
              <w:t> </w:t>
            </w:r>
          </w:p>
        </w:tc>
      </w:tr>
      <w:tr>
        <w:trPr/>
        <w:tc>
          <w:tcPr>
            <w:tcW w:w="2131" w:type="dxa"/>
            <w:tcBorders/>
            <w:shd w:fill="auto" w:val="clear"/>
            <w:vAlign w:val="center"/>
          </w:tcPr>
          <w:p>
            <w:pPr>
              <w:pStyle w:val="TableContents"/>
              <w:spacing w:lineRule="auto" w:line="252" w:before="0" w:after="0"/>
              <w:ind w:left="0" w:right="0" w:hanging="0"/>
              <w:jc w:val="left"/>
              <w:rPr>
                <w:rFonts w:ascii="Times New Roman" w:hAnsi="Times New Roman"/>
                <w:b w:val="false"/>
                <w:sz w:val="20"/>
              </w:rPr>
            </w:pPr>
            <w:r>
              <w:rPr>
                <w:rFonts w:ascii="Times New Roman" w:hAnsi="Times New Roman"/>
                <w:b w:val="false"/>
                <w:sz w:val="20"/>
              </w:rPr>
              <w:t>Expected dividend yield</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488" w:type="dxa"/>
            <w:tcBorders/>
            <w:shd w:fill="auto" w:val="clear"/>
            <w:vAlign w:val="center"/>
          </w:tcPr>
          <w:p>
            <w:pPr>
              <w:pStyle w:val="TableContents"/>
              <w:spacing w:lineRule="auto" w:line="252" w:before="0" w:after="0"/>
              <w:ind w:left="0" w:right="0" w:hanging="0"/>
              <w:jc w:val="left"/>
              <w:rPr/>
            </w:pPr>
            <w:r>
              <w:rPr/>
              <w:t> </w:t>
            </w:r>
          </w:p>
        </w:tc>
        <w:tc>
          <w:tcPr>
            <w:tcW w:w="1162" w:type="dxa"/>
            <w:tcBorders/>
            <w:shd w:fill="auto" w:val="clear"/>
            <w:vAlign w:val="center"/>
          </w:tcPr>
          <w:p>
            <w:pPr>
              <w:pStyle w:val="TableContents"/>
              <w:spacing w:lineRule="auto" w:line="252" w:before="0" w:after="0"/>
              <w:ind w:left="0" w:right="0" w:hanging="0"/>
              <w:jc w:val="right"/>
              <w:rPr/>
            </w:pPr>
            <w:r>
              <w:rPr/>
              <w:t>—</w:t>
            </w:r>
          </w:p>
        </w:tc>
        <w:tc>
          <w:tcPr>
            <w:tcW w:w="191" w:type="dxa"/>
            <w:tcBorders/>
            <w:shd w:fill="auto" w:val="clear"/>
            <w:vAlign w:val="center"/>
          </w:tcPr>
          <w:p>
            <w:pPr>
              <w:pStyle w:val="TableContents"/>
              <w:spacing w:lineRule="auto" w:line="252" w:before="0" w:after="0"/>
              <w:ind w:left="0" w:right="0" w:hanging="0"/>
              <w:jc w:val="left"/>
              <w:rPr/>
            </w:pPr>
            <w:r>
              <w:rPr/>
              <w:t> </w:t>
            </w:r>
          </w:p>
        </w:tc>
      </w:tr>
    </w:tbl>
    <w:p>
      <w:pPr>
        <w:pStyle w:val="TextBody"/>
        <w:spacing w:lineRule="auto" w:line="273" w:before="0" w:after="0"/>
        <w:jc w:val="left"/>
        <w:rPr/>
      </w:pPr>
      <w:r>
        <w:rPr/>
        <w:t> </w:t>
      </w:r>
    </w:p>
    <w:p>
      <w:pPr>
        <w:pStyle w:val="TextBody"/>
        <w:spacing w:lineRule="auto" w:line="273" w:before="0" w:after="0"/>
        <w:jc w:val="left"/>
        <w:rPr>
          <w:rFonts w:ascii="Times New Roman" w:hAnsi="Times New Roman"/>
          <w:sz w:val="20"/>
        </w:rPr>
      </w:pPr>
      <w:r>
        <w:rPr>
          <w:rFonts w:ascii="Times New Roman" w:hAnsi="Times New Roman"/>
          <w:b w:val="false"/>
          <w:sz w:val="20"/>
        </w:rPr>
        <w:t>For the three months ended March 31, 2022, the Company did not grant any ESPP awards.</w:t>
      </w:r>
      <w:r>
        <w:rPr>
          <w:rFonts w:ascii="Times New Roman" w:hAnsi="Times New Roman"/>
          <w:sz w:val="20"/>
        </w:rPr>
        <w:t xml:space="preserve"> </w:t>
      </w:r>
    </w:p>
    <w:p>
      <w:pPr>
        <w:pStyle w:val="TextBody"/>
        <w:spacing w:lineRule="auto" w:line="273" w:before="0" w:after="0"/>
        <w:jc w:val="left"/>
        <w:rPr/>
      </w:pPr>
      <w:r>
        <w:rPr/>
        <w:t> </w:t>
      </w:r>
    </w:p>
    <w:p>
      <w:pPr>
        <w:pStyle w:val="TextBody"/>
        <w:spacing w:lineRule="auto" w:line="273" w:before="0" w:after="0"/>
        <w:jc w:val="left"/>
        <w:rPr>
          <w:rFonts w:ascii="Times New Roman" w:hAnsi="Times New Roman"/>
          <w:sz w:val="20"/>
        </w:rPr>
      </w:pPr>
      <w:r>
        <w:rPr>
          <w:rFonts w:ascii="Times New Roman" w:hAnsi="Times New Roman"/>
          <w:b w:val="false"/>
          <w:sz w:val="20"/>
        </w:rPr>
        <w:t>Share/stock-based compensation expense recorded in the accompanying Condensed Consolidated Statements of Operations and Comprehensive Loss is as follows (in thousands):</w:t>
      </w:r>
      <w:r>
        <w:rPr>
          <w:rFonts w:ascii="Times New Roman" w:hAnsi="Times New Roman"/>
          <w:sz w:val="20"/>
        </w:rPr>
        <w:t xml:space="preserve"> </w:t>
      </w:r>
    </w:p>
    <w:p>
      <w:pPr>
        <w:pStyle w:val="TextBody"/>
        <w:spacing w:lineRule="auto" w:line="273" w:before="0" w:after="0"/>
        <w:jc w:val="left"/>
        <w:rPr/>
      </w:pPr>
      <w:r>
        <w:rPr/>
        <w:t> </w:t>
      </w:r>
    </w:p>
    <w:tbl>
      <w:tblPr>
        <w:tblW w:w="5479" w:type="dxa"/>
        <w:jc w:val="left"/>
        <w:tblInd w:w="0" w:type="dxa"/>
        <w:tblCellMar>
          <w:top w:w="28" w:type="dxa"/>
          <w:left w:w="28" w:type="dxa"/>
          <w:bottom w:w="28" w:type="dxa"/>
          <w:right w:w="28" w:type="dxa"/>
        </w:tblCellMar>
      </w:tblPr>
      <w:tblGrid>
        <w:gridCol w:w="3436"/>
        <w:gridCol w:w="146"/>
        <w:gridCol w:w="211"/>
        <w:gridCol w:w="571"/>
        <w:gridCol w:w="146"/>
        <w:gridCol w:w="146"/>
        <w:gridCol w:w="211"/>
        <w:gridCol w:w="421"/>
        <w:gridCol w:w="191"/>
      </w:tblGrid>
      <w:tr>
        <w:trPr/>
        <w:tc>
          <w:tcPr>
            <w:tcW w:w="343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571"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421" w:type="dxa"/>
            <w:tcBorders/>
            <w:shd w:fill="auto" w:val="clear"/>
            <w:vAlign w:val="center"/>
          </w:tcPr>
          <w:p>
            <w:pPr>
              <w:pStyle w:val="TableContents"/>
              <w:spacing w:before="0" w:after="283"/>
              <w:rPr>
                <w:sz w:val="4"/>
                <w:szCs w:val="4"/>
              </w:rPr>
            </w:pPr>
            <w:r>
              <w:rPr>
                <w:sz w:val="4"/>
                <w:szCs w:val="4"/>
              </w:rPr>
            </w:r>
          </w:p>
        </w:tc>
        <w:tc>
          <w:tcPr>
            <w:tcW w:w="191" w:type="dxa"/>
            <w:tcBorders/>
            <w:shd w:fill="auto" w:val="clear"/>
            <w:vAlign w:val="center"/>
          </w:tcPr>
          <w:p>
            <w:pPr>
              <w:pStyle w:val="TableContents"/>
              <w:spacing w:before="0" w:after="283"/>
              <w:rPr>
                <w:sz w:val="4"/>
                <w:szCs w:val="4"/>
              </w:rPr>
            </w:pPr>
            <w:r>
              <w:rPr>
                <w:sz w:val="4"/>
                <w:szCs w:val="4"/>
              </w:rPr>
            </w:r>
          </w:p>
        </w:tc>
      </w:tr>
      <w:tr>
        <w:trPr/>
        <w:tc>
          <w:tcPr>
            <w:tcW w:w="3436" w:type="dxa"/>
            <w:tcBorders/>
            <w:shd w:fill="auto" w:val="clear"/>
            <w:vAlign w:val="center"/>
          </w:tcPr>
          <w:p>
            <w:pPr>
              <w:pStyle w:val="TableContents"/>
              <w:spacing w:lineRule="auto" w:line="252" w:before="0" w:after="0"/>
              <w:ind w:left="0" w:right="0" w:hanging="0"/>
              <w:jc w:val="center"/>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706" w:type="dxa"/>
            <w:gridSpan w:val="6"/>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center"/>
              <w:rPr>
                <w:rFonts w:ascii="Times New Roman" w:hAnsi="Times New Roman"/>
                <w:b/>
                <w:sz w:val="16"/>
              </w:rPr>
            </w:pPr>
            <w:r>
              <w:rPr>
                <w:rFonts w:ascii="Times New Roman" w:hAnsi="Times New Roman"/>
                <w:b/>
                <w:sz w:val="16"/>
              </w:rPr>
              <w:t>Three Months Ended</w:t>
              <w:br/>
              <w:t>March 31,</w:t>
            </w:r>
          </w:p>
        </w:tc>
        <w:tc>
          <w:tcPr>
            <w:tcW w:w="191"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center"/>
              <w:rPr/>
            </w:pPr>
            <w:r>
              <w:rPr/>
              <w:t> </w:t>
            </w:r>
          </w:p>
        </w:tc>
      </w:tr>
      <w:tr>
        <w:trPr/>
        <w:tc>
          <w:tcPr>
            <w:tcW w:w="3436" w:type="dxa"/>
            <w:tcBorders/>
            <w:shd w:fill="auto" w:val="clear"/>
            <w:vAlign w:val="center"/>
          </w:tcPr>
          <w:p>
            <w:pPr>
              <w:pStyle w:val="TableContents"/>
              <w:spacing w:lineRule="auto" w:line="252" w:before="0" w:after="0"/>
              <w:ind w:left="0" w:right="0" w:hanging="0"/>
              <w:jc w:val="center"/>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782" w:type="dxa"/>
            <w:gridSpan w:val="2"/>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center"/>
              <w:rPr>
                <w:rFonts w:ascii="Times New Roman" w:hAnsi="Times New Roman"/>
                <w:b/>
                <w:sz w:val="16"/>
              </w:rPr>
            </w:pPr>
            <w:r>
              <w:rPr>
                <w:rFonts w:ascii="Times New Roman" w:hAnsi="Times New Roman"/>
                <w:b/>
                <w:sz w:val="16"/>
              </w:rPr>
              <w:t>2022</w:t>
            </w:r>
          </w:p>
        </w:tc>
        <w:tc>
          <w:tcPr>
            <w:tcW w:w="146"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center"/>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632" w:type="dxa"/>
            <w:gridSpan w:val="2"/>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center"/>
              <w:rPr>
                <w:rFonts w:ascii="Times New Roman" w:hAnsi="Times New Roman"/>
                <w:b/>
                <w:sz w:val="16"/>
              </w:rPr>
            </w:pPr>
            <w:r>
              <w:rPr>
                <w:rFonts w:ascii="Times New Roman" w:hAnsi="Times New Roman"/>
                <w:b/>
                <w:sz w:val="16"/>
              </w:rPr>
              <w:t>2021</w:t>
            </w:r>
          </w:p>
        </w:tc>
        <w:tc>
          <w:tcPr>
            <w:tcW w:w="191"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center"/>
              <w:rPr/>
            </w:pPr>
            <w:r>
              <w:rPr/>
              <w:t> </w:t>
            </w:r>
          </w:p>
        </w:tc>
      </w:tr>
      <w:tr>
        <w:trPr/>
        <w:tc>
          <w:tcPr>
            <w:tcW w:w="3436" w:type="dxa"/>
            <w:tcBorders/>
            <w:shd w:fill="auto" w:val="clear"/>
            <w:vAlign w:val="center"/>
          </w:tcPr>
          <w:p>
            <w:pPr>
              <w:pStyle w:val="TableContents"/>
              <w:spacing w:lineRule="auto" w:line="252" w:before="0" w:after="0"/>
              <w:ind w:left="0" w:right="0" w:hanging="0"/>
              <w:jc w:val="left"/>
              <w:rPr>
                <w:rFonts w:ascii="Times New Roman" w:hAnsi="Times New Roman"/>
                <w:b w:val="false"/>
                <w:sz w:val="20"/>
              </w:rPr>
            </w:pPr>
            <w:r>
              <w:rPr>
                <w:rFonts w:ascii="Times New Roman" w:hAnsi="Times New Roman"/>
                <w:b w:val="false"/>
                <w:sz w:val="20"/>
              </w:rPr>
              <w:t>Research and development expense</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211" w:type="dxa"/>
            <w:tcBorders/>
            <w:shd w:fill="auto" w:val="clear"/>
            <w:vAlign w:val="center"/>
          </w:tcPr>
          <w:p>
            <w:pPr>
              <w:pStyle w:val="TableContents"/>
              <w:spacing w:lineRule="auto" w:line="252" w:before="0" w:after="0"/>
              <w:ind w:left="0" w:right="0" w:hanging="0"/>
              <w:jc w:val="left"/>
              <w:rPr>
                <w:rFonts w:ascii="Times New Roman" w:hAnsi="Times New Roman"/>
                <w:b w:val="false"/>
                <w:sz w:val="20"/>
              </w:rPr>
            </w:pPr>
            <w:r>
              <w:rPr>
                <w:rFonts w:ascii="Times New Roman" w:hAnsi="Times New Roman"/>
                <w:b w:val="false"/>
                <w:sz w:val="20"/>
              </w:rPr>
              <w:t>$</w:t>
            </w:r>
          </w:p>
        </w:tc>
        <w:tc>
          <w:tcPr>
            <w:tcW w:w="571" w:type="dxa"/>
            <w:tcBorders/>
            <w:shd w:fill="auto" w:val="clear"/>
            <w:vAlign w:val="center"/>
          </w:tcPr>
          <w:p>
            <w:pPr>
              <w:pStyle w:val="TableContents"/>
              <w:spacing w:lineRule="auto" w:line="252" w:before="0" w:after="0"/>
              <w:ind w:left="0" w:right="0" w:hanging="0"/>
              <w:jc w:val="right"/>
              <w:rPr>
                <w:rFonts w:ascii="Times New Roman" w:hAnsi="Times New Roman"/>
                <w:b w:val="false"/>
                <w:sz w:val="20"/>
              </w:rPr>
            </w:pPr>
            <w:r>
              <w:rPr>
                <w:rFonts w:ascii="Times New Roman" w:hAnsi="Times New Roman"/>
                <w:b w:val="false"/>
                <w:sz w:val="20"/>
              </w:rPr>
              <w:t>2,147</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211" w:type="dxa"/>
            <w:tcBorders/>
            <w:shd w:fill="auto" w:val="clear"/>
            <w:vAlign w:val="center"/>
          </w:tcPr>
          <w:p>
            <w:pPr>
              <w:pStyle w:val="TableContents"/>
              <w:spacing w:lineRule="auto" w:line="252" w:before="0" w:after="0"/>
              <w:ind w:left="0" w:right="0" w:hanging="0"/>
              <w:jc w:val="left"/>
              <w:rPr>
                <w:rFonts w:ascii="Times New Roman" w:hAnsi="Times New Roman"/>
                <w:b w:val="false"/>
                <w:sz w:val="20"/>
              </w:rPr>
            </w:pPr>
            <w:r>
              <w:rPr>
                <w:rFonts w:ascii="Times New Roman" w:hAnsi="Times New Roman"/>
                <w:b w:val="false"/>
                <w:sz w:val="20"/>
              </w:rPr>
              <w:t>$</w:t>
            </w:r>
          </w:p>
        </w:tc>
        <w:tc>
          <w:tcPr>
            <w:tcW w:w="421" w:type="dxa"/>
            <w:tcBorders/>
            <w:shd w:fill="auto" w:val="clear"/>
            <w:vAlign w:val="center"/>
          </w:tcPr>
          <w:p>
            <w:pPr>
              <w:pStyle w:val="TableContents"/>
              <w:spacing w:lineRule="auto" w:line="252" w:before="0" w:after="0"/>
              <w:ind w:left="0" w:right="0" w:hanging="0"/>
              <w:jc w:val="right"/>
              <w:rPr>
                <w:rFonts w:ascii="Times New Roman" w:hAnsi="Times New Roman"/>
                <w:b w:val="false"/>
                <w:sz w:val="20"/>
              </w:rPr>
            </w:pPr>
            <w:r>
              <w:rPr>
                <w:rFonts w:ascii="Times New Roman" w:hAnsi="Times New Roman"/>
                <w:b w:val="false"/>
                <w:sz w:val="20"/>
              </w:rPr>
              <w:t>119</w:t>
            </w:r>
          </w:p>
        </w:tc>
        <w:tc>
          <w:tcPr>
            <w:tcW w:w="191" w:type="dxa"/>
            <w:tcBorders/>
            <w:shd w:fill="auto" w:val="clear"/>
            <w:vAlign w:val="center"/>
          </w:tcPr>
          <w:p>
            <w:pPr>
              <w:pStyle w:val="TableContents"/>
              <w:spacing w:lineRule="auto" w:line="252" w:before="0" w:after="0"/>
              <w:ind w:left="0" w:right="0" w:hanging="0"/>
              <w:jc w:val="left"/>
              <w:rPr/>
            </w:pPr>
            <w:r>
              <w:rPr/>
              <w:t> </w:t>
            </w:r>
          </w:p>
        </w:tc>
      </w:tr>
      <w:tr>
        <w:trPr/>
        <w:tc>
          <w:tcPr>
            <w:tcW w:w="3436" w:type="dxa"/>
            <w:tcBorders/>
            <w:shd w:fill="auto" w:val="clear"/>
            <w:vAlign w:val="center"/>
          </w:tcPr>
          <w:p>
            <w:pPr>
              <w:pStyle w:val="TableContents"/>
              <w:spacing w:lineRule="auto" w:line="252" w:before="0" w:after="0"/>
              <w:ind w:left="0" w:right="0" w:hanging="0"/>
              <w:jc w:val="left"/>
              <w:rPr>
                <w:rFonts w:ascii="Times New Roman" w:hAnsi="Times New Roman"/>
                <w:b w:val="false"/>
                <w:sz w:val="20"/>
              </w:rPr>
            </w:pPr>
            <w:r>
              <w:rPr>
                <w:rFonts w:ascii="Times New Roman" w:hAnsi="Times New Roman"/>
                <w:b w:val="false"/>
                <w:sz w:val="20"/>
              </w:rPr>
              <w:t>General and administrative expense</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211"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c>
          <w:tcPr>
            <w:tcW w:w="571"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right"/>
              <w:rPr>
                <w:rFonts w:ascii="Times New Roman" w:hAnsi="Times New Roman"/>
                <w:b w:val="false"/>
                <w:sz w:val="20"/>
              </w:rPr>
            </w:pPr>
            <w:r>
              <w:rPr>
                <w:rFonts w:ascii="Times New Roman" w:hAnsi="Times New Roman"/>
                <w:b w:val="false"/>
                <w:sz w:val="20"/>
              </w:rPr>
              <w:t>4,055</w:t>
            </w:r>
          </w:p>
        </w:tc>
        <w:tc>
          <w:tcPr>
            <w:tcW w:w="146"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211"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c>
          <w:tcPr>
            <w:tcW w:w="421"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right"/>
              <w:rPr>
                <w:rFonts w:ascii="Times New Roman" w:hAnsi="Times New Roman"/>
                <w:b w:val="false"/>
                <w:sz w:val="20"/>
              </w:rPr>
            </w:pPr>
            <w:r>
              <w:rPr>
                <w:rFonts w:ascii="Times New Roman" w:hAnsi="Times New Roman"/>
                <w:b w:val="false"/>
                <w:sz w:val="20"/>
              </w:rPr>
              <w:t>419</w:t>
            </w:r>
          </w:p>
        </w:tc>
        <w:tc>
          <w:tcPr>
            <w:tcW w:w="191"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r>
      <w:tr>
        <w:trPr/>
        <w:tc>
          <w:tcPr>
            <w:tcW w:w="3436" w:type="dxa"/>
            <w:tcBorders/>
            <w:shd w:fill="auto" w:val="clear"/>
            <w:vAlign w:val="center"/>
          </w:tcPr>
          <w:p>
            <w:pPr>
              <w:pStyle w:val="TableContents"/>
              <w:spacing w:lineRule="auto" w:line="252" w:before="0" w:after="0"/>
              <w:ind w:left="0" w:right="0" w:hanging="0"/>
              <w:jc w:val="left"/>
              <w:rPr>
                <w:rFonts w:ascii="Times New Roman" w:hAnsi="Times New Roman"/>
                <w:b w:val="false"/>
                <w:sz w:val="20"/>
              </w:rPr>
            </w:pPr>
            <w:r>
              <w:rPr>
                <w:rFonts w:ascii="Times New Roman" w:hAnsi="Times New Roman"/>
                <w:b w:val="false"/>
                <w:sz w:val="20"/>
              </w:rPr>
              <w:t>Total share-based compensation expense</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211" w:type="dxa"/>
            <w:tcBorders>
              <w:bottom w:val="double" w:sz="6"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rFonts w:ascii="Times New Roman" w:hAnsi="Times New Roman"/>
                <w:b w:val="false"/>
                <w:sz w:val="20"/>
              </w:rPr>
            </w:pPr>
            <w:r>
              <w:rPr>
                <w:rFonts w:ascii="Times New Roman" w:hAnsi="Times New Roman"/>
                <w:b w:val="false"/>
                <w:sz w:val="20"/>
              </w:rPr>
              <w:t>$</w:t>
            </w:r>
          </w:p>
        </w:tc>
        <w:tc>
          <w:tcPr>
            <w:tcW w:w="571" w:type="dxa"/>
            <w:tcBorders>
              <w:bottom w:val="double" w:sz="6" w:space="0" w:color="000000"/>
            </w:tcBorders>
            <w:shd w:fill="auto" w:val="clear"/>
            <w:tcMar>
              <w:top w:w="0" w:type="dxa"/>
              <w:left w:w="0" w:type="dxa"/>
              <w:right w:w="0" w:type="dxa"/>
            </w:tcMar>
            <w:vAlign w:val="center"/>
          </w:tcPr>
          <w:p>
            <w:pPr>
              <w:pStyle w:val="TableContents"/>
              <w:spacing w:lineRule="auto" w:line="252" w:before="0" w:after="0"/>
              <w:ind w:left="0" w:right="0" w:hanging="0"/>
              <w:jc w:val="right"/>
              <w:rPr>
                <w:rFonts w:ascii="Times New Roman" w:hAnsi="Times New Roman"/>
                <w:b w:val="false"/>
                <w:sz w:val="20"/>
              </w:rPr>
            </w:pPr>
            <w:r>
              <w:rPr>
                <w:rFonts w:ascii="Times New Roman" w:hAnsi="Times New Roman"/>
                <w:b w:val="false"/>
                <w:sz w:val="20"/>
              </w:rPr>
              <w:t>6,202</w:t>
            </w:r>
          </w:p>
        </w:tc>
        <w:tc>
          <w:tcPr>
            <w:tcW w:w="146" w:type="dxa"/>
            <w:tcBorders>
              <w:bottom w:val="double" w:sz="6"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211" w:type="dxa"/>
            <w:tcBorders>
              <w:bottom w:val="double" w:sz="6"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rFonts w:ascii="Times New Roman" w:hAnsi="Times New Roman"/>
                <w:b w:val="false"/>
                <w:sz w:val="20"/>
              </w:rPr>
            </w:pPr>
            <w:r>
              <w:rPr>
                <w:rFonts w:ascii="Times New Roman" w:hAnsi="Times New Roman"/>
                <w:b w:val="false"/>
                <w:sz w:val="20"/>
              </w:rPr>
              <w:t>$</w:t>
            </w:r>
          </w:p>
        </w:tc>
        <w:tc>
          <w:tcPr>
            <w:tcW w:w="421" w:type="dxa"/>
            <w:tcBorders>
              <w:bottom w:val="double" w:sz="6" w:space="0" w:color="000000"/>
            </w:tcBorders>
            <w:shd w:fill="auto" w:val="clear"/>
            <w:tcMar>
              <w:top w:w="0" w:type="dxa"/>
              <w:left w:w="0" w:type="dxa"/>
              <w:right w:w="0" w:type="dxa"/>
            </w:tcMar>
            <w:vAlign w:val="center"/>
          </w:tcPr>
          <w:p>
            <w:pPr>
              <w:pStyle w:val="TableContents"/>
              <w:spacing w:lineRule="auto" w:line="252" w:before="0" w:after="0"/>
              <w:ind w:left="0" w:right="0" w:hanging="0"/>
              <w:jc w:val="right"/>
              <w:rPr>
                <w:rFonts w:ascii="Times New Roman" w:hAnsi="Times New Roman"/>
                <w:b w:val="false"/>
                <w:sz w:val="20"/>
              </w:rPr>
            </w:pPr>
            <w:r>
              <w:rPr>
                <w:rFonts w:ascii="Times New Roman" w:hAnsi="Times New Roman"/>
                <w:b w:val="false"/>
                <w:sz w:val="20"/>
              </w:rPr>
              <w:t>538</w:t>
            </w:r>
          </w:p>
        </w:tc>
        <w:tc>
          <w:tcPr>
            <w:tcW w:w="191" w:type="dxa"/>
            <w:tcBorders>
              <w:bottom w:val="double" w:sz="6"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r>
    </w:tbl>
    <w:p>
      <w:pPr>
        <w:pStyle w:val="TextBody"/>
        <w:spacing w:lineRule="auto" w:line="273" w:before="0" w:after="0"/>
        <w:jc w:val="left"/>
        <w:rPr/>
      </w:pPr>
      <w:r>
        <w:rPr/>
        <w:t> </w:t>
      </w:r>
    </w:p>
    <w:p>
      <w:pPr>
        <w:pStyle w:val="TextBody"/>
        <w:spacing w:lineRule="auto" w:line="273" w:before="0" w:after="0"/>
        <w:jc w:val="left"/>
        <w:rPr>
          <w:rFonts w:ascii="Times New Roman" w:hAnsi="Times New Roman"/>
          <w:sz w:val="20"/>
        </w:rPr>
      </w:pPr>
      <w:r>
        <w:rPr>
          <w:rFonts w:ascii="Times New Roman" w:hAnsi="Times New Roman"/>
          <w:b w:val="false"/>
          <w:sz w:val="20"/>
        </w:rPr>
        <w:t>As of March 31, 2022, there was $70.9</w:t>
      </w:r>
      <w:r>
        <w:rPr>
          <w:rFonts w:ascii="Times New Roman" w:hAnsi="Times New Roman"/>
          <w:sz w:val="20"/>
        </w:rPr>
        <w:t xml:space="preserve"> </w:t>
      </w:r>
      <w:r>
        <w:rPr>
          <w:rFonts w:ascii="Times New Roman" w:hAnsi="Times New Roman"/>
          <w:b w:val="false"/>
          <w:sz w:val="20"/>
        </w:rPr>
        <w:t>million of unrecognized compensation cost related to unvested restricted stock, unvested restricted stock units and stock options that is expected to be recognized over a weighted-average period of approximately 3.1</w:t>
      </w:r>
      <w:r>
        <w:rPr>
          <w:rFonts w:ascii="Times New Roman" w:hAnsi="Times New Roman"/>
          <w:sz w:val="20"/>
        </w:rPr>
        <w:t xml:space="preserve"> </w:t>
      </w:r>
      <w:r>
        <w:rPr>
          <w:rFonts w:ascii="Times New Roman" w:hAnsi="Times New Roman"/>
          <w:b w:val="false"/>
          <w:sz w:val="20"/>
        </w:rPr>
        <w:t>years.</w:t>
      </w:r>
      <w:r>
        <w:rPr>
          <w:rFonts w:ascii="Times New Roman" w:hAnsi="Times New Roman"/>
          <w:sz w:val="20"/>
        </w:rPr>
        <w:t xml:space="preserve"> </w:t>
      </w:r>
    </w:p>
    <w:p>
      <w:pPr>
        <w:pStyle w:val="TextBody"/>
        <w:spacing w:lineRule="auto" w:line="273" w:before="360" w:after="0"/>
        <w:jc w:val="left"/>
        <w:rPr>
          <w:rFonts w:ascii="Times New Roman" w:hAnsi="Times New Roman"/>
          <w:b/>
          <w:sz w:val="20"/>
        </w:rPr>
      </w:pPr>
      <w:r>
        <w:rPr>
          <w:rFonts w:ascii="Times New Roman" w:hAnsi="Times New Roman"/>
          <w:b/>
          <w:sz w:val="20"/>
        </w:rPr>
        <w:t>10.</w:t>
      </w:r>
    </w:p>
    <w:p>
      <w:pPr>
        <w:pStyle w:val="TextBody"/>
        <w:spacing w:lineRule="auto" w:line="273" w:before="360" w:after="283"/>
        <w:jc w:val="left"/>
        <w:rPr>
          <w:rFonts w:ascii="Times New Roman" w:hAnsi="Times New Roman"/>
          <w:b/>
          <w:sz w:val="20"/>
        </w:rPr>
      </w:pPr>
      <w:r>
        <w:rPr>
          <w:rFonts w:ascii="Times New Roman" w:hAnsi="Times New Roman"/>
          <w:b/>
          <w:sz w:val="20"/>
        </w:rPr>
        <w:t xml:space="preserve">Net Loss Per Share </w:t>
      </w:r>
    </w:p>
    <w:p>
      <w:pPr>
        <w:pStyle w:val="TextBody"/>
        <w:spacing w:lineRule="auto" w:line="273" w:before="120" w:after="0"/>
        <w:jc w:val="left"/>
        <w:rPr>
          <w:rFonts w:ascii="Times New Roman" w:hAnsi="Times New Roman"/>
          <w:sz w:val="20"/>
        </w:rPr>
      </w:pPr>
      <w:r>
        <w:rPr>
          <w:rFonts w:ascii="Times New Roman" w:hAnsi="Times New Roman"/>
          <w:b w:val="false"/>
          <w:sz w:val="20"/>
        </w:rPr>
        <w:t>Basic and diluted net loss per share attributable to common shareholders/stockholders after the Conversion is calculated as follows (in thousands except share and per share amounts):</w:t>
      </w:r>
      <w:r>
        <w:rPr>
          <w:rFonts w:ascii="Times New Roman" w:hAnsi="Times New Roman"/>
          <w:sz w:val="20"/>
        </w:rPr>
        <w:t xml:space="preserve"> </w:t>
      </w:r>
    </w:p>
    <w:p>
      <w:pPr>
        <w:pStyle w:val="TextBody"/>
        <w:spacing w:lineRule="auto" w:line="273" w:before="0" w:after="0"/>
        <w:jc w:val="left"/>
        <w:rPr/>
      </w:pPr>
      <w:r>
        <w:rPr/>
        <w:t> </w:t>
      </w:r>
    </w:p>
    <w:tbl>
      <w:tblPr>
        <w:tblW w:w="8969" w:type="dxa"/>
        <w:jc w:val="left"/>
        <w:tblInd w:w="0" w:type="dxa"/>
        <w:tblCellMar>
          <w:top w:w="28" w:type="dxa"/>
          <w:left w:w="28" w:type="dxa"/>
          <w:bottom w:w="28" w:type="dxa"/>
          <w:right w:w="28" w:type="dxa"/>
        </w:tblCellMar>
      </w:tblPr>
      <w:tblGrid>
        <w:gridCol w:w="5911"/>
        <w:gridCol w:w="146"/>
        <w:gridCol w:w="211"/>
        <w:gridCol w:w="1036"/>
        <w:gridCol w:w="166"/>
        <w:gridCol w:w="146"/>
        <w:gridCol w:w="211"/>
        <w:gridCol w:w="931"/>
        <w:gridCol w:w="211"/>
      </w:tblGrid>
      <w:tr>
        <w:trPr/>
        <w:tc>
          <w:tcPr>
            <w:tcW w:w="5911"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1036" w:type="dxa"/>
            <w:tcBorders/>
            <w:shd w:fill="auto" w:val="clear"/>
            <w:vAlign w:val="center"/>
          </w:tcPr>
          <w:p>
            <w:pPr>
              <w:pStyle w:val="TableContents"/>
              <w:spacing w:before="0" w:after="283"/>
              <w:rPr>
                <w:sz w:val="4"/>
                <w:szCs w:val="4"/>
              </w:rPr>
            </w:pPr>
            <w:r>
              <w:rPr>
                <w:sz w:val="4"/>
                <w:szCs w:val="4"/>
              </w:rPr>
            </w:r>
          </w:p>
        </w:tc>
        <w:tc>
          <w:tcPr>
            <w:tcW w:w="16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931"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r>
      <w:tr>
        <w:trPr/>
        <w:tc>
          <w:tcPr>
            <w:tcW w:w="5911" w:type="dxa"/>
            <w:tcBorders/>
            <w:shd w:fill="auto" w:val="clear"/>
            <w:vAlign w:val="center"/>
          </w:tcPr>
          <w:p>
            <w:pPr>
              <w:pStyle w:val="TableContents"/>
              <w:spacing w:lineRule="auto" w:line="252" w:before="0" w:after="0"/>
              <w:ind w:left="0" w:right="0" w:hanging="0"/>
              <w:jc w:val="center"/>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2701" w:type="dxa"/>
            <w:gridSpan w:val="6"/>
            <w:tcBorders/>
            <w:shd w:fill="auto" w:val="clear"/>
            <w:vAlign w:val="center"/>
          </w:tcPr>
          <w:p>
            <w:pPr>
              <w:pStyle w:val="TableContents"/>
              <w:spacing w:lineRule="auto" w:line="252" w:before="0" w:after="0"/>
              <w:ind w:left="0" w:right="0" w:hanging="0"/>
              <w:jc w:val="center"/>
              <w:rPr>
                <w:rFonts w:ascii="Times New Roman" w:hAnsi="Times New Roman"/>
                <w:b/>
                <w:sz w:val="16"/>
              </w:rPr>
            </w:pPr>
            <w:r>
              <w:rPr>
                <w:rFonts w:ascii="Times New Roman" w:hAnsi="Times New Roman"/>
                <w:b/>
                <w:sz w:val="16"/>
              </w:rPr>
              <w:t>Three Months Ended March 31,</w:t>
            </w:r>
          </w:p>
        </w:tc>
        <w:tc>
          <w:tcPr>
            <w:tcW w:w="211" w:type="dxa"/>
            <w:tcBorders/>
            <w:shd w:fill="auto" w:val="clear"/>
            <w:vAlign w:val="center"/>
          </w:tcPr>
          <w:p>
            <w:pPr>
              <w:pStyle w:val="TableContents"/>
              <w:spacing w:lineRule="auto" w:line="252" w:before="0" w:after="0"/>
              <w:ind w:left="0" w:right="0" w:hanging="0"/>
              <w:jc w:val="center"/>
              <w:rPr/>
            </w:pPr>
            <w:r>
              <w:rPr/>
              <w:t> </w:t>
            </w:r>
          </w:p>
        </w:tc>
      </w:tr>
      <w:tr>
        <w:trPr/>
        <w:tc>
          <w:tcPr>
            <w:tcW w:w="5911" w:type="dxa"/>
            <w:tcBorders/>
            <w:shd w:fill="auto" w:val="clear"/>
            <w:vAlign w:val="center"/>
          </w:tcPr>
          <w:p>
            <w:pPr>
              <w:pStyle w:val="TableContents"/>
              <w:spacing w:lineRule="auto" w:line="252" w:before="0" w:after="0"/>
              <w:ind w:left="0" w:right="0" w:hanging="0"/>
              <w:jc w:val="center"/>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247" w:type="dxa"/>
            <w:gridSpan w:val="2"/>
            <w:tcBorders>
              <w:top w:val="single" w:sz="4" w:space="0" w:color="000000"/>
              <w:bottom w:val="single" w:sz="4" w:space="0" w:color="000000"/>
            </w:tcBorders>
            <w:shd w:fill="auto" w:val="clear"/>
            <w:tcMar>
              <w:left w:w="0" w:type="dxa"/>
              <w:right w:w="0" w:type="dxa"/>
            </w:tcMar>
            <w:vAlign w:val="center"/>
          </w:tcPr>
          <w:p>
            <w:pPr>
              <w:pStyle w:val="TableContents"/>
              <w:spacing w:lineRule="auto" w:line="252" w:before="0" w:after="0"/>
              <w:ind w:left="0" w:right="0" w:hanging="0"/>
              <w:jc w:val="center"/>
              <w:rPr>
                <w:rFonts w:ascii="Times New Roman" w:hAnsi="Times New Roman"/>
                <w:b/>
                <w:sz w:val="16"/>
              </w:rPr>
            </w:pPr>
            <w:r>
              <w:rPr>
                <w:rFonts w:ascii="Times New Roman" w:hAnsi="Times New Roman"/>
                <w:b/>
                <w:sz w:val="16"/>
              </w:rPr>
              <w:t>2022</w:t>
            </w:r>
          </w:p>
        </w:tc>
        <w:tc>
          <w:tcPr>
            <w:tcW w:w="166" w:type="dxa"/>
            <w:tcBorders>
              <w:top w:val="single" w:sz="4" w:space="0" w:color="000000"/>
              <w:bottom w:val="single" w:sz="4" w:space="0" w:color="000000"/>
            </w:tcBorders>
            <w:shd w:fill="auto" w:val="clear"/>
            <w:tcMar>
              <w:left w:w="0" w:type="dxa"/>
              <w:right w:w="0" w:type="dxa"/>
            </w:tcMar>
            <w:vAlign w:val="center"/>
          </w:tcPr>
          <w:p>
            <w:pPr>
              <w:pStyle w:val="TableContents"/>
              <w:spacing w:lineRule="auto" w:line="252" w:before="0" w:after="0"/>
              <w:ind w:left="0" w:right="0" w:hanging="0"/>
              <w:jc w:val="center"/>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142" w:type="dxa"/>
            <w:gridSpan w:val="2"/>
            <w:tcBorders>
              <w:top w:val="single" w:sz="4" w:space="0" w:color="000000"/>
              <w:bottom w:val="single" w:sz="4" w:space="0" w:color="000000"/>
            </w:tcBorders>
            <w:shd w:fill="auto" w:val="clear"/>
            <w:tcMar>
              <w:left w:w="0" w:type="dxa"/>
              <w:right w:w="0" w:type="dxa"/>
            </w:tcMar>
            <w:vAlign w:val="center"/>
          </w:tcPr>
          <w:p>
            <w:pPr>
              <w:pStyle w:val="TableContents"/>
              <w:spacing w:lineRule="auto" w:line="252" w:before="0" w:after="0"/>
              <w:ind w:left="0" w:right="0" w:hanging="0"/>
              <w:jc w:val="center"/>
              <w:rPr>
                <w:rFonts w:ascii="Times New Roman" w:hAnsi="Times New Roman"/>
                <w:b/>
                <w:sz w:val="16"/>
              </w:rPr>
            </w:pPr>
            <w:r>
              <w:rPr>
                <w:rFonts w:ascii="Times New Roman" w:hAnsi="Times New Roman"/>
                <w:b/>
                <w:sz w:val="16"/>
              </w:rPr>
              <w:t>2021</w:t>
            </w:r>
          </w:p>
        </w:tc>
        <w:tc>
          <w:tcPr>
            <w:tcW w:w="211" w:type="dxa"/>
            <w:tcBorders>
              <w:top w:val="single" w:sz="4" w:space="0" w:color="000000"/>
              <w:bottom w:val="single" w:sz="4" w:space="0" w:color="000000"/>
            </w:tcBorders>
            <w:shd w:fill="auto" w:val="clear"/>
            <w:tcMar>
              <w:left w:w="0" w:type="dxa"/>
              <w:right w:w="0" w:type="dxa"/>
            </w:tcMar>
            <w:vAlign w:val="center"/>
          </w:tcPr>
          <w:p>
            <w:pPr>
              <w:pStyle w:val="TableContents"/>
              <w:spacing w:lineRule="auto" w:line="252" w:before="0" w:after="0"/>
              <w:ind w:left="0" w:right="0" w:hanging="0"/>
              <w:jc w:val="center"/>
              <w:rPr/>
            </w:pPr>
            <w:r>
              <w:rPr/>
              <w:t> </w:t>
            </w:r>
          </w:p>
        </w:tc>
      </w:tr>
      <w:tr>
        <w:trPr/>
        <w:tc>
          <w:tcPr>
            <w:tcW w:w="5911" w:type="dxa"/>
            <w:tcBorders/>
            <w:shd w:fill="auto" w:val="clear"/>
            <w:vAlign w:val="center"/>
          </w:tcPr>
          <w:p>
            <w:pPr>
              <w:pStyle w:val="TableContents"/>
              <w:spacing w:lineRule="auto" w:line="252" w:before="0" w:after="0"/>
              <w:ind w:left="0" w:right="0" w:hanging="0"/>
              <w:jc w:val="left"/>
              <w:rPr>
                <w:rFonts w:ascii="Times New Roman" w:hAnsi="Times New Roman"/>
                <w:b w:val="false"/>
                <w:sz w:val="20"/>
              </w:rPr>
            </w:pPr>
            <w:r>
              <w:rPr>
                <w:rFonts w:ascii="Times New Roman" w:hAnsi="Times New Roman"/>
                <w:b w:val="false"/>
                <w:sz w:val="20"/>
              </w:rPr>
              <w:t>Net loss and comprehensive loss</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211" w:type="dxa"/>
            <w:tcBorders/>
            <w:shd w:fill="auto" w:val="clear"/>
            <w:vAlign w:val="center"/>
          </w:tcPr>
          <w:p>
            <w:pPr>
              <w:pStyle w:val="TableContents"/>
              <w:spacing w:lineRule="auto" w:line="252" w:before="0" w:after="0"/>
              <w:ind w:left="0" w:right="0" w:hanging="0"/>
              <w:jc w:val="left"/>
              <w:rPr>
                <w:rFonts w:ascii="Times New Roman" w:hAnsi="Times New Roman"/>
                <w:b w:val="false"/>
                <w:sz w:val="20"/>
              </w:rPr>
            </w:pPr>
            <w:r>
              <w:rPr>
                <w:rFonts w:ascii="Times New Roman" w:hAnsi="Times New Roman"/>
                <w:b w:val="false"/>
                <w:sz w:val="20"/>
              </w:rPr>
              <w:t>$</w:t>
            </w:r>
          </w:p>
        </w:tc>
        <w:tc>
          <w:tcPr>
            <w:tcW w:w="1036" w:type="dxa"/>
            <w:tcBorders/>
            <w:shd w:fill="auto" w:val="clear"/>
            <w:vAlign w:val="center"/>
          </w:tcPr>
          <w:p>
            <w:pPr>
              <w:pStyle w:val="TableContents"/>
              <w:spacing w:lineRule="auto" w:line="252" w:before="0" w:after="0"/>
              <w:ind w:left="0" w:right="0" w:hanging="0"/>
              <w:jc w:val="right"/>
              <w:rPr>
                <w:rFonts w:ascii="Times New Roman" w:hAnsi="Times New Roman"/>
                <w:b w:val="false"/>
                <w:sz w:val="20"/>
              </w:rPr>
            </w:pPr>
            <w:r>
              <w:rPr>
                <w:rFonts w:ascii="Times New Roman" w:hAnsi="Times New Roman"/>
                <w:b w:val="false"/>
                <w:sz w:val="20"/>
              </w:rPr>
              <w:t>(27,747</w:t>
            </w:r>
          </w:p>
        </w:tc>
        <w:tc>
          <w:tcPr>
            <w:tcW w:w="166" w:type="dxa"/>
            <w:tcBorders/>
            <w:shd w:fill="auto" w:val="clear"/>
            <w:vAlign w:val="center"/>
          </w:tcPr>
          <w:p>
            <w:pPr>
              <w:pStyle w:val="TableContents"/>
              <w:spacing w:lineRule="auto" w:line="252" w:before="0" w:after="0"/>
              <w:ind w:left="0" w:right="0" w:hanging="0"/>
              <w:jc w:val="left"/>
              <w:rPr>
                <w:rFonts w:ascii="Times New Roman" w:hAnsi="Times New Roman"/>
                <w:b w:val="false"/>
                <w:sz w:val="20"/>
              </w:rPr>
            </w:pPr>
            <w:r>
              <w:rPr>
                <w:rFonts w:ascii="Times New Roman" w:hAnsi="Times New Roman"/>
                <w:b w:val="false"/>
                <w:sz w:val="20"/>
              </w:rPr>
              <w:t>)</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211" w:type="dxa"/>
            <w:tcBorders/>
            <w:shd w:fill="auto" w:val="clear"/>
            <w:vAlign w:val="center"/>
          </w:tcPr>
          <w:p>
            <w:pPr>
              <w:pStyle w:val="TableContents"/>
              <w:spacing w:lineRule="auto" w:line="252" w:before="0" w:after="0"/>
              <w:ind w:left="0" w:right="0" w:hanging="0"/>
              <w:jc w:val="left"/>
              <w:rPr>
                <w:rFonts w:ascii="Times New Roman" w:hAnsi="Times New Roman"/>
                <w:b w:val="false"/>
                <w:sz w:val="20"/>
              </w:rPr>
            </w:pPr>
            <w:r>
              <w:rPr>
                <w:rFonts w:ascii="Times New Roman" w:hAnsi="Times New Roman"/>
                <w:b w:val="false"/>
                <w:sz w:val="20"/>
              </w:rPr>
              <w:t>$</w:t>
            </w:r>
          </w:p>
        </w:tc>
        <w:tc>
          <w:tcPr>
            <w:tcW w:w="931" w:type="dxa"/>
            <w:tcBorders/>
            <w:shd w:fill="auto" w:val="clear"/>
            <w:vAlign w:val="center"/>
          </w:tcPr>
          <w:p>
            <w:pPr>
              <w:pStyle w:val="TableContents"/>
              <w:spacing w:lineRule="auto" w:line="252" w:before="0" w:after="0"/>
              <w:ind w:left="0" w:right="0" w:hanging="0"/>
              <w:jc w:val="right"/>
              <w:rPr>
                <w:rFonts w:ascii="Times New Roman" w:hAnsi="Times New Roman"/>
                <w:b w:val="false"/>
                <w:sz w:val="20"/>
              </w:rPr>
            </w:pPr>
            <w:r>
              <w:rPr>
                <w:rFonts w:ascii="Times New Roman" w:hAnsi="Times New Roman"/>
                <w:b w:val="false"/>
                <w:sz w:val="20"/>
              </w:rPr>
              <w:t>(16,101</w:t>
            </w:r>
          </w:p>
        </w:tc>
        <w:tc>
          <w:tcPr>
            <w:tcW w:w="211" w:type="dxa"/>
            <w:tcBorders/>
            <w:shd w:fill="auto" w:val="clear"/>
            <w:vAlign w:val="center"/>
          </w:tcPr>
          <w:p>
            <w:pPr>
              <w:pStyle w:val="TableContents"/>
              <w:spacing w:lineRule="auto" w:line="252" w:before="0" w:after="0"/>
              <w:ind w:left="0" w:right="0" w:hanging="0"/>
              <w:jc w:val="left"/>
              <w:rPr>
                <w:rFonts w:ascii="Times New Roman" w:hAnsi="Times New Roman"/>
                <w:b w:val="false"/>
                <w:sz w:val="20"/>
              </w:rPr>
            </w:pPr>
            <w:r>
              <w:rPr>
                <w:rFonts w:ascii="Times New Roman" w:hAnsi="Times New Roman"/>
                <w:b w:val="false"/>
                <w:sz w:val="20"/>
              </w:rPr>
              <w:t>)</w:t>
            </w:r>
          </w:p>
        </w:tc>
      </w:tr>
      <w:tr>
        <w:trPr/>
        <w:tc>
          <w:tcPr>
            <w:tcW w:w="5911" w:type="dxa"/>
            <w:tcBorders/>
            <w:shd w:fill="auto" w:val="clear"/>
            <w:vAlign w:val="center"/>
          </w:tcPr>
          <w:p>
            <w:pPr>
              <w:pStyle w:val="TableContents"/>
              <w:spacing w:lineRule="auto" w:line="252" w:before="0" w:after="0"/>
              <w:ind w:left="0" w:right="0" w:hanging="0"/>
              <w:jc w:val="left"/>
              <w:rPr>
                <w:rFonts w:ascii="Times New Roman" w:hAnsi="Times New Roman"/>
                <w:b w:val="false"/>
                <w:sz w:val="20"/>
              </w:rPr>
            </w:pPr>
            <w:r>
              <w:rPr>
                <w:rFonts w:ascii="Times New Roman" w:hAnsi="Times New Roman"/>
                <w:b w:val="false"/>
                <w:sz w:val="20"/>
              </w:rPr>
              <w:t>Net loss attributable to redeemable convertible noncontrolling interests</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211" w:type="dxa"/>
            <w:tcBorders/>
            <w:shd w:fill="auto" w:val="clear"/>
            <w:vAlign w:val="center"/>
          </w:tcPr>
          <w:p>
            <w:pPr>
              <w:pStyle w:val="TableContents"/>
              <w:spacing w:lineRule="auto" w:line="252" w:before="0" w:after="0"/>
              <w:ind w:left="0" w:right="0" w:hanging="0"/>
              <w:jc w:val="left"/>
              <w:rPr/>
            </w:pPr>
            <w:r>
              <w:rPr/>
              <w:t> </w:t>
            </w:r>
          </w:p>
        </w:tc>
        <w:tc>
          <w:tcPr>
            <w:tcW w:w="1036" w:type="dxa"/>
            <w:tcBorders/>
            <w:shd w:fill="auto" w:val="clear"/>
            <w:vAlign w:val="center"/>
          </w:tcPr>
          <w:p>
            <w:pPr>
              <w:pStyle w:val="TableContents"/>
              <w:spacing w:lineRule="auto" w:line="252" w:before="0" w:after="0"/>
              <w:ind w:left="0" w:right="0" w:hanging="0"/>
              <w:jc w:val="right"/>
              <w:rPr/>
            </w:pPr>
            <w:r>
              <w:rPr/>
              <w:t>—</w:t>
            </w:r>
          </w:p>
        </w:tc>
        <w:tc>
          <w:tcPr>
            <w:tcW w:w="166" w:type="dxa"/>
            <w:tcBorders/>
            <w:shd w:fill="auto" w:val="cle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211" w:type="dxa"/>
            <w:tcBorders/>
            <w:shd w:fill="auto" w:val="clear"/>
            <w:vAlign w:val="center"/>
          </w:tcPr>
          <w:p>
            <w:pPr>
              <w:pStyle w:val="TableContents"/>
              <w:spacing w:lineRule="auto" w:line="252" w:before="0" w:after="0"/>
              <w:ind w:left="0" w:right="0" w:hanging="0"/>
              <w:jc w:val="left"/>
              <w:rPr/>
            </w:pPr>
            <w:r>
              <w:rPr/>
              <w:t> </w:t>
            </w:r>
          </w:p>
        </w:tc>
        <w:tc>
          <w:tcPr>
            <w:tcW w:w="931" w:type="dxa"/>
            <w:tcBorders/>
            <w:shd w:fill="auto" w:val="clear"/>
            <w:vAlign w:val="center"/>
          </w:tcPr>
          <w:p>
            <w:pPr>
              <w:pStyle w:val="TableContents"/>
              <w:spacing w:lineRule="auto" w:line="252" w:before="0" w:after="0"/>
              <w:ind w:left="0" w:right="0" w:hanging="0"/>
              <w:jc w:val="right"/>
              <w:rPr>
                <w:rFonts w:ascii="Times New Roman" w:hAnsi="Times New Roman"/>
                <w:b w:val="false"/>
                <w:sz w:val="20"/>
              </w:rPr>
            </w:pPr>
            <w:r>
              <w:rPr>
                <w:rFonts w:ascii="Times New Roman" w:hAnsi="Times New Roman"/>
                <w:b w:val="false"/>
                <w:sz w:val="20"/>
              </w:rPr>
              <w:t>(919</w:t>
            </w:r>
          </w:p>
        </w:tc>
        <w:tc>
          <w:tcPr>
            <w:tcW w:w="211" w:type="dxa"/>
            <w:tcBorders/>
            <w:shd w:fill="auto" w:val="clear"/>
            <w:vAlign w:val="center"/>
          </w:tcPr>
          <w:p>
            <w:pPr>
              <w:pStyle w:val="TableContents"/>
              <w:spacing w:lineRule="auto" w:line="252" w:before="0" w:after="0"/>
              <w:ind w:left="0" w:right="0" w:hanging="0"/>
              <w:jc w:val="left"/>
              <w:rPr>
                <w:rFonts w:ascii="Times New Roman" w:hAnsi="Times New Roman"/>
                <w:b w:val="false"/>
                <w:sz w:val="20"/>
              </w:rPr>
            </w:pPr>
            <w:r>
              <w:rPr>
                <w:rFonts w:ascii="Times New Roman" w:hAnsi="Times New Roman"/>
                <w:b w:val="false"/>
                <w:sz w:val="20"/>
              </w:rPr>
              <w:t>)</w:t>
            </w:r>
          </w:p>
        </w:tc>
      </w:tr>
      <w:tr>
        <w:trPr/>
        <w:tc>
          <w:tcPr>
            <w:tcW w:w="5911" w:type="dxa"/>
            <w:tcBorders/>
            <w:shd w:fill="auto" w:val="clear"/>
            <w:vAlign w:val="center"/>
          </w:tcPr>
          <w:p>
            <w:pPr>
              <w:pStyle w:val="TableContents"/>
              <w:spacing w:lineRule="auto" w:line="252" w:before="0" w:after="0"/>
              <w:ind w:left="0" w:right="0" w:hanging="0"/>
              <w:jc w:val="left"/>
              <w:rPr>
                <w:rFonts w:ascii="Times New Roman" w:hAnsi="Times New Roman"/>
                <w:b w:val="false"/>
                <w:sz w:val="20"/>
              </w:rPr>
            </w:pPr>
            <w:r>
              <w:rPr>
                <w:rFonts w:ascii="Times New Roman" w:hAnsi="Times New Roman"/>
                <w:b w:val="false"/>
                <w:sz w:val="20"/>
              </w:rPr>
              <w:t>Net loss attributable to common stockholders/members</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211" w:type="dxa"/>
            <w:tcBorders>
              <w:top w:val="single" w:sz="4" w:space="0" w:color="000000"/>
              <w:bottom w:val="single" w:sz="4" w:space="0" w:color="000000"/>
            </w:tcBorders>
            <w:shd w:fill="auto" w:val="clear"/>
            <w:tcMar>
              <w:left w:w="0" w:type="dxa"/>
              <w:right w:w="0" w:type="dxa"/>
            </w:tcMar>
            <w:vAlign w:val="center"/>
          </w:tcPr>
          <w:p>
            <w:pPr>
              <w:pStyle w:val="TableContents"/>
              <w:spacing w:lineRule="auto" w:line="252" w:before="0" w:after="0"/>
              <w:ind w:left="0" w:right="0" w:hanging="0"/>
              <w:jc w:val="left"/>
              <w:rPr/>
            </w:pPr>
            <w:r>
              <w:rPr/>
              <w:t> </w:t>
            </w:r>
          </w:p>
        </w:tc>
        <w:tc>
          <w:tcPr>
            <w:tcW w:w="1036" w:type="dxa"/>
            <w:tcBorders>
              <w:top w:val="single" w:sz="4" w:space="0" w:color="000000"/>
              <w:bottom w:val="single" w:sz="4" w:space="0" w:color="000000"/>
            </w:tcBorders>
            <w:shd w:fill="auto" w:val="clear"/>
            <w:tcMar>
              <w:left w:w="0" w:type="dxa"/>
              <w:right w:w="0" w:type="dxa"/>
            </w:tcMar>
            <w:vAlign w:val="center"/>
          </w:tcPr>
          <w:p>
            <w:pPr>
              <w:pStyle w:val="TableContents"/>
              <w:spacing w:lineRule="auto" w:line="252" w:before="0" w:after="0"/>
              <w:ind w:left="0" w:right="0" w:hanging="0"/>
              <w:jc w:val="right"/>
              <w:rPr>
                <w:rFonts w:ascii="Times New Roman" w:hAnsi="Times New Roman"/>
                <w:b w:val="false"/>
                <w:sz w:val="20"/>
              </w:rPr>
            </w:pPr>
            <w:r>
              <w:rPr>
                <w:rFonts w:ascii="Times New Roman" w:hAnsi="Times New Roman"/>
                <w:b w:val="false"/>
                <w:sz w:val="20"/>
              </w:rPr>
              <w:t>(27,747</w:t>
            </w:r>
          </w:p>
        </w:tc>
        <w:tc>
          <w:tcPr>
            <w:tcW w:w="166" w:type="dxa"/>
            <w:tcBorders>
              <w:top w:val="single" w:sz="4" w:space="0" w:color="000000"/>
              <w:bottom w:val="single" w:sz="4" w:space="0" w:color="000000"/>
            </w:tcBorders>
            <w:shd w:fill="auto" w:val="clear"/>
            <w:tcMar>
              <w:left w:w="0" w:type="dxa"/>
              <w:right w:w="0" w:type="dxa"/>
            </w:tcMar>
            <w:vAlign w:val="center"/>
          </w:tcPr>
          <w:p>
            <w:pPr>
              <w:pStyle w:val="TableContents"/>
              <w:spacing w:lineRule="auto" w:line="252" w:before="0" w:after="0"/>
              <w:ind w:left="0" w:right="0" w:hanging="0"/>
              <w:jc w:val="left"/>
              <w:rPr>
                <w:rFonts w:ascii="Times New Roman" w:hAnsi="Times New Roman"/>
                <w:b w:val="false"/>
                <w:sz w:val="20"/>
              </w:rPr>
            </w:pPr>
            <w:r>
              <w:rPr>
                <w:rFonts w:ascii="Times New Roman" w:hAnsi="Times New Roman"/>
                <w:b w:val="false"/>
                <w:sz w:val="20"/>
              </w:rPr>
              <w:t>)</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211" w:type="dxa"/>
            <w:tcBorders>
              <w:top w:val="single" w:sz="4" w:space="0" w:color="000000"/>
              <w:bottom w:val="single" w:sz="4" w:space="0" w:color="000000"/>
            </w:tcBorders>
            <w:shd w:fill="auto" w:val="clear"/>
            <w:tcMar>
              <w:left w:w="0" w:type="dxa"/>
              <w:right w:w="0" w:type="dxa"/>
            </w:tcMar>
            <w:vAlign w:val="center"/>
          </w:tcPr>
          <w:p>
            <w:pPr>
              <w:pStyle w:val="TableContents"/>
              <w:spacing w:lineRule="auto" w:line="252" w:before="0" w:after="0"/>
              <w:ind w:left="0" w:right="0" w:hanging="0"/>
              <w:jc w:val="left"/>
              <w:rPr/>
            </w:pPr>
            <w:r>
              <w:rPr/>
              <w:t> </w:t>
            </w:r>
          </w:p>
        </w:tc>
        <w:tc>
          <w:tcPr>
            <w:tcW w:w="931" w:type="dxa"/>
            <w:tcBorders>
              <w:top w:val="single" w:sz="4" w:space="0" w:color="000000"/>
              <w:bottom w:val="single" w:sz="4" w:space="0" w:color="000000"/>
            </w:tcBorders>
            <w:shd w:fill="auto" w:val="clear"/>
            <w:tcMar>
              <w:left w:w="0" w:type="dxa"/>
              <w:right w:w="0" w:type="dxa"/>
            </w:tcMar>
            <w:vAlign w:val="center"/>
          </w:tcPr>
          <w:p>
            <w:pPr>
              <w:pStyle w:val="TableContents"/>
              <w:spacing w:lineRule="auto" w:line="252" w:before="0" w:after="0"/>
              <w:ind w:left="0" w:right="0" w:hanging="0"/>
              <w:jc w:val="right"/>
              <w:rPr>
                <w:rFonts w:ascii="Times New Roman" w:hAnsi="Times New Roman"/>
                <w:b w:val="false"/>
                <w:sz w:val="20"/>
              </w:rPr>
            </w:pPr>
            <w:r>
              <w:rPr>
                <w:rFonts w:ascii="Times New Roman" w:hAnsi="Times New Roman"/>
                <w:b w:val="false"/>
                <w:sz w:val="20"/>
              </w:rPr>
              <w:t>(15,182</w:t>
            </w:r>
          </w:p>
        </w:tc>
        <w:tc>
          <w:tcPr>
            <w:tcW w:w="211" w:type="dxa"/>
            <w:tcBorders>
              <w:top w:val="single" w:sz="4" w:space="0" w:color="000000"/>
              <w:bottom w:val="single" w:sz="4" w:space="0" w:color="000000"/>
            </w:tcBorders>
            <w:shd w:fill="auto" w:val="clear"/>
            <w:tcMar>
              <w:left w:w="0" w:type="dxa"/>
              <w:right w:w="0" w:type="dxa"/>
            </w:tcMar>
            <w:vAlign w:val="center"/>
          </w:tcPr>
          <w:p>
            <w:pPr>
              <w:pStyle w:val="TableContents"/>
              <w:spacing w:lineRule="auto" w:line="252" w:before="0" w:after="0"/>
              <w:ind w:left="0" w:right="0" w:hanging="0"/>
              <w:jc w:val="left"/>
              <w:rPr>
                <w:rFonts w:ascii="Times New Roman" w:hAnsi="Times New Roman"/>
                <w:b w:val="false"/>
                <w:sz w:val="20"/>
              </w:rPr>
            </w:pPr>
            <w:r>
              <w:rPr>
                <w:rFonts w:ascii="Times New Roman" w:hAnsi="Times New Roman"/>
                <w:b w:val="false"/>
                <w:sz w:val="20"/>
              </w:rPr>
              <w:t>)</w:t>
            </w:r>
          </w:p>
        </w:tc>
      </w:tr>
      <w:tr>
        <w:trPr/>
        <w:tc>
          <w:tcPr>
            <w:tcW w:w="5911" w:type="dxa"/>
            <w:tcBorders/>
            <w:shd w:fill="auto" w:val="clear"/>
            <w:vAlign w:val="center"/>
          </w:tcPr>
          <w:p>
            <w:pPr>
              <w:pStyle w:val="TableContents"/>
              <w:spacing w:lineRule="auto" w:line="252" w:before="0" w:after="0"/>
              <w:ind w:left="0" w:right="0" w:hanging="0"/>
              <w:jc w:val="left"/>
              <w:rPr>
                <w:rFonts w:ascii="Times New Roman" w:hAnsi="Times New Roman"/>
                <w:b w:val="false"/>
                <w:sz w:val="20"/>
              </w:rPr>
            </w:pPr>
            <w:r>
              <w:rPr>
                <w:rFonts w:ascii="Times New Roman" w:hAnsi="Times New Roman"/>
                <w:b w:val="false"/>
                <w:sz w:val="20"/>
              </w:rPr>
              <w:t>Net loss per share, basic and diluted</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211" w:type="dxa"/>
            <w:tcBorders>
              <w:bottom w:val="double" w:sz="6"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rFonts w:ascii="Times New Roman" w:hAnsi="Times New Roman"/>
                <w:b w:val="false"/>
                <w:sz w:val="20"/>
              </w:rPr>
            </w:pPr>
            <w:r>
              <w:rPr>
                <w:rFonts w:ascii="Times New Roman" w:hAnsi="Times New Roman"/>
                <w:b w:val="false"/>
                <w:sz w:val="20"/>
              </w:rPr>
              <w:t>$</w:t>
            </w:r>
          </w:p>
        </w:tc>
        <w:tc>
          <w:tcPr>
            <w:tcW w:w="1036" w:type="dxa"/>
            <w:tcBorders>
              <w:bottom w:val="double" w:sz="6" w:space="0" w:color="000000"/>
            </w:tcBorders>
            <w:shd w:fill="auto" w:val="clear"/>
            <w:tcMar>
              <w:top w:w="0" w:type="dxa"/>
              <w:left w:w="0" w:type="dxa"/>
              <w:right w:w="0" w:type="dxa"/>
            </w:tcMar>
            <w:vAlign w:val="center"/>
          </w:tcPr>
          <w:p>
            <w:pPr>
              <w:pStyle w:val="TableContents"/>
              <w:spacing w:lineRule="auto" w:line="252" w:before="0" w:after="0"/>
              <w:ind w:left="0" w:right="0" w:hanging="0"/>
              <w:jc w:val="right"/>
              <w:rPr>
                <w:rFonts w:ascii="Times New Roman" w:hAnsi="Times New Roman"/>
                <w:b w:val="false"/>
                <w:sz w:val="20"/>
              </w:rPr>
            </w:pPr>
            <w:r>
              <w:rPr>
                <w:rFonts w:ascii="Times New Roman" w:hAnsi="Times New Roman"/>
                <w:b w:val="false"/>
                <w:sz w:val="20"/>
              </w:rPr>
              <w:t>(0.48</w:t>
            </w:r>
          </w:p>
        </w:tc>
        <w:tc>
          <w:tcPr>
            <w:tcW w:w="166" w:type="dxa"/>
            <w:tcBorders>
              <w:bottom w:val="double" w:sz="6"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rFonts w:ascii="Times New Roman" w:hAnsi="Times New Roman"/>
                <w:b w:val="false"/>
                <w:sz w:val="20"/>
              </w:rPr>
            </w:pPr>
            <w:r>
              <w:rPr>
                <w:rFonts w:ascii="Times New Roman" w:hAnsi="Times New Roman"/>
                <w:b w:val="false"/>
                <w:sz w:val="20"/>
              </w:rPr>
              <w:t>)</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211" w:type="dxa"/>
            <w:tcBorders>
              <w:bottom w:val="double" w:sz="6"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rFonts w:ascii="Times New Roman" w:hAnsi="Times New Roman"/>
                <w:b w:val="false"/>
                <w:sz w:val="20"/>
              </w:rPr>
            </w:pPr>
            <w:r>
              <w:rPr>
                <w:rFonts w:ascii="Times New Roman" w:hAnsi="Times New Roman"/>
                <w:b w:val="false"/>
                <w:sz w:val="20"/>
              </w:rPr>
              <w:t>$</w:t>
            </w:r>
          </w:p>
        </w:tc>
        <w:tc>
          <w:tcPr>
            <w:tcW w:w="931" w:type="dxa"/>
            <w:tcBorders>
              <w:bottom w:val="double" w:sz="6" w:space="0" w:color="000000"/>
            </w:tcBorders>
            <w:shd w:fill="auto" w:val="clear"/>
            <w:tcMar>
              <w:top w:w="0" w:type="dxa"/>
              <w:left w:w="0" w:type="dxa"/>
              <w:right w:w="0" w:type="dxa"/>
            </w:tcMar>
            <w:vAlign w:val="center"/>
          </w:tcPr>
          <w:p>
            <w:pPr>
              <w:pStyle w:val="TableContents"/>
              <w:spacing w:lineRule="auto" w:line="252" w:before="0" w:after="0"/>
              <w:ind w:left="0" w:right="0" w:hanging="0"/>
              <w:jc w:val="right"/>
              <w:rPr>
                <w:rFonts w:ascii="Times New Roman" w:hAnsi="Times New Roman"/>
                <w:b w:val="false"/>
                <w:sz w:val="20"/>
              </w:rPr>
            </w:pPr>
            <w:r>
              <w:rPr>
                <w:rFonts w:ascii="Times New Roman" w:hAnsi="Times New Roman"/>
                <w:b w:val="false"/>
                <w:sz w:val="20"/>
              </w:rPr>
              <w:t>(2.58</w:t>
            </w:r>
          </w:p>
        </w:tc>
        <w:tc>
          <w:tcPr>
            <w:tcW w:w="211" w:type="dxa"/>
            <w:tcBorders>
              <w:bottom w:val="double" w:sz="6"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rFonts w:ascii="Times New Roman" w:hAnsi="Times New Roman"/>
                <w:b w:val="false"/>
                <w:sz w:val="20"/>
              </w:rPr>
            </w:pPr>
            <w:r>
              <w:rPr>
                <w:rFonts w:ascii="Times New Roman" w:hAnsi="Times New Roman"/>
                <w:b w:val="false"/>
                <w:sz w:val="20"/>
              </w:rPr>
              <w:t>)</w:t>
            </w:r>
          </w:p>
        </w:tc>
      </w:tr>
      <w:tr>
        <w:trPr/>
        <w:tc>
          <w:tcPr>
            <w:tcW w:w="5911" w:type="dxa"/>
            <w:tcBorders/>
            <w:shd w:fill="auto" w:val="clear"/>
            <w:vAlign w:val="center"/>
          </w:tcPr>
          <w:p>
            <w:pPr>
              <w:pStyle w:val="TableContents"/>
              <w:spacing w:lineRule="auto" w:line="252" w:before="0" w:after="0"/>
              <w:ind w:left="0" w:right="0" w:hanging="0"/>
              <w:jc w:val="left"/>
              <w:rPr>
                <w:rFonts w:ascii="Times New Roman" w:hAnsi="Times New Roman"/>
                <w:b w:val="false"/>
                <w:sz w:val="20"/>
              </w:rPr>
            </w:pPr>
            <w:r>
              <w:rPr>
                <w:rFonts w:ascii="Times New Roman" w:hAnsi="Times New Roman"/>
                <w:b w:val="false"/>
                <w:sz w:val="20"/>
              </w:rPr>
              <w:t xml:space="preserve">Weighted-average number of common shares used in </w:t>
              <w:br/>
              <w:t>computing net loss per share, basic and diluted</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211" w:type="dxa"/>
            <w:tcBorders>
              <w:bottom w:val="double" w:sz="6"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c>
          <w:tcPr>
            <w:tcW w:w="1036" w:type="dxa"/>
            <w:tcBorders>
              <w:bottom w:val="double" w:sz="6" w:space="0" w:color="000000"/>
            </w:tcBorders>
            <w:shd w:fill="auto" w:val="clear"/>
            <w:tcMar>
              <w:top w:w="0" w:type="dxa"/>
              <w:left w:w="0" w:type="dxa"/>
              <w:right w:w="0" w:type="dxa"/>
            </w:tcMar>
            <w:vAlign w:val="center"/>
          </w:tcPr>
          <w:p>
            <w:pPr>
              <w:pStyle w:val="TableContents"/>
              <w:spacing w:lineRule="auto" w:line="252" w:before="0" w:after="0"/>
              <w:ind w:left="0" w:right="0" w:hanging="0"/>
              <w:jc w:val="right"/>
              <w:rPr>
                <w:rFonts w:ascii="Times New Roman" w:hAnsi="Times New Roman"/>
                <w:b w:val="false"/>
                <w:sz w:val="20"/>
              </w:rPr>
            </w:pPr>
            <w:r>
              <w:rPr>
                <w:rFonts w:ascii="Times New Roman" w:hAnsi="Times New Roman"/>
                <w:b w:val="false"/>
                <w:sz w:val="20"/>
              </w:rPr>
              <w:t>58,382,444</w:t>
            </w:r>
          </w:p>
        </w:tc>
        <w:tc>
          <w:tcPr>
            <w:tcW w:w="166" w:type="dxa"/>
            <w:tcBorders>
              <w:bottom w:val="double" w:sz="6"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211" w:type="dxa"/>
            <w:tcBorders>
              <w:bottom w:val="double" w:sz="6"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c>
          <w:tcPr>
            <w:tcW w:w="931" w:type="dxa"/>
            <w:tcBorders>
              <w:bottom w:val="double" w:sz="6" w:space="0" w:color="000000"/>
            </w:tcBorders>
            <w:shd w:fill="auto" w:val="clear"/>
            <w:tcMar>
              <w:top w:w="0" w:type="dxa"/>
              <w:left w:w="0" w:type="dxa"/>
              <w:right w:w="0" w:type="dxa"/>
            </w:tcMar>
            <w:vAlign w:val="center"/>
          </w:tcPr>
          <w:p>
            <w:pPr>
              <w:pStyle w:val="TableContents"/>
              <w:spacing w:lineRule="auto" w:line="252" w:before="0" w:after="0"/>
              <w:ind w:left="0" w:right="0" w:hanging="0"/>
              <w:jc w:val="right"/>
              <w:rPr>
                <w:rFonts w:ascii="Times New Roman" w:hAnsi="Times New Roman"/>
                <w:b w:val="false"/>
                <w:sz w:val="20"/>
              </w:rPr>
            </w:pPr>
            <w:r>
              <w:rPr>
                <w:rFonts w:ascii="Times New Roman" w:hAnsi="Times New Roman"/>
                <w:b w:val="false"/>
                <w:sz w:val="20"/>
              </w:rPr>
              <w:t>5,892,145</w:t>
            </w:r>
          </w:p>
        </w:tc>
        <w:tc>
          <w:tcPr>
            <w:tcW w:w="211" w:type="dxa"/>
            <w:tcBorders>
              <w:bottom w:val="double" w:sz="6"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r>
    </w:tbl>
    <w:p>
      <w:pPr>
        <w:pStyle w:val="TextBody"/>
        <w:spacing w:lineRule="auto" w:line="273" w:before="0" w:after="0"/>
        <w:jc w:val="left"/>
        <w:rPr/>
      </w:pPr>
      <w:r>
        <w:rPr/>
        <w:t> </w:t>
      </w:r>
    </w:p>
    <w:p>
      <w:pPr>
        <w:pStyle w:val="TextBody"/>
        <w:spacing w:lineRule="auto" w:line="273" w:before="120" w:after="0"/>
        <w:jc w:val="left"/>
        <w:rPr>
          <w:rFonts w:ascii="Times New Roman" w:hAnsi="Times New Roman"/>
          <w:sz w:val="20"/>
        </w:rPr>
      </w:pPr>
      <w:r>
        <w:rPr>
          <w:rFonts w:ascii="Times New Roman" w:hAnsi="Times New Roman"/>
          <w:b w:val="false"/>
          <w:sz w:val="20"/>
        </w:rPr>
        <w:t>The following outstanding potentially dilutive securities have been excluded from the calculation of diluted net loss per share, as their effect is anti-dilutive:</w:t>
      </w:r>
      <w:r>
        <w:rPr>
          <w:rFonts w:ascii="Times New Roman" w:hAnsi="Times New Roman"/>
          <w:sz w:val="20"/>
        </w:rPr>
        <w:t xml:space="preserve"> </w:t>
      </w:r>
    </w:p>
    <w:p>
      <w:pPr>
        <w:pStyle w:val="TextBody"/>
        <w:spacing w:lineRule="auto" w:line="273" w:before="0" w:after="0"/>
        <w:jc w:val="left"/>
        <w:rPr/>
      </w:pPr>
      <w:r>
        <w:rPr/>
        <w:t> </w:t>
      </w:r>
    </w:p>
    <w:tbl>
      <w:tblPr>
        <w:tblW w:w="6399" w:type="dxa"/>
        <w:jc w:val="left"/>
        <w:tblInd w:w="0" w:type="dxa"/>
        <w:tblCellMar>
          <w:top w:w="28" w:type="dxa"/>
          <w:left w:w="28" w:type="dxa"/>
          <w:bottom w:w="28" w:type="dxa"/>
          <w:right w:w="28" w:type="dxa"/>
        </w:tblCellMar>
      </w:tblPr>
      <w:tblGrid>
        <w:gridCol w:w="3406"/>
        <w:gridCol w:w="146"/>
        <w:gridCol w:w="146"/>
        <w:gridCol w:w="1036"/>
        <w:gridCol w:w="146"/>
        <w:gridCol w:w="146"/>
        <w:gridCol w:w="146"/>
        <w:gridCol w:w="1036"/>
        <w:gridCol w:w="191"/>
      </w:tblGrid>
      <w:tr>
        <w:trPr/>
        <w:tc>
          <w:tcPr>
            <w:tcW w:w="340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103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1036" w:type="dxa"/>
            <w:tcBorders/>
            <w:shd w:fill="auto" w:val="clear"/>
            <w:vAlign w:val="center"/>
          </w:tcPr>
          <w:p>
            <w:pPr>
              <w:pStyle w:val="TableContents"/>
              <w:spacing w:before="0" w:after="283"/>
              <w:rPr>
                <w:sz w:val="4"/>
                <w:szCs w:val="4"/>
              </w:rPr>
            </w:pPr>
            <w:r>
              <w:rPr>
                <w:sz w:val="4"/>
                <w:szCs w:val="4"/>
              </w:rPr>
            </w:r>
          </w:p>
        </w:tc>
        <w:tc>
          <w:tcPr>
            <w:tcW w:w="191" w:type="dxa"/>
            <w:tcBorders/>
            <w:shd w:fill="auto" w:val="clear"/>
            <w:vAlign w:val="center"/>
          </w:tcPr>
          <w:p>
            <w:pPr>
              <w:pStyle w:val="TableContents"/>
              <w:spacing w:before="0" w:after="283"/>
              <w:rPr>
                <w:sz w:val="4"/>
                <w:szCs w:val="4"/>
              </w:rPr>
            </w:pPr>
            <w:r>
              <w:rPr>
                <w:sz w:val="4"/>
                <w:szCs w:val="4"/>
              </w:rPr>
            </w:r>
          </w:p>
        </w:tc>
      </w:tr>
      <w:tr>
        <w:trPr/>
        <w:tc>
          <w:tcPr>
            <w:tcW w:w="3406" w:type="dxa"/>
            <w:tcBorders/>
            <w:shd w:fill="auto" w:val="clear"/>
            <w:vAlign w:val="center"/>
          </w:tcPr>
          <w:p>
            <w:pPr>
              <w:pStyle w:val="TableContents"/>
              <w:spacing w:lineRule="auto" w:line="252" w:before="0" w:after="0"/>
              <w:ind w:left="0" w:right="0" w:hanging="0"/>
              <w:jc w:val="center"/>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2656" w:type="dxa"/>
            <w:gridSpan w:val="6"/>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center"/>
              <w:rPr>
                <w:rFonts w:ascii="Times New Roman" w:hAnsi="Times New Roman"/>
                <w:b/>
                <w:sz w:val="16"/>
              </w:rPr>
            </w:pPr>
            <w:r>
              <w:rPr>
                <w:rFonts w:ascii="Times New Roman" w:hAnsi="Times New Roman"/>
                <w:b/>
                <w:sz w:val="16"/>
              </w:rPr>
              <w:t>As of March 31,</w:t>
            </w:r>
          </w:p>
        </w:tc>
        <w:tc>
          <w:tcPr>
            <w:tcW w:w="191"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center"/>
              <w:rPr/>
            </w:pPr>
            <w:r>
              <w:rPr/>
              <w:t> </w:t>
            </w:r>
          </w:p>
        </w:tc>
      </w:tr>
      <w:tr>
        <w:trPr/>
        <w:tc>
          <w:tcPr>
            <w:tcW w:w="3406" w:type="dxa"/>
            <w:tcBorders/>
            <w:shd w:fill="auto" w:val="clear"/>
            <w:vAlign w:val="center"/>
          </w:tcPr>
          <w:p>
            <w:pPr>
              <w:pStyle w:val="TableContents"/>
              <w:spacing w:lineRule="auto" w:line="252" w:before="0" w:after="0"/>
              <w:ind w:left="0" w:right="0" w:hanging="0"/>
              <w:jc w:val="center"/>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182" w:type="dxa"/>
            <w:gridSpan w:val="2"/>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center"/>
              <w:rPr>
                <w:rFonts w:ascii="Times New Roman" w:hAnsi="Times New Roman"/>
                <w:b/>
                <w:sz w:val="16"/>
              </w:rPr>
            </w:pPr>
            <w:r>
              <w:rPr>
                <w:rFonts w:ascii="Times New Roman" w:hAnsi="Times New Roman"/>
                <w:b/>
                <w:sz w:val="16"/>
              </w:rPr>
              <w:t>2022</w:t>
            </w:r>
          </w:p>
        </w:tc>
        <w:tc>
          <w:tcPr>
            <w:tcW w:w="146"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center"/>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182" w:type="dxa"/>
            <w:gridSpan w:val="2"/>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center"/>
              <w:rPr>
                <w:rFonts w:ascii="Times New Roman" w:hAnsi="Times New Roman"/>
                <w:b/>
                <w:sz w:val="16"/>
              </w:rPr>
            </w:pPr>
            <w:r>
              <w:rPr>
                <w:rFonts w:ascii="Times New Roman" w:hAnsi="Times New Roman"/>
                <w:b/>
                <w:sz w:val="16"/>
              </w:rPr>
              <w:t>2021</w:t>
            </w:r>
          </w:p>
        </w:tc>
        <w:tc>
          <w:tcPr>
            <w:tcW w:w="191"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center"/>
              <w:rPr/>
            </w:pPr>
            <w:r>
              <w:rPr/>
              <w:t> </w:t>
            </w:r>
          </w:p>
        </w:tc>
      </w:tr>
      <w:tr>
        <w:trPr/>
        <w:tc>
          <w:tcPr>
            <w:tcW w:w="3406" w:type="dxa"/>
            <w:tcBorders/>
            <w:shd w:fill="auto" w:val="clear"/>
            <w:vAlign w:val="center"/>
          </w:tcPr>
          <w:p>
            <w:pPr>
              <w:pStyle w:val="TableContents"/>
              <w:spacing w:lineRule="auto" w:line="252" w:before="0" w:after="0"/>
              <w:ind w:left="0" w:right="0" w:hanging="0"/>
              <w:jc w:val="left"/>
              <w:rPr>
                <w:rFonts w:ascii="Times New Roman" w:hAnsi="Times New Roman"/>
                <w:b w:val="false"/>
                <w:sz w:val="20"/>
              </w:rPr>
            </w:pPr>
            <w:r>
              <w:rPr>
                <w:rFonts w:ascii="Times New Roman" w:hAnsi="Times New Roman"/>
                <w:b w:val="false"/>
                <w:sz w:val="20"/>
              </w:rPr>
              <w:t>Stock options</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036" w:type="dxa"/>
            <w:tcBorders/>
            <w:shd w:fill="auto" w:val="clear"/>
            <w:vAlign w:val="center"/>
          </w:tcPr>
          <w:p>
            <w:pPr>
              <w:pStyle w:val="TableContents"/>
              <w:spacing w:lineRule="auto" w:line="252" w:before="0" w:after="0"/>
              <w:ind w:left="0" w:right="0" w:hanging="0"/>
              <w:jc w:val="right"/>
              <w:rPr>
                <w:rFonts w:ascii="Times New Roman" w:hAnsi="Times New Roman"/>
                <w:b w:val="false"/>
                <w:sz w:val="20"/>
              </w:rPr>
            </w:pPr>
            <w:r>
              <w:rPr>
                <w:rFonts w:ascii="Times New Roman" w:hAnsi="Times New Roman"/>
                <w:b w:val="false"/>
                <w:sz w:val="20"/>
              </w:rPr>
              <w:t>7,018,228</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036" w:type="dxa"/>
            <w:tcBorders/>
            <w:shd w:fill="auto" w:val="clear"/>
            <w:vAlign w:val="center"/>
          </w:tcPr>
          <w:p>
            <w:pPr>
              <w:pStyle w:val="TableContents"/>
              <w:spacing w:lineRule="auto" w:line="252" w:before="0" w:after="0"/>
              <w:ind w:left="0" w:right="0" w:hanging="0"/>
              <w:jc w:val="right"/>
              <w:rPr/>
            </w:pPr>
            <w:r>
              <w:rPr/>
              <w:t>—</w:t>
            </w:r>
          </w:p>
        </w:tc>
        <w:tc>
          <w:tcPr>
            <w:tcW w:w="191" w:type="dxa"/>
            <w:tcBorders/>
            <w:shd w:fill="auto" w:val="clear"/>
            <w:vAlign w:val="center"/>
          </w:tcPr>
          <w:p>
            <w:pPr>
              <w:pStyle w:val="TableContents"/>
              <w:spacing w:lineRule="auto" w:line="252" w:before="0" w:after="0"/>
              <w:ind w:left="0" w:right="0" w:hanging="0"/>
              <w:jc w:val="left"/>
              <w:rPr/>
            </w:pPr>
            <w:r>
              <w:rPr/>
              <w:t> </w:t>
            </w:r>
          </w:p>
        </w:tc>
      </w:tr>
      <w:tr>
        <w:trPr/>
        <w:tc>
          <w:tcPr>
            <w:tcW w:w="3406" w:type="dxa"/>
            <w:tcBorders/>
            <w:shd w:fill="auto" w:val="clear"/>
            <w:vAlign w:val="center"/>
          </w:tcPr>
          <w:p>
            <w:pPr>
              <w:pStyle w:val="TableContents"/>
              <w:spacing w:lineRule="auto" w:line="252" w:before="0" w:after="0"/>
              <w:ind w:left="0" w:right="0" w:hanging="0"/>
              <w:jc w:val="left"/>
              <w:rPr>
                <w:rFonts w:ascii="Times New Roman" w:hAnsi="Times New Roman"/>
                <w:b w:val="false"/>
                <w:sz w:val="20"/>
              </w:rPr>
            </w:pPr>
            <w:r>
              <w:rPr>
                <w:rFonts w:ascii="Times New Roman" w:hAnsi="Times New Roman"/>
                <w:b w:val="false"/>
                <w:sz w:val="20"/>
              </w:rPr>
              <w:t>Unvested common shares</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036" w:type="dxa"/>
            <w:tcBorders/>
            <w:shd w:fill="auto" w:val="clear"/>
            <w:vAlign w:val="center"/>
          </w:tcPr>
          <w:p>
            <w:pPr>
              <w:pStyle w:val="TableContents"/>
              <w:spacing w:lineRule="auto" w:line="252" w:before="0" w:after="0"/>
              <w:ind w:left="0" w:right="0" w:hanging="0"/>
              <w:jc w:val="right"/>
              <w:rPr>
                <w:rFonts w:ascii="Times New Roman" w:hAnsi="Times New Roman"/>
                <w:b w:val="false"/>
                <w:sz w:val="20"/>
              </w:rPr>
            </w:pPr>
            <w:r>
              <w:rPr>
                <w:rFonts w:ascii="Times New Roman" w:hAnsi="Times New Roman"/>
                <w:b w:val="false"/>
                <w:sz w:val="20"/>
              </w:rPr>
              <w:t>3,352,683</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036" w:type="dxa"/>
            <w:tcBorders/>
            <w:shd w:fill="auto" w:val="clear"/>
            <w:vAlign w:val="center"/>
          </w:tcPr>
          <w:p>
            <w:pPr>
              <w:pStyle w:val="TableContents"/>
              <w:spacing w:lineRule="auto" w:line="252" w:before="0" w:after="0"/>
              <w:ind w:left="0" w:right="0" w:hanging="0"/>
              <w:jc w:val="right"/>
              <w:rPr>
                <w:rFonts w:ascii="Times New Roman" w:hAnsi="Times New Roman"/>
                <w:b w:val="false"/>
                <w:sz w:val="20"/>
              </w:rPr>
            </w:pPr>
            <w:r>
              <w:rPr>
                <w:rFonts w:ascii="Times New Roman" w:hAnsi="Times New Roman"/>
                <w:b w:val="false"/>
                <w:sz w:val="20"/>
              </w:rPr>
              <w:t>48,456</w:t>
            </w:r>
          </w:p>
        </w:tc>
        <w:tc>
          <w:tcPr>
            <w:tcW w:w="191" w:type="dxa"/>
            <w:tcBorders/>
            <w:shd w:fill="auto" w:val="clear"/>
            <w:vAlign w:val="center"/>
          </w:tcPr>
          <w:p>
            <w:pPr>
              <w:pStyle w:val="TableContents"/>
              <w:spacing w:lineRule="auto" w:line="252" w:before="0" w:after="0"/>
              <w:ind w:left="0" w:right="0" w:hanging="0"/>
              <w:jc w:val="left"/>
              <w:rPr/>
            </w:pPr>
            <w:r>
              <w:rPr/>
              <w:t> </w:t>
            </w:r>
          </w:p>
        </w:tc>
      </w:tr>
      <w:tr>
        <w:trPr/>
        <w:tc>
          <w:tcPr>
            <w:tcW w:w="3406" w:type="dxa"/>
            <w:tcBorders/>
            <w:shd w:fill="auto" w:val="clear"/>
            <w:vAlign w:val="center"/>
          </w:tcPr>
          <w:p>
            <w:pPr>
              <w:pStyle w:val="TableContents"/>
              <w:spacing w:lineRule="auto" w:line="252" w:before="0" w:after="0"/>
              <w:ind w:left="0" w:right="0" w:hanging="0"/>
              <w:jc w:val="left"/>
              <w:rPr>
                <w:rFonts w:ascii="Times New Roman" w:hAnsi="Times New Roman"/>
                <w:b w:val="false"/>
                <w:sz w:val="20"/>
              </w:rPr>
            </w:pPr>
            <w:r>
              <w:rPr>
                <w:rFonts w:ascii="Times New Roman" w:hAnsi="Times New Roman"/>
                <w:b w:val="false"/>
                <w:sz w:val="20"/>
              </w:rPr>
              <w:t>Restricted stock units</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036" w:type="dxa"/>
            <w:tcBorders/>
            <w:shd w:fill="auto" w:val="clear"/>
            <w:vAlign w:val="center"/>
          </w:tcPr>
          <w:p>
            <w:pPr>
              <w:pStyle w:val="TableContents"/>
              <w:spacing w:lineRule="auto" w:line="252" w:before="0" w:after="0"/>
              <w:ind w:left="0" w:right="0" w:hanging="0"/>
              <w:jc w:val="right"/>
              <w:rPr>
                <w:rFonts w:ascii="Times New Roman" w:hAnsi="Times New Roman"/>
                <w:b w:val="false"/>
                <w:sz w:val="20"/>
              </w:rPr>
            </w:pPr>
            <w:r>
              <w:rPr>
                <w:rFonts w:ascii="Times New Roman" w:hAnsi="Times New Roman"/>
                <w:b w:val="false"/>
                <w:sz w:val="20"/>
              </w:rPr>
              <w:t>392,757</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036" w:type="dxa"/>
            <w:tcBorders/>
            <w:shd w:fill="auto" w:val="clear"/>
            <w:vAlign w:val="center"/>
          </w:tcPr>
          <w:p>
            <w:pPr>
              <w:pStyle w:val="TableContents"/>
              <w:spacing w:lineRule="auto" w:line="252" w:before="0" w:after="0"/>
              <w:ind w:left="0" w:right="0" w:hanging="0"/>
              <w:jc w:val="right"/>
              <w:rPr/>
            </w:pPr>
            <w:r>
              <w:rPr/>
              <w:t>—</w:t>
            </w:r>
          </w:p>
        </w:tc>
        <w:tc>
          <w:tcPr>
            <w:tcW w:w="191" w:type="dxa"/>
            <w:tcBorders/>
            <w:shd w:fill="auto" w:val="clear"/>
            <w:vAlign w:val="center"/>
          </w:tcPr>
          <w:p>
            <w:pPr>
              <w:pStyle w:val="TableContents"/>
              <w:spacing w:lineRule="auto" w:line="252" w:before="0" w:after="0"/>
              <w:ind w:left="0" w:right="0" w:hanging="0"/>
              <w:jc w:val="left"/>
              <w:rPr/>
            </w:pPr>
            <w:r>
              <w:rPr/>
              <w:t> </w:t>
            </w:r>
          </w:p>
        </w:tc>
      </w:tr>
      <w:tr>
        <w:trPr/>
        <w:tc>
          <w:tcPr>
            <w:tcW w:w="3406" w:type="dxa"/>
            <w:tcBorders/>
            <w:shd w:fill="auto" w:val="clear"/>
            <w:vAlign w:val="center"/>
          </w:tcPr>
          <w:p>
            <w:pPr>
              <w:pStyle w:val="TableContents"/>
              <w:spacing w:lineRule="auto" w:line="252" w:before="0" w:after="0"/>
              <w:ind w:left="0" w:right="0" w:hanging="0"/>
              <w:jc w:val="left"/>
              <w:rPr>
                <w:rFonts w:ascii="Times New Roman" w:hAnsi="Times New Roman"/>
                <w:b w:val="false"/>
                <w:sz w:val="20"/>
              </w:rPr>
            </w:pPr>
            <w:r>
              <w:rPr>
                <w:rFonts w:ascii="Times New Roman" w:hAnsi="Times New Roman"/>
                <w:b w:val="false"/>
                <w:sz w:val="20"/>
              </w:rPr>
              <w:t>Shares committed under ESPP</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036" w:type="dxa"/>
            <w:tcBorders/>
            <w:shd w:fill="auto" w:val="clear"/>
            <w:vAlign w:val="center"/>
          </w:tcPr>
          <w:p>
            <w:pPr>
              <w:pStyle w:val="TableContents"/>
              <w:spacing w:lineRule="auto" w:line="252" w:before="0" w:after="0"/>
              <w:ind w:left="0" w:right="0" w:hanging="0"/>
              <w:jc w:val="right"/>
              <w:rPr>
                <w:rFonts w:ascii="Times New Roman" w:hAnsi="Times New Roman"/>
                <w:b w:val="false"/>
                <w:sz w:val="20"/>
              </w:rPr>
            </w:pPr>
            <w:r>
              <w:rPr>
                <w:rFonts w:ascii="Times New Roman" w:hAnsi="Times New Roman"/>
                <w:b w:val="false"/>
                <w:sz w:val="20"/>
              </w:rPr>
              <w:t>24,357</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036" w:type="dxa"/>
            <w:tcBorders/>
            <w:shd w:fill="auto" w:val="clear"/>
            <w:vAlign w:val="center"/>
          </w:tcPr>
          <w:p>
            <w:pPr>
              <w:pStyle w:val="TableContents"/>
              <w:spacing w:lineRule="auto" w:line="252" w:before="0" w:after="0"/>
              <w:ind w:left="0" w:right="0" w:hanging="0"/>
              <w:jc w:val="right"/>
              <w:rPr/>
            </w:pPr>
            <w:r>
              <w:rPr/>
              <w:t>—</w:t>
            </w:r>
          </w:p>
        </w:tc>
        <w:tc>
          <w:tcPr>
            <w:tcW w:w="191" w:type="dxa"/>
            <w:tcBorders/>
            <w:shd w:fill="auto" w:val="clear"/>
            <w:vAlign w:val="center"/>
          </w:tcPr>
          <w:p>
            <w:pPr>
              <w:pStyle w:val="TableContents"/>
              <w:spacing w:lineRule="auto" w:line="252" w:before="0" w:after="0"/>
              <w:ind w:left="0" w:right="0" w:hanging="0"/>
              <w:jc w:val="left"/>
              <w:rPr/>
            </w:pPr>
            <w:r>
              <w:rPr/>
              <w:t> </w:t>
            </w:r>
          </w:p>
        </w:tc>
      </w:tr>
      <w:tr>
        <w:trPr/>
        <w:tc>
          <w:tcPr>
            <w:tcW w:w="3406" w:type="dxa"/>
            <w:tcBorders/>
            <w:shd w:fill="auto" w:val="clear"/>
            <w:vAlign w:val="center"/>
          </w:tcPr>
          <w:p>
            <w:pPr>
              <w:pStyle w:val="TableContents"/>
              <w:spacing w:lineRule="auto" w:line="252" w:before="0" w:after="0"/>
              <w:ind w:left="0" w:right="0" w:hanging="0"/>
              <w:jc w:val="left"/>
              <w:rPr>
                <w:rFonts w:ascii="Times New Roman" w:hAnsi="Times New Roman"/>
                <w:b w:val="false"/>
                <w:sz w:val="20"/>
              </w:rPr>
            </w:pPr>
            <w:r>
              <w:rPr>
                <w:rFonts w:ascii="Times New Roman" w:hAnsi="Times New Roman"/>
                <w:b w:val="false"/>
                <w:sz w:val="20"/>
              </w:rPr>
              <w:t>Redeemable convertible preferred shares</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036" w:type="dxa"/>
            <w:tcBorders/>
            <w:shd w:fill="auto" w:val="clear"/>
            <w:vAlign w:val="center"/>
          </w:tcPr>
          <w:p>
            <w:pPr>
              <w:pStyle w:val="TableContents"/>
              <w:spacing w:lineRule="auto" w:line="252" w:before="0" w:after="0"/>
              <w:ind w:left="0" w:right="0" w:hanging="0"/>
              <w:jc w:val="right"/>
              <w:rPr/>
            </w:pPr>
            <w:r>
              <w:rPr/>
              <w:t>—</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036" w:type="dxa"/>
            <w:tcBorders/>
            <w:shd w:fill="auto" w:val="clear"/>
            <w:vAlign w:val="center"/>
          </w:tcPr>
          <w:p>
            <w:pPr>
              <w:pStyle w:val="TableContents"/>
              <w:spacing w:lineRule="auto" w:line="252" w:before="0" w:after="0"/>
              <w:ind w:left="0" w:right="0" w:hanging="0"/>
              <w:jc w:val="right"/>
              <w:rPr>
                <w:rFonts w:ascii="Times New Roman" w:hAnsi="Times New Roman"/>
                <w:b w:val="false"/>
                <w:sz w:val="20"/>
              </w:rPr>
            </w:pPr>
            <w:r>
              <w:rPr>
                <w:rFonts w:ascii="Times New Roman" w:hAnsi="Times New Roman"/>
                <w:b w:val="false"/>
                <w:sz w:val="20"/>
              </w:rPr>
              <w:t>32,489,398</w:t>
            </w:r>
          </w:p>
        </w:tc>
        <w:tc>
          <w:tcPr>
            <w:tcW w:w="191" w:type="dxa"/>
            <w:tcBorders/>
            <w:shd w:fill="auto" w:val="clear"/>
            <w:vAlign w:val="center"/>
          </w:tcPr>
          <w:p>
            <w:pPr>
              <w:pStyle w:val="TableContents"/>
              <w:spacing w:lineRule="auto" w:line="252" w:before="0" w:after="0"/>
              <w:ind w:left="0" w:right="0" w:hanging="0"/>
              <w:jc w:val="left"/>
              <w:rPr/>
            </w:pPr>
            <w:r>
              <w:rPr/>
              <w:t> </w:t>
            </w:r>
          </w:p>
        </w:tc>
      </w:tr>
      <w:tr>
        <w:trPr/>
        <w:tc>
          <w:tcPr>
            <w:tcW w:w="3406" w:type="dxa"/>
            <w:tcBorders/>
            <w:shd w:fill="auto" w:val="clear"/>
            <w:vAlign w:val="center"/>
          </w:tcPr>
          <w:p>
            <w:pPr>
              <w:pStyle w:val="TableContents"/>
              <w:spacing w:lineRule="auto" w:line="252" w:before="0" w:after="0"/>
              <w:ind w:left="0" w:right="0" w:hanging="0"/>
              <w:jc w:val="left"/>
              <w:rPr>
                <w:rFonts w:ascii="Times New Roman" w:hAnsi="Times New Roman"/>
                <w:b w:val="false"/>
                <w:sz w:val="20"/>
              </w:rPr>
            </w:pPr>
            <w:r>
              <w:rPr>
                <w:rFonts w:ascii="Times New Roman" w:hAnsi="Times New Roman"/>
                <w:b w:val="false"/>
                <w:sz w:val="20"/>
              </w:rPr>
              <w:t>Incentive Shares</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46"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c>
          <w:tcPr>
            <w:tcW w:w="1036"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right"/>
              <w:rPr/>
            </w:pPr>
            <w:r>
              <w:rPr/>
              <w:t>—</w:t>
            </w:r>
          </w:p>
        </w:tc>
        <w:tc>
          <w:tcPr>
            <w:tcW w:w="146"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c>
          <w:tcPr>
            <w:tcW w:w="146"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c>
          <w:tcPr>
            <w:tcW w:w="146"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c>
          <w:tcPr>
            <w:tcW w:w="1036"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right"/>
              <w:rPr>
                <w:rFonts w:ascii="Times New Roman" w:hAnsi="Times New Roman"/>
                <w:b w:val="false"/>
                <w:sz w:val="20"/>
              </w:rPr>
            </w:pPr>
            <w:r>
              <w:rPr>
                <w:rFonts w:ascii="Times New Roman" w:hAnsi="Times New Roman"/>
                <w:b w:val="false"/>
                <w:sz w:val="20"/>
              </w:rPr>
              <w:t>4,986,352</w:t>
            </w:r>
          </w:p>
        </w:tc>
        <w:tc>
          <w:tcPr>
            <w:tcW w:w="191"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r>
      <w:tr>
        <w:trPr/>
        <w:tc>
          <w:tcPr>
            <w:tcW w:w="3406" w:type="dxa"/>
            <w:tcBorders/>
            <w:shd w:fill="auto" w:val="clear"/>
            <w:vAlign w:val="center"/>
          </w:tcPr>
          <w:p>
            <w:pPr>
              <w:pStyle w:val="TableContents"/>
              <w:spacing w:lineRule="auto" w:line="252" w:before="0" w:after="0"/>
              <w:ind w:left="0" w:right="0" w:hanging="0"/>
              <w:jc w:val="left"/>
              <w:rPr>
                <w:rFonts w:ascii="Times New Roman" w:hAnsi="Times New Roman"/>
                <w:b w:val="false"/>
                <w:sz w:val="20"/>
              </w:rPr>
            </w:pPr>
            <w:r>
              <w:rPr>
                <w:rFonts w:ascii="Times New Roman" w:hAnsi="Times New Roman"/>
                <w:b w:val="false"/>
                <w:sz w:val="20"/>
              </w:rPr>
              <w:t>Total</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46"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c>
          <w:tcPr>
            <w:tcW w:w="1036"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right"/>
              <w:rPr>
                <w:rFonts w:ascii="Times New Roman" w:hAnsi="Times New Roman"/>
                <w:b w:val="false"/>
                <w:sz w:val="20"/>
              </w:rPr>
            </w:pPr>
            <w:r>
              <w:rPr>
                <w:rFonts w:ascii="Times New Roman" w:hAnsi="Times New Roman"/>
                <w:b w:val="false"/>
                <w:sz w:val="20"/>
              </w:rPr>
              <w:t>10,788,025</w:t>
            </w:r>
          </w:p>
        </w:tc>
        <w:tc>
          <w:tcPr>
            <w:tcW w:w="146"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c>
          <w:tcPr>
            <w:tcW w:w="146"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right"/>
              <w:rPr/>
            </w:pPr>
            <w:r>
              <w:rPr/>
              <w:t> </w:t>
            </w:r>
          </w:p>
        </w:tc>
        <w:tc>
          <w:tcPr>
            <w:tcW w:w="146"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c>
          <w:tcPr>
            <w:tcW w:w="1036"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right"/>
              <w:rPr>
                <w:rFonts w:ascii="Times New Roman" w:hAnsi="Times New Roman"/>
                <w:b w:val="false"/>
                <w:sz w:val="20"/>
              </w:rPr>
            </w:pPr>
            <w:r>
              <w:rPr>
                <w:rFonts w:ascii="Times New Roman" w:hAnsi="Times New Roman"/>
                <w:b w:val="false"/>
                <w:sz w:val="20"/>
              </w:rPr>
              <w:t>37,524,206</w:t>
            </w:r>
          </w:p>
        </w:tc>
        <w:tc>
          <w:tcPr>
            <w:tcW w:w="191"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r>
    </w:tbl>
    <w:p>
      <w:pPr>
        <w:pStyle w:val="TextBody"/>
        <w:spacing w:lineRule="auto" w:line="273" w:before="0" w:after="0"/>
        <w:jc w:val="left"/>
        <w:rPr/>
      </w:pPr>
      <w:r>
        <w:rPr/>
        <w:t> </w:t>
      </w:r>
    </w:p>
    <w:p>
      <w:pPr>
        <w:pStyle w:val="TextBody"/>
        <w:spacing w:lineRule="auto" w:line="273" w:before="0" w:after="0"/>
        <w:jc w:val="center"/>
        <w:rPr>
          <w:rFonts w:ascii="Times New Roman" w:hAnsi="Times New Roman"/>
          <w:b w:val="false"/>
          <w:sz w:val="20"/>
        </w:rPr>
      </w:pPr>
      <w:r>
        <w:rPr>
          <w:rFonts w:ascii="Times New Roman" w:hAnsi="Times New Roman"/>
          <w:b w:val="false"/>
          <w:sz w:val="20"/>
        </w:rPr>
        <w:t>17</w:t>
      </w:r>
    </w:p>
    <w:p>
      <w:pPr>
        <w:pStyle w:val="HorizontalLine"/>
        <w:rPr/>
      </w:pPr>
      <w:r>
        <w:rPr/>
      </w:r>
    </w:p>
    <w:p>
      <w:pPr>
        <w:pStyle w:val="TextBody"/>
        <w:spacing w:lineRule="auto" w:line="273" w:before="0" w:after="120"/>
        <w:jc w:val="center"/>
        <w:rPr>
          <w:rFonts w:ascii="Times New Roman" w:hAnsi="Times New Roman"/>
          <w:b/>
          <w:sz w:val="20"/>
        </w:rPr>
      </w:pPr>
      <w:r>
        <w:rPr>
          <w:rFonts w:ascii="Times New Roman" w:hAnsi="Times New Roman"/>
          <w:b/>
          <w:sz w:val="20"/>
        </w:rPr>
        <w:t>Notes to the Condensed Consolidated Financial Statements</w:t>
      </w:r>
    </w:p>
    <w:p>
      <w:pPr>
        <w:pStyle w:val="TextBody"/>
        <w:spacing w:lineRule="auto" w:line="273" w:before="0" w:after="0"/>
        <w:jc w:val="left"/>
        <w:rPr/>
      </w:pPr>
      <w:r>
        <w:rPr/>
        <w:t> </w:t>
      </w:r>
    </w:p>
    <w:p>
      <w:pPr>
        <w:pStyle w:val="TextBody"/>
        <w:spacing w:lineRule="auto" w:line="273" w:before="360" w:after="0"/>
        <w:jc w:val="left"/>
        <w:rPr>
          <w:rFonts w:ascii="Times New Roman" w:hAnsi="Times New Roman"/>
          <w:b/>
          <w:sz w:val="20"/>
        </w:rPr>
      </w:pPr>
      <w:r>
        <w:rPr>
          <w:rFonts w:ascii="Times New Roman" w:hAnsi="Times New Roman"/>
          <w:b/>
          <w:sz w:val="20"/>
        </w:rPr>
        <w:t>11.</w:t>
      </w:r>
    </w:p>
    <w:p>
      <w:pPr>
        <w:pStyle w:val="TextBody"/>
        <w:spacing w:lineRule="auto" w:line="273" w:before="360" w:after="283"/>
        <w:jc w:val="left"/>
        <w:rPr>
          <w:rFonts w:ascii="Times New Roman" w:hAnsi="Times New Roman"/>
          <w:b/>
          <w:sz w:val="20"/>
        </w:rPr>
      </w:pPr>
      <w:r>
        <w:rPr>
          <w:rFonts w:ascii="Times New Roman" w:hAnsi="Times New Roman"/>
          <w:b/>
          <w:sz w:val="20"/>
        </w:rPr>
        <w:t xml:space="preserve">Redeemable Noncontrolling Interest </w:t>
      </w:r>
    </w:p>
    <w:p>
      <w:pPr>
        <w:pStyle w:val="TextBody"/>
        <w:spacing w:lineRule="auto" w:line="273" w:before="120" w:after="0"/>
        <w:jc w:val="left"/>
        <w:rPr>
          <w:rFonts w:ascii="Times New Roman" w:hAnsi="Times New Roman"/>
          <w:sz w:val="20"/>
        </w:rPr>
      </w:pPr>
      <w:r>
        <w:rPr>
          <w:rFonts w:ascii="Times New Roman" w:hAnsi="Times New Roman"/>
          <w:b w:val="false"/>
          <w:sz w:val="20"/>
        </w:rPr>
        <w:t>Prior to the Merger, DOT-1, the Company’s subsidiary, issued Series A redeemable convertible preferred shares to Takeda in accordance with the Takeda Asset Agreement (Note 5). The Company concluded that it represented a redeemable noncontrolling interest.</w:t>
      </w:r>
      <w:r>
        <w:rPr>
          <w:rFonts w:ascii="Times New Roman" w:hAnsi="Times New Roman"/>
          <w:sz w:val="20"/>
        </w:rPr>
        <w:t xml:space="preserve"> </w:t>
      </w:r>
    </w:p>
    <w:p>
      <w:pPr>
        <w:pStyle w:val="TextBody"/>
        <w:spacing w:lineRule="auto" w:line="273" w:before="120" w:after="0"/>
        <w:jc w:val="left"/>
        <w:rPr>
          <w:rFonts w:ascii="Times New Roman" w:hAnsi="Times New Roman"/>
          <w:sz w:val="20"/>
        </w:rPr>
      </w:pPr>
      <w:r>
        <w:rPr>
          <w:rFonts w:ascii="Times New Roman" w:hAnsi="Times New Roman"/>
          <w:b w:val="false"/>
          <w:sz w:val="20"/>
        </w:rPr>
        <w:t>The Company adjusted the carrying value of redeemable noncontrolling interest to allocate net losses of the subsidiary to Takeda. Transfers to and from the redeemable noncontrolling interest represented changes in ownership and the allocation of Series A redeemable convertible preferred shares issuance costs issued by the subsidiary.</w:t>
      </w:r>
      <w:r>
        <w:rPr>
          <w:rFonts w:ascii="Times New Roman" w:hAnsi="Times New Roman"/>
          <w:sz w:val="20"/>
        </w:rPr>
        <w:t xml:space="preserve"> </w:t>
      </w:r>
    </w:p>
    <w:p>
      <w:pPr>
        <w:pStyle w:val="TextBody"/>
        <w:spacing w:lineRule="auto" w:line="273" w:before="120" w:after="0"/>
        <w:jc w:val="left"/>
        <w:rPr>
          <w:rFonts w:ascii="Times New Roman" w:hAnsi="Times New Roman"/>
          <w:sz w:val="20"/>
        </w:rPr>
      </w:pPr>
      <w:r>
        <w:rPr>
          <w:rFonts w:ascii="Times New Roman" w:hAnsi="Times New Roman"/>
          <w:b w:val="false"/>
          <w:sz w:val="20"/>
        </w:rPr>
        <w:t>On May 26, 2021, pursuant to the terms of the Millennium Stock Exchange Agreement, Takeda exchanged 9,857,143</w:t>
      </w:r>
      <w:r>
        <w:rPr>
          <w:rFonts w:ascii="Times New Roman" w:hAnsi="Times New Roman"/>
          <w:sz w:val="20"/>
        </w:rPr>
        <w:t xml:space="preserve"> </w:t>
      </w:r>
      <w:r>
        <w:rPr>
          <w:rFonts w:ascii="Times New Roman" w:hAnsi="Times New Roman"/>
          <w:b w:val="false"/>
          <w:sz w:val="20"/>
        </w:rPr>
        <w:t>shares of Series A redeemable convertible preferred stock in DOT-1 for 6,470,382</w:t>
      </w:r>
      <w:r>
        <w:rPr>
          <w:rFonts w:ascii="Times New Roman" w:hAnsi="Times New Roman"/>
          <w:sz w:val="20"/>
        </w:rPr>
        <w:t xml:space="preserve"> </w:t>
      </w:r>
      <w:r>
        <w:rPr>
          <w:rFonts w:ascii="Times New Roman" w:hAnsi="Times New Roman"/>
          <w:b w:val="false"/>
          <w:sz w:val="20"/>
        </w:rPr>
        <w:t>shares of common stock of the Company. Prior to the Exchange, the Company accounted for the redeemable noncontrolling interest as discussed in the paragraph above and allocated $0.9</w:t>
      </w:r>
      <w:r>
        <w:rPr>
          <w:rFonts w:ascii="Times New Roman" w:hAnsi="Times New Roman"/>
          <w:sz w:val="20"/>
        </w:rPr>
        <w:t xml:space="preserve"> </w:t>
      </w:r>
      <w:r>
        <w:rPr>
          <w:rFonts w:ascii="Times New Roman" w:hAnsi="Times New Roman"/>
          <w:b w:val="false"/>
          <w:sz w:val="20"/>
        </w:rPr>
        <w:t>million and $2.1</w:t>
      </w:r>
      <w:r>
        <w:rPr>
          <w:rFonts w:ascii="Times New Roman" w:hAnsi="Times New Roman"/>
          <w:sz w:val="20"/>
        </w:rPr>
        <w:t xml:space="preserve"> </w:t>
      </w:r>
      <w:r>
        <w:rPr>
          <w:rFonts w:ascii="Times New Roman" w:hAnsi="Times New Roman"/>
          <w:b w:val="false"/>
          <w:sz w:val="20"/>
        </w:rPr>
        <w:t>million of net losses for the period from January 1 to March 31, 2021 and from January 1 to May 26, 2021, respectively, to Takeda. The Exchange resulted in DOT-1 becoming a wholly owned subsidiary of the Company and was recorded for accounting purposes as an extinguishment of the redeemable noncontrolling interest. As such, the Company also recognized an extinguishment loss of $100.0</w:t>
      </w:r>
      <w:r>
        <w:rPr>
          <w:rFonts w:ascii="Times New Roman" w:hAnsi="Times New Roman"/>
          <w:sz w:val="20"/>
        </w:rPr>
        <w:t xml:space="preserve"> </w:t>
      </w:r>
      <w:r>
        <w:rPr>
          <w:rFonts w:ascii="Times New Roman" w:hAnsi="Times New Roman"/>
          <w:b w:val="false"/>
          <w:sz w:val="20"/>
        </w:rPr>
        <w:t>million to additional paid-in-capital, which was calculated as a difference between the fair value of common stock issued to Takeda in the conversion and the carrying value of redeemable noncontrolling interest at the conversion date. The all-stock exchange was treated as a deemed dividend in the calculation of net loss attributable to common stockholders/members and net loss and per share.</w:t>
      </w:r>
    </w:p>
    <w:p>
      <w:pPr>
        <w:pStyle w:val="TextBody"/>
        <w:spacing w:lineRule="auto" w:line="273" w:before="0" w:after="0"/>
        <w:jc w:val="center"/>
        <w:rPr>
          <w:rFonts w:ascii="Times New Roman" w:hAnsi="Times New Roman"/>
          <w:b w:val="false"/>
          <w:sz w:val="20"/>
        </w:rPr>
      </w:pPr>
      <w:r>
        <w:rPr>
          <w:rFonts w:ascii="Times New Roman" w:hAnsi="Times New Roman"/>
          <w:b w:val="false"/>
          <w:sz w:val="20"/>
        </w:rPr>
        <w:t>18</w:t>
      </w:r>
    </w:p>
    <w:p>
      <w:pPr>
        <w:pStyle w:val="HorizontalLine"/>
        <w:rPr/>
      </w:pPr>
      <w:r>
        <w:rPr/>
      </w:r>
    </w:p>
    <w:p>
      <w:pPr>
        <w:pStyle w:val="TextBody"/>
        <w:spacing w:lineRule="auto" w:line="273" w:before="0" w:after="0"/>
        <w:jc w:val="left"/>
        <w:rPr/>
      </w:pPr>
      <w:r>
        <w:rPr/>
        <w:t> </w:t>
      </w:r>
    </w:p>
    <w:p>
      <w:pPr>
        <w:pStyle w:val="TextBody"/>
        <w:spacing w:lineRule="auto" w:line="273" w:before="360" w:after="0"/>
        <w:jc w:val="left"/>
        <w:rPr>
          <w:rFonts w:ascii="Times New Roman" w:hAnsi="Times New Roman"/>
          <w:b/>
          <w:sz w:val="20"/>
        </w:rPr>
      </w:pPr>
      <w:r>
        <w:rPr>
          <w:rFonts w:ascii="Times New Roman" w:hAnsi="Times New Roman"/>
          <w:b/>
          <w:sz w:val="20"/>
        </w:rPr>
        <w:t>12.</w:t>
      </w:r>
    </w:p>
    <w:p>
      <w:pPr>
        <w:pStyle w:val="TextBody"/>
        <w:spacing w:lineRule="auto" w:line="273" w:before="360" w:after="283"/>
        <w:jc w:val="left"/>
        <w:rPr>
          <w:rFonts w:ascii="Times New Roman" w:hAnsi="Times New Roman"/>
          <w:b/>
          <w:sz w:val="20"/>
        </w:rPr>
      </w:pPr>
      <w:r>
        <w:rPr>
          <w:rFonts w:ascii="Times New Roman" w:hAnsi="Times New Roman"/>
          <w:b/>
          <w:sz w:val="20"/>
        </w:rPr>
        <w:t>Defined Contribution Plan</w:t>
      </w:r>
    </w:p>
    <w:p>
      <w:pPr>
        <w:pStyle w:val="TextBody"/>
        <w:spacing w:lineRule="auto" w:line="273" w:before="120" w:after="0"/>
        <w:jc w:val="left"/>
        <w:rPr>
          <w:rFonts w:ascii="Times New Roman" w:hAnsi="Times New Roman"/>
          <w:sz w:val="20"/>
        </w:rPr>
      </w:pPr>
      <w:r>
        <w:rPr>
          <w:rFonts w:ascii="Times New Roman" w:hAnsi="Times New Roman"/>
          <w:b w:val="false"/>
          <w:sz w:val="20"/>
        </w:rPr>
        <w:t>The Company maintains an employee savings plan pursuant to Section 401(k) of the Internal Revenue Code. All employees are eligible to participate provided that they meet the requirements of the plan. For the three months ended March 31, 2022 and 2021, the Company made matching contributions of $0.2</w:t>
      </w:r>
      <w:r>
        <w:rPr>
          <w:rFonts w:ascii="Times New Roman" w:hAnsi="Times New Roman"/>
          <w:sz w:val="20"/>
        </w:rPr>
        <w:t xml:space="preserve"> </w:t>
      </w:r>
      <w:r>
        <w:rPr>
          <w:rFonts w:ascii="Times New Roman" w:hAnsi="Times New Roman"/>
          <w:b w:val="false"/>
          <w:sz w:val="20"/>
        </w:rPr>
        <w:t>million and zero, respectively.</w:t>
      </w:r>
    </w:p>
    <w:p>
      <w:pPr>
        <w:pStyle w:val="TextBody"/>
        <w:spacing w:lineRule="auto" w:line="273" w:before="360" w:after="0"/>
        <w:jc w:val="left"/>
        <w:rPr>
          <w:rFonts w:ascii="Times New Roman" w:hAnsi="Times New Roman"/>
          <w:b/>
          <w:sz w:val="20"/>
        </w:rPr>
      </w:pPr>
      <w:r>
        <w:rPr>
          <w:rFonts w:ascii="Times New Roman" w:hAnsi="Times New Roman"/>
          <w:b/>
          <w:sz w:val="20"/>
        </w:rPr>
        <w:t>13.</w:t>
      </w:r>
    </w:p>
    <w:p>
      <w:pPr>
        <w:pStyle w:val="TextBody"/>
        <w:spacing w:lineRule="auto" w:line="273" w:before="360" w:after="283"/>
        <w:jc w:val="left"/>
        <w:rPr>
          <w:rFonts w:ascii="Times New Roman" w:hAnsi="Times New Roman"/>
          <w:b/>
          <w:sz w:val="20"/>
        </w:rPr>
      </w:pPr>
      <w:r>
        <w:rPr>
          <w:rFonts w:ascii="Times New Roman" w:hAnsi="Times New Roman"/>
          <w:b/>
          <w:sz w:val="20"/>
        </w:rPr>
        <w:t>Subsequent Event</w:t>
      </w:r>
    </w:p>
    <w:p>
      <w:pPr>
        <w:pStyle w:val="TextBody"/>
        <w:spacing w:lineRule="auto" w:line="273" w:before="120" w:after="0"/>
        <w:jc w:val="left"/>
        <w:rPr>
          <w:rFonts w:ascii="Times New Roman" w:hAnsi="Times New Roman"/>
          <w:sz w:val="20"/>
        </w:rPr>
      </w:pPr>
      <w:r>
        <w:rPr>
          <w:rFonts w:ascii="Times New Roman" w:hAnsi="Times New Roman"/>
          <w:b w:val="false"/>
          <w:sz w:val="20"/>
        </w:rPr>
        <w:t>On April 1, 2022, the Company entered into a lease agreement for approximately 12,000</w:t>
      </w:r>
      <w:r>
        <w:rPr>
          <w:rFonts w:ascii="Times New Roman" w:hAnsi="Times New Roman"/>
          <w:sz w:val="20"/>
        </w:rPr>
        <w:t xml:space="preserve"> </w:t>
      </w:r>
      <w:r>
        <w:rPr>
          <w:rFonts w:ascii="Times New Roman" w:hAnsi="Times New Roman"/>
          <w:b w:val="false"/>
          <w:sz w:val="20"/>
        </w:rPr>
        <w:t>square feet of general use office space in Brisbane, California. The initial term of the lease is for 31 months and commences in May 2022. The total payments for base rent over the term of the lease is approximately $1.1</w:t>
      </w:r>
      <w:r>
        <w:rPr>
          <w:rFonts w:ascii="Times New Roman" w:hAnsi="Times New Roman"/>
          <w:sz w:val="20"/>
        </w:rPr>
        <w:t xml:space="preserve"> </w:t>
      </w:r>
      <w:r>
        <w:rPr>
          <w:rFonts w:ascii="Times New Roman" w:hAnsi="Times New Roman"/>
          <w:b w:val="false"/>
          <w:sz w:val="20"/>
        </w:rPr>
        <w:t>million. Additionally, the Company is required to pay a security deposit of approximately $40,000</w:t>
      </w:r>
      <w:r>
        <w:rPr>
          <w:rFonts w:ascii="Times New Roman" w:hAnsi="Times New Roman"/>
          <w:sz w:val="20"/>
        </w:rPr>
        <w:t xml:space="preserve"> </w:t>
      </w:r>
      <w:r>
        <w:rPr>
          <w:rFonts w:ascii="Times New Roman" w:hAnsi="Times New Roman"/>
          <w:b w:val="false"/>
          <w:sz w:val="20"/>
        </w:rPr>
        <w:t>upon execution of the sublease agreement.</w:t>
      </w:r>
      <w:r>
        <w:rPr>
          <w:rFonts w:ascii="Times New Roman" w:hAnsi="Times New Roman"/>
          <w:sz w:val="20"/>
        </w:rPr>
        <w:t xml:space="preserve"> </w:t>
      </w:r>
    </w:p>
    <w:p>
      <w:pPr>
        <w:pStyle w:val="TextBody"/>
        <w:spacing w:lineRule="auto" w:line="273" w:before="360" w:after="0"/>
        <w:jc w:val="left"/>
        <w:rPr>
          <w:rFonts w:ascii="Times New Roman" w:hAnsi="Times New Roman"/>
          <w:sz w:val="20"/>
        </w:rPr>
      </w:pPr>
      <w:bookmarkStart w:id="9" w:name="tx180355_9"/>
      <w:bookmarkEnd w:id="9"/>
      <w:r>
        <w:rPr>
          <w:rFonts w:ascii="Times New Roman" w:hAnsi="Times New Roman"/>
          <w:b/>
          <w:sz w:val="20"/>
        </w:rPr>
        <w:t>Item 2. Management’s Discussion and Analysis of Financial Condition and Results of Operations.</w:t>
      </w:r>
      <w:r>
        <w:rPr>
          <w:rFonts w:ascii="Times New Roman" w:hAnsi="Times New Roman"/>
          <w:sz w:val="20"/>
        </w:rPr>
        <w:t xml:space="preserve"> </w:t>
      </w:r>
    </w:p>
    <w:p>
      <w:pPr>
        <w:pStyle w:val="TextBody"/>
        <w:spacing w:lineRule="auto" w:line="273" w:before="120" w:after="0"/>
        <w:jc w:val="left"/>
        <w:rPr>
          <w:rFonts w:ascii="Times New Roman" w:hAnsi="Times New Roman"/>
          <w:b w:val="false"/>
          <w:i/>
          <w:sz w:val="20"/>
        </w:rPr>
      </w:pPr>
      <w:r>
        <w:rPr>
          <w:rFonts w:ascii="Times New Roman" w:hAnsi="Times New Roman"/>
          <w:b w:val="false"/>
          <w:i/>
          <w:sz w:val="20"/>
        </w:rPr>
        <w:t>You should read the following discussion and analysis of our financial condition and results of operations together with our consolidated financial statements and related notes, our interim condensed consolidated financial statements and related notes, and other financial information appearing in this Quarterly Report on Form 10-Q. Some of the information contained in this discussion and analysis includes forward-looking statements that involve risks and uncertainties. As a result of many factors, including those factors set forth in the “Risk Factors” in this this Quarterly Report on Form 10-Q, our actual results could differ materially from the results described in or implied by the forward-looking statements contained in the following discussion and analysis.</w:t>
      </w:r>
    </w:p>
    <w:p>
      <w:pPr>
        <w:pStyle w:val="TextBody"/>
        <w:spacing w:lineRule="auto" w:line="273" w:before="360" w:after="0"/>
        <w:jc w:val="left"/>
        <w:rPr>
          <w:rFonts w:ascii="Times New Roman" w:hAnsi="Times New Roman"/>
          <w:sz w:val="20"/>
        </w:rPr>
      </w:pPr>
      <w:r>
        <w:rPr>
          <w:rFonts w:ascii="Times New Roman" w:hAnsi="Times New Roman"/>
          <w:b/>
          <w:sz w:val="20"/>
        </w:rPr>
        <w:t>Overview</w:t>
      </w:r>
      <w:r>
        <w:rPr>
          <w:rFonts w:ascii="Times New Roman" w:hAnsi="Times New Roman"/>
          <w:sz w:val="20"/>
        </w:rPr>
        <w:t xml:space="preserve"> </w:t>
      </w:r>
    </w:p>
    <w:p>
      <w:pPr>
        <w:pStyle w:val="TextBody"/>
        <w:spacing w:lineRule="auto" w:line="273" w:before="120" w:after="0"/>
        <w:jc w:val="left"/>
        <w:rPr>
          <w:rFonts w:ascii="Times New Roman" w:hAnsi="Times New Roman"/>
          <w:b w:val="false"/>
          <w:sz w:val="20"/>
        </w:rPr>
      </w:pPr>
      <w:r>
        <w:rPr>
          <w:rFonts w:ascii="Times New Roman" w:hAnsi="Times New Roman"/>
          <w:b w:val="false"/>
          <w:sz w:val="20"/>
        </w:rPr>
        <w:t>Day One was founded to address a critical unmet need: children with cancer are being left behind in a cancer drug development revolution. Our name was inspired by the “The Day One Talk” that physicians have with patients and their families about an initial cancer diagnosis and treatment plan. We aim to re-envision cancer drug development and redefine what’s possible for all people living with cancer—regardless of age—starting from Day One.</w:t>
      </w:r>
    </w:p>
    <w:p>
      <w:pPr>
        <w:pStyle w:val="TextBody"/>
        <w:spacing w:lineRule="auto" w:line="273" w:before="120" w:after="0"/>
        <w:jc w:val="left"/>
        <w:rPr>
          <w:rFonts w:ascii="Times New Roman" w:hAnsi="Times New Roman"/>
          <w:b w:val="false"/>
          <w:sz w:val="20"/>
        </w:rPr>
      </w:pPr>
      <w:r>
        <w:rPr>
          <w:rFonts w:ascii="Times New Roman" w:hAnsi="Times New Roman"/>
          <w:b w:val="false"/>
          <w:sz w:val="20"/>
        </w:rPr>
        <w:t>We are a clinical-stage biopharmaceutical company dedicated to developing and commercializing targeted therapies for patients of all ages with genomically-defined cancers. Initially, we focus our clinical development efforts on pediatric patients living with cancer, a vulnerable population that has been underserved in the recent revolution in targeted therapeutics and immuno-oncology. Our lead product candidate, tovorafenib (DAY101), is an oral, brain-penetrant, highly-selective type II pan-rapidly accelerated fibrosarcoma, or pan-RAF, kinase inhibitor. Tovorafenib (DAY101) has been studied in over 250 patients and has been shown to be well-tolerated as a monotherapy. Tovorafenib (DAY101) has demonstrated encouraging anti-tumor activity in pediatric and adult populations with specific genetic alterations that result in the over-activation of the RAS/mitogen-activated protein kinase, or MAPK, pathway leading to uncontrolled cell growth. We have initiated a pivotal Phase 2 trial (FIREFLY-1) of tovorafenib (DAY101) for pediatric patients with relapsed or progressive low-grade glioma, or pLGG, the most common brain tumor diagnosed in children, for which there are no approved therapies and no standard of care. The first patient was dosed in May 2021, we completed enrollment in the pivotal cohort in May 2022 and we expect to report initial data from this trial in June 2022. Furthermore, we anticipate reporting topline data from this pivotal trial in the first quarter of 2023, and, if the data are supportive, we expect to file a related New Drug Application, or NDA, with the U.S. Food and Drug Administration, or FDA, in 2023. The FIREFLY-1 trial has been expanded to include two additional study arms to enable access for eligible patients once the primary cohort has completed enrollment and to evaluate the preliminary efficacy of tovorafenib (DAY101) in patients aged 6 months to 25 years with a relapsed or progressive extracranial solid tumor with activating RAF fusion. Tovorafenib (DAY101) has been granted Breakthrough Therapy designation by the FDA for the treatment of pLGG based on initial results from a Phase 1 trial which showed evidence of rapid anti-tumor activity and durable responses in pLGG patients. We received Orphan Drug designation for the treatment of malignant melanoma from the FDA in September 2020 and from the EU Commission for the treatment of glioma in May 2021. Additionally, the FDA granted Rare Pediatric designation to tovorafenib (DAY101) for treatment of low-grade gliomas, or LGGs, harboring an activating RAF alteration in July 2021.</w:t>
      </w:r>
    </w:p>
    <w:p>
      <w:pPr>
        <w:pStyle w:val="TextBody"/>
        <w:spacing w:lineRule="auto" w:line="273" w:before="120" w:after="0"/>
        <w:jc w:val="left"/>
        <w:rPr>
          <w:rFonts w:ascii="Times New Roman" w:hAnsi="Times New Roman"/>
          <w:b w:val="false"/>
          <w:sz w:val="20"/>
        </w:rPr>
      </w:pPr>
      <w:r>
        <w:rPr>
          <w:rFonts w:ascii="Times New Roman" w:hAnsi="Times New Roman"/>
          <w:b w:val="false"/>
          <w:sz w:val="20"/>
        </w:rPr>
        <w:t>Our second product candidate, pimasertib, is an oral, highly-selective small molecule inhibitor of mitogen-activated protein kinase kinases 1 and 2, or MEK, a well-characterized key signaling node in the MAPK pathway. We initiated FIRELIGHT-1, a Phase 1b/2 trial in March 2022 to study the combination of tovorafenib (DAY101) and pimasertib in patients 12 years and older with various MAPK-altered solid tumors. We believe our business development capabilities combined with our extensive experience in oncology drug development and deep ties within the research and patient advocacy communities, particularly within the pediatric setting, positions us to be a leader in identifying, acquiring and developing therapies for patients of all ages. We hold exclusive worldwide rights to tovorafenib (DAY101) and to pimasertib for all therapeutic areas subject to certain milestone and royalty payments. For additional information, see “Significant agreements.”</w:t>
      </w:r>
    </w:p>
    <w:p>
      <w:pPr>
        <w:pStyle w:val="TextBody"/>
        <w:spacing w:lineRule="auto" w:line="273" w:before="0" w:after="0"/>
        <w:jc w:val="center"/>
        <w:rPr>
          <w:rFonts w:ascii="Times New Roman" w:hAnsi="Times New Roman"/>
          <w:b w:val="false"/>
          <w:sz w:val="20"/>
        </w:rPr>
      </w:pPr>
      <w:r>
        <w:rPr>
          <w:rFonts w:ascii="Times New Roman" w:hAnsi="Times New Roman"/>
          <w:b w:val="false"/>
          <w:sz w:val="20"/>
        </w:rPr>
        <w:t>19</w:t>
      </w:r>
    </w:p>
    <w:p>
      <w:pPr>
        <w:pStyle w:val="HorizontalLine"/>
        <w:rPr/>
      </w:pPr>
      <w:r>
        <w:rPr/>
      </w:r>
    </w:p>
    <w:p>
      <w:pPr>
        <w:pStyle w:val="TextBody"/>
        <w:spacing w:lineRule="auto" w:line="273" w:before="0" w:after="0"/>
        <w:jc w:val="left"/>
        <w:rPr/>
      </w:pPr>
      <w:r>
        <w:rPr/>
        <w:t> </w:t>
      </w:r>
    </w:p>
    <w:p>
      <w:pPr>
        <w:pStyle w:val="TextBody"/>
        <w:spacing w:lineRule="auto" w:line="273" w:before="120" w:after="0"/>
        <w:jc w:val="left"/>
        <w:rPr>
          <w:rFonts w:ascii="Times New Roman" w:hAnsi="Times New Roman"/>
          <w:b w:val="false"/>
          <w:sz w:val="20"/>
        </w:rPr>
      </w:pPr>
      <w:r>
        <w:rPr>
          <w:rFonts w:ascii="Times New Roman" w:hAnsi="Times New Roman"/>
          <w:b w:val="false"/>
          <w:sz w:val="20"/>
        </w:rPr>
        <w:t>The following table summarizes our product candidate pipeline.</w:t>
      </w:r>
    </w:p>
    <w:p>
      <w:pPr>
        <w:pStyle w:val="TextBody"/>
        <w:spacing w:lineRule="auto" w:line="273" w:before="120" w:after="0"/>
        <w:jc w:val="center"/>
        <w:rPr/>
      </w:pPr>
      <w:r>
        <w:rPr/>
        <w:drawing>
          <wp:inline distT="0" distB="0" distL="0" distR="0">
            <wp:extent cx="6858000" cy="32670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6858000" cy="3267075"/>
                    </a:xfrm>
                    <a:prstGeom prst="rect">
                      <a:avLst/>
                    </a:prstGeom>
                  </pic:spPr>
                </pic:pic>
              </a:graphicData>
            </a:graphic>
          </wp:inline>
        </w:drawing>
      </w:r>
      <w:r>
        <w:rPr/>
        <w:t> </w:t>
      </w:r>
    </w:p>
    <w:p>
      <w:pPr>
        <w:pStyle w:val="TextBody"/>
        <w:spacing w:lineRule="auto" w:line="273" w:before="120" w:after="0"/>
        <w:jc w:val="left"/>
        <w:rPr/>
      </w:pPr>
      <w:r>
        <w:rPr/>
        <w:t> </w:t>
      </w:r>
    </w:p>
    <w:p>
      <w:pPr>
        <w:pStyle w:val="TextBody"/>
        <w:spacing w:lineRule="auto" w:line="273" w:before="120" w:after="0"/>
        <w:jc w:val="left"/>
        <w:rPr>
          <w:rFonts w:ascii="Times New Roman" w:hAnsi="Times New Roman"/>
          <w:sz w:val="20"/>
        </w:rPr>
      </w:pPr>
      <w:r>
        <w:rPr>
          <w:rFonts w:ascii="Times New Roman" w:hAnsi="Times New Roman"/>
          <w:b w:val="false"/>
          <w:sz w:val="20"/>
        </w:rPr>
        <w:t>Since our inception in November 2018, we have devoted substantially all of our resources to identifying, acquiring and developing our product candidates and building our pipeline, organizing and staffing our company, business planning, establishing and maintaining our intellectual property portfolio, establishing arrangements with third parties for the manufacture of our product candidates, raising capital and providing general and administrative support for these operations. We do not have any products approved for commercial sale and have not generated any revenues from product sales or any other source and have incurred net losses since commencement of our operations. For the three months ended March 31, 2022 and 2021, we reported a net loss and comprehensive loss of $27.7 million and $16.1 million, respectively. We had an accumulated deficit of $155.2 million as of March 31, 2022. We expect a significant increase in expenses and substantial losses for the foreseeable future as we continue our development of, and seek regulatory approvals for our product candidates, commercialize any approved products, and seek to expand our product pipeline and invest in our organization. In addition, we expect to continue to incur additional costs associated with operating as a public company, including significant legal, audit, accounting, regulatory, tax-related, director and officer insurance, investor relations and other expenses that we did not incur as a private company.</w:t>
      </w:r>
      <w:r>
        <w:rPr>
          <w:rFonts w:ascii="Times New Roman" w:hAnsi="Times New Roman"/>
          <w:sz w:val="20"/>
        </w:rPr>
        <w:t xml:space="preserve"> </w:t>
      </w:r>
    </w:p>
    <w:p>
      <w:pPr>
        <w:pStyle w:val="TextBody"/>
        <w:spacing w:lineRule="auto" w:line="273" w:before="240" w:after="0"/>
        <w:jc w:val="left"/>
        <w:rPr>
          <w:rFonts w:ascii="Times New Roman" w:hAnsi="Times New Roman"/>
          <w:sz w:val="20"/>
        </w:rPr>
      </w:pPr>
      <w:r>
        <w:rPr>
          <w:rFonts w:ascii="Times New Roman" w:hAnsi="Times New Roman"/>
          <w:b w:val="false"/>
          <w:sz w:val="20"/>
        </w:rPr>
        <w:t>To date, we have funded our operations through the sale of our redeemable convertible preferred shares, convertible notes and common stock in our initial public offering.</w:t>
      </w:r>
      <w:r>
        <w:rPr>
          <w:rFonts w:ascii="Times New Roman" w:hAnsi="Times New Roman"/>
          <w:sz w:val="20"/>
        </w:rPr>
        <w:t xml:space="preserve"> </w:t>
      </w:r>
    </w:p>
    <w:p>
      <w:pPr>
        <w:pStyle w:val="TextBody"/>
        <w:spacing w:lineRule="auto" w:line="273" w:before="240" w:after="0"/>
        <w:jc w:val="left"/>
        <w:rPr>
          <w:rFonts w:ascii="Times New Roman" w:hAnsi="Times New Roman"/>
          <w:sz w:val="20"/>
        </w:rPr>
      </w:pPr>
      <w:r>
        <w:rPr>
          <w:rFonts w:ascii="Times New Roman" w:hAnsi="Times New Roman"/>
          <w:b w:val="false"/>
          <w:sz w:val="20"/>
        </w:rPr>
        <w:t>Cash and cash equivalents totaled $262.7 million as of March 31, 2022. Based on our current operating plan, management believes we have sufficient capital resources to fund anticipated operations into 2024. Because of the numerous risks and uncertainties associated with product development, we may never achieve profitability, and unless and until then, we will need to continue to raise additional capital. There are no assurances that we will be successful in obtaining an adequate level of financing to support our business plans. If we are unable to raise capital as and when needed or on attractive terms, we may have to significantly delay, reduce or discontinue the development and commercialization of our product candidates or scale back or terminate our pursuit of new in-licenses and acquisitions.</w:t>
      </w:r>
      <w:r>
        <w:rPr>
          <w:rFonts w:ascii="Times New Roman" w:hAnsi="Times New Roman"/>
          <w:sz w:val="20"/>
        </w:rPr>
        <w:t xml:space="preserve"> </w:t>
      </w:r>
    </w:p>
    <w:p>
      <w:pPr>
        <w:pStyle w:val="TextBody"/>
        <w:spacing w:lineRule="auto" w:line="273" w:before="240" w:after="0"/>
        <w:jc w:val="left"/>
        <w:rPr>
          <w:rFonts w:ascii="Times New Roman" w:hAnsi="Times New Roman"/>
          <w:sz w:val="20"/>
        </w:rPr>
      </w:pPr>
      <w:r>
        <w:rPr>
          <w:rFonts w:ascii="Times New Roman" w:hAnsi="Times New Roman"/>
          <w:b w:val="false"/>
          <w:sz w:val="20"/>
        </w:rPr>
        <w:t>We do not own or operate, and currently have no plans to establish, any manufacturing facilities. We rely, and expect to continue to rely, on third parties for the manufacture of our product candidates for clinical testing, as well as for commercial manufacturing if any of our product candidates obtain marketing approval. As we advance our product candidates through development, we will explore adding backup suppliers for the Active Pharmaceutical Ingredients, or API, drug product, packaging and formulation for each of our product candidates to protect against any potential supply disruptions.</w:t>
      </w:r>
      <w:r>
        <w:rPr>
          <w:rFonts w:ascii="Times New Roman" w:hAnsi="Times New Roman"/>
          <w:sz w:val="20"/>
        </w:rPr>
        <w:t xml:space="preserve"> </w:t>
      </w:r>
    </w:p>
    <w:p>
      <w:pPr>
        <w:pStyle w:val="TextBody"/>
        <w:spacing w:lineRule="auto" w:line="273" w:before="0" w:after="0"/>
        <w:jc w:val="center"/>
        <w:rPr>
          <w:rFonts w:ascii="Times New Roman" w:hAnsi="Times New Roman"/>
          <w:b w:val="false"/>
          <w:sz w:val="20"/>
        </w:rPr>
      </w:pPr>
      <w:r>
        <w:rPr>
          <w:rFonts w:ascii="Times New Roman" w:hAnsi="Times New Roman"/>
          <w:b w:val="false"/>
          <w:sz w:val="20"/>
        </w:rPr>
        <w:t>20</w:t>
      </w:r>
    </w:p>
    <w:p>
      <w:pPr>
        <w:pStyle w:val="HorizontalLine"/>
        <w:rPr/>
      </w:pPr>
      <w:r>
        <w:rPr/>
      </w:r>
    </w:p>
    <w:p>
      <w:pPr>
        <w:pStyle w:val="TextBody"/>
        <w:spacing w:lineRule="auto" w:line="273" w:before="0" w:after="0"/>
        <w:jc w:val="left"/>
        <w:rPr/>
      </w:pPr>
      <w:r>
        <w:rPr/>
        <w:t> </w:t>
      </w:r>
    </w:p>
    <w:p>
      <w:pPr>
        <w:pStyle w:val="TextBody"/>
        <w:spacing w:lineRule="auto" w:line="273" w:before="360" w:after="0"/>
        <w:jc w:val="left"/>
        <w:rPr>
          <w:rFonts w:ascii="Times New Roman" w:hAnsi="Times New Roman"/>
          <w:sz w:val="20"/>
        </w:rPr>
      </w:pPr>
      <w:r>
        <w:rPr>
          <w:rFonts w:ascii="Times New Roman" w:hAnsi="Times New Roman"/>
          <w:b/>
          <w:i/>
          <w:sz w:val="20"/>
        </w:rPr>
        <w:t>COVID-19 pandemic</w:t>
      </w:r>
      <w:r>
        <w:rPr>
          <w:rFonts w:ascii="Times New Roman" w:hAnsi="Times New Roman"/>
          <w:sz w:val="20"/>
        </w:rPr>
        <w:t xml:space="preserve"> </w:t>
      </w:r>
    </w:p>
    <w:p>
      <w:pPr>
        <w:pStyle w:val="TextBody"/>
        <w:spacing w:lineRule="auto" w:line="273" w:before="120" w:after="0"/>
        <w:jc w:val="left"/>
        <w:rPr>
          <w:rFonts w:ascii="Times New Roman" w:hAnsi="Times New Roman"/>
          <w:sz w:val="20"/>
        </w:rPr>
      </w:pPr>
      <w:r>
        <w:rPr>
          <w:rFonts w:ascii="Times New Roman" w:hAnsi="Times New Roman"/>
          <w:b w:val="false"/>
          <w:sz w:val="20"/>
        </w:rPr>
        <w:t>The degree to which the COVID-19 pandemic, including the emergence of related variants, impact our business operations, research and development programs and financial condition will depend on future developments, including the ultimate duration and/or severity of the outbreak, the impact of any resurgences and new strains that emerge, actions by government authorities to contain the spread of the virus, the timing, availability, and effectiveness of any vaccines, and when and to what extent normal economic and operating conditions can resume. Our management team continues to actively monitor this evolving health crisis and its effects on our operations, key vendors and workforce.</w:t>
      </w:r>
      <w:r>
        <w:rPr>
          <w:rFonts w:ascii="Times New Roman" w:hAnsi="Times New Roman"/>
          <w:sz w:val="20"/>
        </w:rPr>
        <w:t xml:space="preserve"> </w:t>
      </w:r>
    </w:p>
    <w:p>
      <w:pPr>
        <w:pStyle w:val="TextBody"/>
        <w:spacing w:lineRule="auto" w:line="273" w:before="240" w:after="0"/>
        <w:jc w:val="left"/>
        <w:rPr>
          <w:rFonts w:ascii="Times New Roman" w:hAnsi="Times New Roman"/>
          <w:sz w:val="20"/>
        </w:rPr>
      </w:pPr>
      <w:r>
        <w:rPr>
          <w:rFonts w:ascii="Times New Roman" w:hAnsi="Times New Roman"/>
          <w:b w:val="false"/>
          <w:sz w:val="20"/>
        </w:rPr>
        <w:t>We conduct our clinical trials in the U.S. and internationally in geographic regions that have been and continue to be impacted by the COVID-19 pandemic to varying degrees. We have experienced and expect to continue to experience volatility in services rendered from our third-party service providers as local governments respond to resurgences and the emergence of new strains, each of which may result in the prolonged reinstitution, extension or enhancement of protective measures. The American Cancer Society has also reported that the pandemic has led to declines in screening, diagnosis and treatment for cancer patients, which will impact the enrollment of patients in clinical trials targeting early-stage cancers and retention of patients overall in our trials. Patient safety remains our paramount concern and we continue to collaborate with our existing and with new investigational sites to implement measures to minimize disruptions to patients and ensure continued access to treatment, in accordance with health authority guidance. We are unable to predict the continuing or ultimate impact of the COVID-19 pandemic on our ongoing and planned clinical programs. With respect to manufacturing and supply, we do not anticipate disruptions to our drug supply chain, but in March 2022, authorities in Shanghai announced a two-stage lock-down for residents and businesses in response to rising rates of COVID-19 and we cannot be sure if additional lock-down measures or restrictions will be implemented and what, if any, impact that may have on our facilities and operations.</w:t>
      </w:r>
      <w:r>
        <w:rPr>
          <w:rFonts w:ascii="Times New Roman" w:hAnsi="Times New Roman"/>
          <w:sz w:val="20"/>
        </w:rPr>
        <w:t xml:space="preserve"> </w:t>
      </w:r>
    </w:p>
    <w:p>
      <w:pPr>
        <w:pStyle w:val="TextBody"/>
        <w:spacing w:lineRule="auto" w:line="273" w:before="240" w:after="0"/>
        <w:jc w:val="left"/>
        <w:rPr>
          <w:rFonts w:ascii="Times New Roman" w:hAnsi="Times New Roman"/>
          <w:sz w:val="20"/>
        </w:rPr>
      </w:pPr>
      <w:r>
        <w:rPr>
          <w:rFonts w:ascii="Times New Roman" w:hAnsi="Times New Roman"/>
          <w:b w:val="false"/>
          <w:sz w:val="20"/>
        </w:rPr>
        <w:t>The full impact of the COVID-19 pandemic remains highly uncertain and subject to change. The safety, health and well-being of our employees remains a primary concern, and we instituted remote work arrangements for our office-based employees. There are many uncertainties around the COVID-19 pandemic and future developments, which are unpredictable, may result in a material, negative impact to our operations and financial condition.</w:t>
      </w:r>
      <w:r>
        <w:rPr>
          <w:rFonts w:ascii="Times New Roman" w:hAnsi="Times New Roman"/>
          <w:sz w:val="20"/>
        </w:rPr>
        <w:t xml:space="preserve"> </w:t>
      </w:r>
    </w:p>
    <w:p>
      <w:pPr>
        <w:pStyle w:val="TextBody"/>
        <w:spacing w:lineRule="auto" w:line="273" w:before="360" w:after="0"/>
        <w:jc w:val="left"/>
        <w:rPr>
          <w:rFonts w:ascii="Times New Roman" w:hAnsi="Times New Roman"/>
          <w:sz w:val="20"/>
        </w:rPr>
      </w:pPr>
      <w:r>
        <w:rPr>
          <w:rFonts w:ascii="Times New Roman" w:hAnsi="Times New Roman"/>
          <w:b/>
          <w:sz w:val="20"/>
        </w:rPr>
        <w:t>Significant agreements</w:t>
      </w:r>
      <w:r>
        <w:rPr>
          <w:rFonts w:ascii="Times New Roman" w:hAnsi="Times New Roman"/>
          <w:sz w:val="20"/>
        </w:rPr>
        <w:t xml:space="preserve"> </w:t>
      </w:r>
    </w:p>
    <w:p>
      <w:pPr>
        <w:pStyle w:val="TextBody"/>
        <w:spacing w:lineRule="auto" w:line="273" w:before="120" w:after="0"/>
        <w:jc w:val="left"/>
        <w:rPr>
          <w:rFonts w:ascii="Times New Roman" w:hAnsi="Times New Roman"/>
          <w:sz w:val="20"/>
        </w:rPr>
      </w:pPr>
      <w:r>
        <w:rPr>
          <w:rFonts w:ascii="Times New Roman" w:hAnsi="Times New Roman"/>
          <w:b/>
          <w:i/>
          <w:sz w:val="20"/>
        </w:rPr>
        <w:t>Takeda asset agreement</w:t>
      </w:r>
      <w:r>
        <w:rPr>
          <w:rFonts w:ascii="Times New Roman" w:hAnsi="Times New Roman"/>
          <w:sz w:val="20"/>
        </w:rPr>
        <w:t xml:space="preserve"> </w:t>
      </w:r>
    </w:p>
    <w:p>
      <w:pPr>
        <w:pStyle w:val="TextBody"/>
        <w:spacing w:lineRule="auto" w:line="273" w:before="120" w:after="0"/>
        <w:jc w:val="left"/>
        <w:rPr>
          <w:rFonts w:ascii="Times New Roman" w:hAnsi="Times New Roman"/>
          <w:sz w:val="20"/>
        </w:rPr>
      </w:pPr>
      <w:r>
        <w:rPr>
          <w:rFonts w:ascii="Times New Roman" w:hAnsi="Times New Roman"/>
          <w:b w:val="false"/>
          <w:sz w:val="20"/>
        </w:rPr>
        <w:t>On December 16, 2019, DOT-1 Therapeutics, Inc., or DOT-1, our subsidiary, entered into an asset purchase agreement, or the Takeda Asset Agreement, with Millennium Pharmaceuticals, Inc., an affiliate of Takeda Pharmaceutical Company Limited, or Takeda. Pursuant to the Takeda Asset Agreement, we purchased certain technology rights and know-how related to TAK-580 (which is now tovorafenib (DAY101)), which was being developed to treat patients with primary brain tumors or brain metastases of solid tumors. We also received clinical inventory supplies to use in our research and development activities of such RAF-inhibitor and an assigned investigator clinical trial agreement. Takeda also assigned to us its exclusive license agreement, or the Viracta License Agreement, with Viracta Therapeutics, Inc. or Viracta (f/k/a Sunesis Pharmaceuticals, Inc.). Takeda also granted us a worldwide, sublicensable exclusive license under specified patents and know-how and non-exclusive license under other patents and know-how generated by Takeda under the Takeda Asset Agreement or otherwise through practice of the technology assigned or licensed to us under the Takeda Asset Agreement, in each case, to develop, manufacture and commercialize products containing tovorafenib (DAY101) in all fields of use. We also granted Takeda an exclusive license under the technology assigned or licensed to us under the Takeda Asset Agreement and a non-exclusive license under any patents and know-how generated by us under the Takeda Asset Agreement or otherwise through the practice of the technology assigned or licensed to us under the Takeda Asset Agreement, in each case, only for Takeda to develop, manufacture and commercialize products containing tovorafenib (DAY101) in the field excluded from our license grant. This grant back license to Takeda was terminated at the time of Conversion in connection with the Millennium Stock Exchange Agreement.</w:t>
      </w:r>
      <w:r>
        <w:rPr>
          <w:rFonts w:ascii="Times New Roman" w:hAnsi="Times New Roman"/>
          <w:sz w:val="20"/>
        </w:rPr>
        <w:t xml:space="preserve"> </w:t>
      </w:r>
    </w:p>
    <w:p>
      <w:pPr>
        <w:pStyle w:val="TextBody"/>
        <w:spacing w:lineRule="auto" w:line="273" w:before="120" w:after="0"/>
        <w:jc w:val="left"/>
        <w:rPr>
          <w:rFonts w:ascii="Times New Roman" w:hAnsi="Times New Roman"/>
          <w:b w:val="false"/>
          <w:sz w:val="20"/>
        </w:rPr>
      </w:pPr>
      <w:r>
        <w:rPr>
          <w:rFonts w:ascii="Times New Roman" w:hAnsi="Times New Roman"/>
          <w:b w:val="false"/>
          <w:sz w:val="20"/>
        </w:rPr>
        <w:t>In consideration for the sale and assignment of assets and the grant of the license under the Takeda Asset Agreement, DOT-1 made an upfront payment of $1.0 million in cash and issued 9,857,143 shares of Series A redeemable convertible preferred stock in DOT-1 in December 2019. The fair value of issued shares was estimated as $9.9 million, based on the price paid by other investors for issued shares in the Series A financing of DOT-1. Pursuant to the terms of the Millennium Stock Exchange Agreement, or the Millennium Stock Exchange Agreement, Takeda agreed to exchange 9,857,143 shares of Series A redeemable convertible preferred stock of DOT-1 for 6,470,382 shares of the Company’s common stock pursuant to and contingent upon the effectiveness of the Conversion on May 26, 2021.</w:t>
      </w:r>
    </w:p>
    <w:p>
      <w:pPr>
        <w:pStyle w:val="TextBody"/>
        <w:spacing w:lineRule="auto" w:line="273" w:before="120" w:after="0"/>
        <w:jc w:val="left"/>
        <w:rPr>
          <w:rFonts w:ascii="Times New Roman" w:hAnsi="Times New Roman"/>
          <w:b w:val="false"/>
          <w:sz w:val="20"/>
        </w:rPr>
      </w:pPr>
      <w:r>
        <w:rPr>
          <w:rFonts w:ascii="Times New Roman" w:hAnsi="Times New Roman"/>
          <w:b w:val="false"/>
          <w:sz w:val="20"/>
        </w:rPr>
        <w:t>Effective December 31, 2021, DOT-1 was merged with and into our company, with our company being the surviving corporation and assuming DOT-1’s obligations under the Takeda Assets Purchase Agreement.</w:t>
      </w:r>
    </w:p>
    <w:p>
      <w:pPr>
        <w:pStyle w:val="TextBody"/>
        <w:spacing w:lineRule="auto" w:line="273" w:before="0" w:after="0"/>
        <w:jc w:val="center"/>
        <w:rPr>
          <w:rFonts w:ascii="Times New Roman" w:hAnsi="Times New Roman"/>
          <w:b w:val="false"/>
          <w:sz w:val="20"/>
        </w:rPr>
      </w:pPr>
      <w:r>
        <w:rPr>
          <w:rFonts w:ascii="Times New Roman" w:hAnsi="Times New Roman"/>
          <w:b w:val="false"/>
          <w:sz w:val="20"/>
        </w:rPr>
        <w:t>21</w:t>
      </w:r>
    </w:p>
    <w:p>
      <w:pPr>
        <w:pStyle w:val="HorizontalLine"/>
        <w:rPr/>
      </w:pPr>
      <w:r>
        <w:rPr/>
      </w:r>
    </w:p>
    <w:p>
      <w:pPr>
        <w:pStyle w:val="TextBody"/>
        <w:spacing w:lineRule="auto" w:line="273" w:before="0" w:after="0"/>
        <w:jc w:val="left"/>
        <w:rPr/>
      </w:pPr>
      <w:r>
        <w:rPr/>
        <w:t> </w:t>
      </w:r>
    </w:p>
    <w:p>
      <w:pPr>
        <w:pStyle w:val="TextBody"/>
        <w:spacing w:lineRule="auto" w:line="273" w:before="360" w:after="0"/>
        <w:jc w:val="left"/>
        <w:rPr>
          <w:rFonts w:ascii="Times New Roman" w:hAnsi="Times New Roman"/>
          <w:sz w:val="20"/>
        </w:rPr>
      </w:pPr>
      <w:r>
        <w:rPr>
          <w:rFonts w:ascii="Times New Roman" w:hAnsi="Times New Roman"/>
          <w:b/>
          <w:i/>
          <w:sz w:val="20"/>
        </w:rPr>
        <w:t>Viracta license agreement</w:t>
      </w:r>
      <w:r>
        <w:rPr>
          <w:rFonts w:ascii="Times New Roman" w:hAnsi="Times New Roman"/>
          <w:sz w:val="20"/>
        </w:rPr>
        <w:t xml:space="preserve"> </w:t>
      </w:r>
    </w:p>
    <w:p>
      <w:pPr>
        <w:pStyle w:val="TextBody"/>
        <w:spacing w:lineRule="auto" w:line="273" w:before="120" w:after="0"/>
        <w:jc w:val="left"/>
        <w:rPr>
          <w:rFonts w:ascii="Times New Roman" w:hAnsi="Times New Roman"/>
          <w:sz w:val="20"/>
        </w:rPr>
      </w:pPr>
      <w:r>
        <w:rPr>
          <w:rFonts w:ascii="Times New Roman" w:hAnsi="Times New Roman"/>
          <w:b w:val="false"/>
          <w:sz w:val="20"/>
        </w:rPr>
        <w:t>On December 16, 2019, we amended and restated the Viracta License Agreement that was assigned to us pursuant to the Takeda Asset Agreement. Under the Viracta License Agreement, we received a worldwide exclusive license under specified patent rights and know-how to develop, use, manufacture, and commercialize products containing compounds binding the RAF protein family.</w:t>
      </w:r>
      <w:r>
        <w:rPr>
          <w:rFonts w:ascii="Times New Roman" w:hAnsi="Times New Roman"/>
          <w:sz w:val="20"/>
        </w:rPr>
        <w:t xml:space="preserve"> </w:t>
      </w:r>
    </w:p>
    <w:p>
      <w:pPr>
        <w:pStyle w:val="TextBody"/>
        <w:spacing w:lineRule="auto" w:line="273" w:before="240" w:after="0"/>
        <w:jc w:val="left"/>
        <w:rPr>
          <w:rFonts w:ascii="Times New Roman" w:hAnsi="Times New Roman"/>
          <w:sz w:val="20"/>
        </w:rPr>
      </w:pPr>
      <w:r>
        <w:rPr>
          <w:rFonts w:ascii="Times New Roman" w:hAnsi="Times New Roman"/>
          <w:b w:val="false"/>
          <w:sz w:val="20"/>
        </w:rPr>
        <w:t>Under the Viracta License Agreement, we paid $2.0 million upfront in cash to Viracta, which was recorded as research and development expenses for the year ended December 31, 2019. We made a milestone payment of $3.0 million to Viracta in February 2021, which was recorded was research and development expenses when the milestone was achieved in April 2021. We are also required to make additional milestone payments of up to $54.0 million upon achievement of specified development and regulatory milestones. The total amount of consideration for the assets and the license acquired related to the Takeda Asset Agreement and Viracta License Agreement of $12.9 million was recorded as research and development expenses in the consolidated income statement in December 2019.</w:t>
      </w:r>
      <w:r>
        <w:rPr>
          <w:rFonts w:ascii="Times New Roman" w:hAnsi="Times New Roman"/>
          <w:sz w:val="20"/>
        </w:rPr>
        <w:t xml:space="preserve"> </w:t>
      </w:r>
    </w:p>
    <w:p>
      <w:pPr>
        <w:pStyle w:val="TextBody"/>
        <w:spacing w:lineRule="auto" w:line="273" w:before="360" w:after="0"/>
        <w:jc w:val="left"/>
        <w:rPr>
          <w:rFonts w:ascii="Times New Roman" w:hAnsi="Times New Roman"/>
          <w:sz w:val="20"/>
        </w:rPr>
      </w:pPr>
      <w:r>
        <w:rPr>
          <w:rFonts w:ascii="Times New Roman" w:hAnsi="Times New Roman"/>
          <w:b/>
          <w:i/>
          <w:sz w:val="20"/>
        </w:rPr>
        <w:t>License agreement with Merck KGaA, Darmstadt, Germany</w:t>
      </w:r>
      <w:r>
        <w:rPr>
          <w:rFonts w:ascii="Times New Roman" w:hAnsi="Times New Roman"/>
          <w:sz w:val="20"/>
        </w:rPr>
        <w:t xml:space="preserve"> </w:t>
      </w:r>
    </w:p>
    <w:p>
      <w:pPr>
        <w:pStyle w:val="TextBody"/>
        <w:spacing w:lineRule="auto" w:line="273" w:before="120" w:after="0"/>
        <w:jc w:val="left"/>
        <w:rPr>
          <w:rFonts w:ascii="Times New Roman" w:hAnsi="Times New Roman"/>
          <w:b w:val="false"/>
          <w:sz w:val="20"/>
        </w:rPr>
      </w:pPr>
      <w:r>
        <w:rPr>
          <w:rFonts w:ascii="Times New Roman" w:hAnsi="Times New Roman"/>
          <w:b w:val="false"/>
          <w:sz w:val="20"/>
        </w:rPr>
        <w:t>On February 10, 2021, DOT Therapeutics-2, Inc., or DOT-2, our subsidiary, entered into a license agreement, or the MRKDG License Agreement, with Merck KGaA, Darmstadt, Germany, a pharmaceutical corporation located in Darmstadt, Germany. Under the MRKDG License Agreement, Merck KGaA, Darmstadt, Germany as licensor granted to DOT-2, an exclusive worldwide license, with the right to grant sublicenses through multiple tiers, under specified patent rights and know-how for us to research, develop, manufacture and commercialize products containing and comprising the pimasertib and MSC2015103B compounds. Our exclusive license grant is subject to a non-exclusive license granted by Merck KGaA, Darmstadt, Germany’s affiliate to a cancer research organization and Merck KGaA, Darmstadt, Germany retains the right to conduct, directly or indirectly, certain ongoing clinical studies relating to pimasertib. In consideration for the rights granted under the MRKDG License Agreement, we made an upfront payment of $8.0 million to the licensor, which was recorded as research and development expenses. We may also be required to make additional payments of up to $367.0 million based upon the achievement of specified development, regulatory, and commercial milestones, as well a high, single-digit royalty percentage on future net sales of licensed products, if any. Milestones and royalties are contingent upon future events and will be recorded when the milestones are achieved and when payments are due, none of which were achieved during the three months ended March 31, 2022.</w:t>
      </w:r>
    </w:p>
    <w:p>
      <w:pPr>
        <w:pStyle w:val="TextBody"/>
        <w:spacing w:lineRule="auto" w:line="273" w:before="120" w:after="0"/>
        <w:jc w:val="left"/>
        <w:rPr>
          <w:rFonts w:ascii="Times New Roman" w:hAnsi="Times New Roman"/>
          <w:b w:val="false"/>
          <w:sz w:val="20"/>
        </w:rPr>
      </w:pPr>
      <w:r>
        <w:rPr>
          <w:rFonts w:ascii="Times New Roman" w:hAnsi="Times New Roman"/>
          <w:b w:val="false"/>
          <w:sz w:val="20"/>
        </w:rPr>
        <w:t>Effective December 31, 2021, DOT-2 was merged with and into our company, with our company being the surviving corporation and assuming DOT-2’s obligations under the MRKDG License Agreement.</w:t>
      </w:r>
    </w:p>
    <w:p>
      <w:pPr>
        <w:pStyle w:val="TextBody"/>
        <w:spacing w:lineRule="auto" w:line="273" w:before="360" w:after="0"/>
        <w:jc w:val="left"/>
        <w:rPr>
          <w:rFonts w:ascii="Times New Roman" w:hAnsi="Times New Roman"/>
          <w:sz w:val="20"/>
        </w:rPr>
      </w:pPr>
      <w:r>
        <w:rPr>
          <w:rFonts w:ascii="Times New Roman" w:hAnsi="Times New Roman"/>
          <w:b/>
          <w:sz w:val="20"/>
        </w:rPr>
        <w:t>Components of results of operations</w:t>
      </w:r>
      <w:r>
        <w:rPr>
          <w:rFonts w:ascii="Times New Roman" w:hAnsi="Times New Roman"/>
          <w:sz w:val="20"/>
        </w:rPr>
        <w:t xml:space="preserve"> </w:t>
      </w:r>
    </w:p>
    <w:p>
      <w:pPr>
        <w:pStyle w:val="TextBody"/>
        <w:spacing w:lineRule="auto" w:line="273" w:before="120" w:after="0"/>
        <w:jc w:val="left"/>
        <w:rPr>
          <w:rFonts w:ascii="Times New Roman" w:hAnsi="Times New Roman"/>
          <w:sz w:val="20"/>
        </w:rPr>
      </w:pPr>
      <w:r>
        <w:rPr>
          <w:rFonts w:ascii="Times New Roman" w:hAnsi="Times New Roman"/>
          <w:b/>
          <w:sz w:val="20"/>
        </w:rPr>
        <w:t>Operating expenses</w:t>
      </w:r>
      <w:r>
        <w:rPr>
          <w:rFonts w:ascii="Times New Roman" w:hAnsi="Times New Roman"/>
          <w:sz w:val="20"/>
        </w:rPr>
        <w:t xml:space="preserve"> </w:t>
      </w:r>
    </w:p>
    <w:p>
      <w:pPr>
        <w:pStyle w:val="TextBody"/>
        <w:spacing w:lineRule="auto" w:line="273" w:before="120" w:after="0"/>
        <w:jc w:val="left"/>
        <w:rPr>
          <w:rFonts w:ascii="Times New Roman" w:hAnsi="Times New Roman"/>
          <w:sz w:val="20"/>
        </w:rPr>
      </w:pPr>
      <w:r>
        <w:rPr>
          <w:rFonts w:ascii="Times New Roman" w:hAnsi="Times New Roman"/>
          <w:b/>
          <w:i/>
          <w:sz w:val="20"/>
        </w:rPr>
        <w:t>Research and development expenses</w:t>
      </w:r>
      <w:r>
        <w:rPr>
          <w:rFonts w:ascii="Times New Roman" w:hAnsi="Times New Roman"/>
          <w:sz w:val="20"/>
        </w:rPr>
        <w:t xml:space="preserve"> </w:t>
      </w:r>
    </w:p>
    <w:p>
      <w:pPr>
        <w:pStyle w:val="TextBody"/>
        <w:spacing w:lineRule="auto" w:line="273" w:before="120" w:after="0"/>
        <w:jc w:val="left"/>
        <w:rPr>
          <w:rFonts w:ascii="Times New Roman" w:hAnsi="Times New Roman"/>
          <w:sz w:val="20"/>
        </w:rPr>
      </w:pPr>
      <w:r>
        <w:rPr>
          <w:rFonts w:ascii="Times New Roman" w:hAnsi="Times New Roman"/>
          <w:b w:val="false"/>
          <w:sz w:val="20"/>
        </w:rPr>
        <w:t>Research and development expenses consist primarily of external and internal expenses incurred for our research activities, including our discovery and in-licensing undertakings, and the development of our lead product candidate, tovorafenib (DAY101) and our second product candidate, pimasertib.</w:t>
      </w:r>
      <w:r>
        <w:rPr>
          <w:rFonts w:ascii="Times New Roman" w:hAnsi="Times New Roman"/>
          <w:sz w:val="20"/>
        </w:rPr>
        <w:t xml:space="preserve"> </w:t>
      </w:r>
    </w:p>
    <w:p>
      <w:pPr>
        <w:pStyle w:val="TextBody"/>
        <w:spacing w:lineRule="auto" w:line="273" w:before="240" w:after="0"/>
        <w:jc w:val="left"/>
        <w:rPr>
          <w:rFonts w:ascii="Times New Roman" w:hAnsi="Times New Roman"/>
          <w:sz w:val="20"/>
        </w:rPr>
      </w:pPr>
      <w:r>
        <w:rPr>
          <w:rFonts w:ascii="Times New Roman" w:hAnsi="Times New Roman"/>
          <w:b w:val="false"/>
          <w:sz w:val="20"/>
        </w:rPr>
        <w:t>External expenses include:</w:t>
      </w:r>
      <w:r>
        <w:rPr>
          <w:rFonts w:ascii="Times New Roman" w:hAnsi="Times New Roman"/>
          <w:sz w:val="20"/>
        </w:rPr>
        <w:t xml:space="preserve"> </w:t>
      </w:r>
    </w:p>
    <w:p>
      <w:pPr>
        <w:pStyle w:val="TextBody"/>
        <w:spacing w:lineRule="auto" w:line="273" w:before="120" w:after="0"/>
        <w:jc w:val="left"/>
        <w:rPr/>
      </w:pPr>
      <w:r>
        <w:rPr/>
        <w:t>•</w:t>
      </w:r>
    </w:p>
    <w:p>
      <w:pPr>
        <w:pStyle w:val="TextBody"/>
        <w:spacing w:lineRule="auto" w:line="273" w:before="120" w:after="0"/>
        <w:jc w:val="left"/>
        <w:rPr>
          <w:rFonts w:ascii="Times New Roman" w:hAnsi="Times New Roman"/>
          <w:b w:val="false"/>
          <w:sz w:val="20"/>
        </w:rPr>
      </w:pPr>
      <w:r>
        <w:rPr>
          <w:rFonts w:ascii="Times New Roman" w:hAnsi="Times New Roman"/>
          <w:b w:val="false"/>
          <w:sz w:val="20"/>
        </w:rPr>
        <w:t xml:space="preserve">costs associated with acquiring technology and intellectual property licenses that have no alternative future uses; </w:t>
      </w:r>
    </w:p>
    <w:p>
      <w:pPr>
        <w:pStyle w:val="TextBody"/>
        <w:spacing w:lineRule="auto" w:line="273" w:before="120" w:after="0"/>
        <w:jc w:val="left"/>
        <w:rPr/>
      </w:pPr>
      <w:r>
        <w:rPr/>
        <w:t>•</w:t>
      </w:r>
    </w:p>
    <w:p>
      <w:pPr>
        <w:pStyle w:val="TextBody"/>
        <w:spacing w:lineRule="auto" w:line="273" w:before="120" w:after="0"/>
        <w:jc w:val="left"/>
        <w:rPr>
          <w:rFonts w:ascii="Times New Roman" w:hAnsi="Times New Roman"/>
          <w:b w:val="false"/>
          <w:sz w:val="20"/>
        </w:rPr>
      </w:pPr>
      <w:r>
        <w:rPr>
          <w:rFonts w:ascii="Times New Roman" w:hAnsi="Times New Roman"/>
          <w:b w:val="false"/>
          <w:sz w:val="20"/>
        </w:rPr>
        <w:t xml:space="preserve">costs incurred under agreements with third-party contract research organizations, or CROs, contract manufacturing organizations, or CMOs, and other third parties that conduct clinical trials on our behalf; and </w:t>
      </w:r>
    </w:p>
    <w:p>
      <w:pPr>
        <w:pStyle w:val="TextBody"/>
        <w:spacing w:lineRule="auto" w:line="273" w:before="120" w:after="0"/>
        <w:jc w:val="left"/>
        <w:rPr/>
      </w:pPr>
      <w:r>
        <w:rPr/>
        <w:t>•</w:t>
      </w:r>
    </w:p>
    <w:p>
      <w:pPr>
        <w:pStyle w:val="TextBody"/>
        <w:spacing w:lineRule="auto" w:line="273" w:before="120" w:after="283"/>
        <w:jc w:val="left"/>
        <w:rPr>
          <w:rFonts w:ascii="Times New Roman" w:hAnsi="Times New Roman"/>
          <w:b w:val="false"/>
          <w:sz w:val="20"/>
        </w:rPr>
      </w:pPr>
      <w:r>
        <w:rPr>
          <w:rFonts w:ascii="Times New Roman" w:hAnsi="Times New Roman"/>
          <w:b w:val="false"/>
          <w:sz w:val="20"/>
        </w:rPr>
        <w:t xml:space="preserve">other costs associated with our research and development programs, including laboratory materials and supplies. </w:t>
      </w:r>
    </w:p>
    <w:p>
      <w:pPr>
        <w:pStyle w:val="TextBody"/>
        <w:spacing w:lineRule="auto" w:line="273" w:before="240" w:after="0"/>
        <w:jc w:val="left"/>
        <w:rPr>
          <w:rFonts w:ascii="Times New Roman" w:hAnsi="Times New Roman"/>
          <w:sz w:val="20"/>
        </w:rPr>
      </w:pPr>
      <w:r>
        <w:rPr>
          <w:rFonts w:ascii="Times New Roman" w:hAnsi="Times New Roman"/>
          <w:b w:val="false"/>
          <w:sz w:val="20"/>
        </w:rPr>
        <w:t>Internal expenses include:</w:t>
      </w:r>
      <w:r>
        <w:rPr>
          <w:rFonts w:ascii="Times New Roman" w:hAnsi="Times New Roman"/>
          <w:sz w:val="20"/>
        </w:rPr>
        <w:t xml:space="preserve"> </w:t>
      </w:r>
    </w:p>
    <w:p>
      <w:pPr>
        <w:pStyle w:val="TextBody"/>
        <w:spacing w:lineRule="auto" w:line="273" w:before="120" w:after="0"/>
        <w:jc w:val="left"/>
        <w:rPr/>
      </w:pPr>
      <w:r>
        <w:rPr/>
        <w:t>•</w:t>
      </w:r>
    </w:p>
    <w:p>
      <w:pPr>
        <w:pStyle w:val="TextBody"/>
        <w:spacing w:lineRule="auto" w:line="273" w:before="120" w:after="0"/>
        <w:jc w:val="left"/>
        <w:rPr>
          <w:rFonts w:ascii="Times New Roman" w:hAnsi="Times New Roman"/>
          <w:b w:val="false"/>
          <w:sz w:val="20"/>
        </w:rPr>
      </w:pPr>
      <w:r>
        <w:rPr>
          <w:rFonts w:ascii="Times New Roman" w:hAnsi="Times New Roman"/>
          <w:b w:val="false"/>
          <w:sz w:val="20"/>
        </w:rPr>
        <w:t xml:space="preserve">employee-related costs, including salaries, benefits and share-based compensation expense, for our research and development personnel; and </w:t>
      </w:r>
    </w:p>
    <w:p>
      <w:pPr>
        <w:pStyle w:val="TextBody"/>
        <w:spacing w:lineRule="auto" w:line="273" w:before="120" w:after="0"/>
        <w:jc w:val="left"/>
        <w:rPr/>
      </w:pPr>
      <w:r>
        <w:rPr/>
        <w:t>•</w:t>
      </w:r>
    </w:p>
    <w:p>
      <w:pPr>
        <w:pStyle w:val="TextBody"/>
        <w:spacing w:lineRule="auto" w:line="273" w:before="120" w:after="283"/>
        <w:jc w:val="left"/>
        <w:rPr>
          <w:rFonts w:ascii="Times New Roman" w:hAnsi="Times New Roman"/>
          <w:b w:val="false"/>
          <w:sz w:val="20"/>
        </w:rPr>
      </w:pPr>
      <w:r>
        <w:rPr>
          <w:rFonts w:ascii="Times New Roman" w:hAnsi="Times New Roman"/>
          <w:b w:val="false"/>
          <w:sz w:val="20"/>
        </w:rPr>
        <w:t xml:space="preserve">facilities and other overhead expenses, including expenses for rent and facilities maintenance, and amortization. </w:t>
      </w:r>
    </w:p>
    <w:p>
      <w:pPr>
        <w:pStyle w:val="TextBody"/>
        <w:spacing w:lineRule="auto" w:line="273" w:before="240" w:after="0"/>
        <w:jc w:val="left"/>
        <w:rPr>
          <w:rFonts w:ascii="Times New Roman" w:hAnsi="Times New Roman"/>
          <w:sz w:val="20"/>
        </w:rPr>
      </w:pPr>
      <w:r>
        <w:rPr>
          <w:rFonts w:ascii="Times New Roman" w:hAnsi="Times New Roman"/>
          <w:b w:val="false"/>
          <w:sz w:val="20"/>
        </w:rPr>
        <w:t>We expense research and development expenses as incurred. We track external costs by program, which currently consist of expenses for our tovorafenib (DAY101) program and our pimasertib program. We do not track indirect costs on a program specific basis because these costs are deployed across multiple programs and, as such, are not separately classified.</w:t>
      </w:r>
      <w:r>
        <w:rPr>
          <w:rFonts w:ascii="Times New Roman" w:hAnsi="Times New Roman"/>
          <w:sz w:val="20"/>
        </w:rPr>
        <w:t xml:space="preserve"> </w:t>
      </w:r>
    </w:p>
    <w:p>
      <w:pPr>
        <w:pStyle w:val="TextBody"/>
        <w:spacing w:lineRule="auto" w:line="273" w:before="0" w:after="0"/>
        <w:jc w:val="center"/>
        <w:rPr>
          <w:rFonts w:ascii="Times New Roman" w:hAnsi="Times New Roman"/>
          <w:b w:val="false"/>
          <w:sz w:val="20"/>
        </w:rPr>
      </w:pPr>
      <w:r>
        <w:rPr>
          <w:rFonts w:ascii="Times New Roman" w:hAnsi="Times New Roman"/>
          <w:b w:val="false"/>
          <w:sz w:val="20"/>
        </w:rPr>
        <w:t>22</w:t>
      </w:r>
    </w:p>
    <w:p>
      <w:pPr>
        <w:pStyle w:val="HorizontalLine"/>
        <w:rPr/>
      </w:pPr>
      <w:r>
        <w:rPr/>
      </w:r>
    </w:p>
    <w:p>
      <w:pPr>
        <w:pStyle w:val="TextBody"/>
        <w:spacing w:lineRule="auto" w:line="273" w:before="0" w:after="0"/>
        <w:jc w:val="left"/>
        <w:rPr/>
      </w:pPr>
      <w:r>
        <w:rPr/>
        <w:t> </w:t>
      </w:r>
    </w:p>
    <w:p>
      <w:pPr>
        <w:pStyle w:val="TextBody"/>
        <w:spacing w:lineRule="auto" w:line="273" w:before="240" w:after="0"/>
        <w:jc w:val="left"/>
        <w:rPr>
          <w:rFonts w:ascii="Times New Roman" w:hAnsi="Times New Roman"/>
          <w:sz w:val="20"/>
        </w:rPr>
      </w:pPr>
      <w:r>
        <w:rPr>
          <w:rFonts w:ascii="Times New Roman" w:hAnsi="Times New Roman"/>
          <w:b w:val="false"/>
          <w:sz w:val="20"/>
        </w:rPr>
        <w:t>Research and development activities are central to our business model. We expect that our research and development expenses will increase substantially for the foreseeable future as we continue to implement our business strategy, advance tovorafenib (DAY101) and pimasertib through clinical trials and conduct larger clinical trials, expand our research and development efforts, and identify, acquire and develop additional product candidates, particularly as more of our product candidates move into clinical development and later stages of clinical development.</w:t>
      </w:r>
      <w:r>
        <w:rPr>
          <w:rFonts w:ascii="Times New Roman" w:hAnsi="Times New Roman"/>
          <w:sz w:val="20"/>
        </w:rPr>
        <w:t xml:space="preserve"> </w:t>
      </w:r>
    </w:p>
    <w:p>
      <w:pPr>
        <w:pStyle w:val="TextBody"/>
        <w:spacing w:lineRule="auto" w:line="273" w:before="240" w:after="0"/>
        <w:jc w:val="left"/>
        <w:rPr>
          <w:rFonts w:ascii="Times New Roman" w:hAnsi="Times New Roman"/>
          <w:sz w:val="20"/>
        </w:rPr>
      </w:pPr>
      <w:r>
        <w:rPr>
          <w:rFonts w:ascii="Times New Roman" w:hAnsi="Times New Roman"/>
          <w:b w:val="false"/>
          <w:sz w:val="20"/>
        </w:rPr>
        <w:t>We cannot reasonably determine the duration and costs to complete future clinical trials of tovorafenib (DAY101), pimasertib or any other product candidate we may develop or acquire, or to what extent we will generate revenue from the commercialization and sale of any of our product candidates. The successful development and commercialization of our product candidates, as well as our ability to obtain the necessary regulatory and marketing approvals are highly uncertain. This is due to numerous risks and uncertainties associated with developing new drugs, many of which are outside of our control, including:</w:t>
      </w:r>
      <w:r>
        <w:rPr>
          <w:rFonts w:ascii="Times New Roman" w:hAnsi="Times New Roman"/>
          <w:sz w:val="20"/>
        </w:rPr>
        <w:t xml:space="preserve"> </w:t>
      </w:r>
    </w:p>
    <w:p>
      <w:pPr>
        <w:pStyle w:val="TextBody"/>
        <w:spacing w:lineRule="auto" w:line="273" w:before="120" w:after="0"/>
        <w:jc w:val="left"/>
        <w:rPr/>
      </w:pPr>
      <w:r>
        <w:rPr/>
        <w:t>•</w:t>
      </w:r>
    </w:p>
    <w:p>
      <w:pPr>
        <w:pStyle w:val="TextBody"/>
        <w:spacing w:lineRule="auto" w:line="273" w:before="120" w:after="0"/>
        <w:jc w:val="left"/>
        <w:rPr>
          <w:rFonts w:ascii="Times New Roman" w:hAnsi="Times New Roman"/>
          <w:b w:val="false"/>
          <w:sz w:val="20"/>
        </w:rPr>
      </w:pPr>
      <w:r>
        <w:rPr>
          <w:rFonts w:ascii="Times New Roman" w:hAnsi="Times New Roman"/>
          <w:b w:val="false"/>
          <w:sz w:val="20"/>
        </w:rPr>
        <w:t xml:space="preserve">the scope, rate of progress, expense and results of preclinical development activities, as well as of any future clinical trials of our product candidates, and other research and development activities we may conduct; </w:t>
      </w:r>
    </w:p>
    <w:p>
      <w:pPr>
        <w:pStyle w:val="TextBody"/>
        <w:spacing w:lineRule="auto" w:line="273" w:before="120" w:after="0"/>
        <w:jc w:val="left"/>
        <w:rPr/>
      </w:pPr>
      <w:r>
        <w:rPr/>
        <w:t>•</w:t>
      </w:r>
    </w:p>
    <w:p>
      <w:pPr>
        <w:pStyle w:val="TextBody"/>
        <w:spacing w:lineRule="auto" w:line="273" w:before="120" w:after="0"/>
        <w:jc w:val="left"/>
        <w:rPr>
          <w:rFonts w:ascii="Times New Roman" w:hAnsi="Times New Roman"/>
          <w:b w:val="false"/>
          <w:sz w:val="20"/>
        </w:rPr>
      </w:pPr>
      <w:r>
        <w:rPr>
          <w:rFonts w:ascii="Times New Roman" w:hAnsi="Times New Roman"/>
          <w:b w:val="false"/>
          <w:sz w:val="20"/>
        </w:rPr>
        <w:t xml:space="preserve">uncertainties in clinical trial design; </w:t>
      </w:r>
    </w:p>
    <w:p>
      <w:pPr>
        <w:pStyle w:val="TextBody"/>
        <w:spacing w:lineRule="auto" w:line="273" w:before="120" w:after="0"/>
        <w:jc w:val="left"/>
        <w:rPr/>
      </w:pPr>
      <w:r>
        <w:rPr/>
        <w:t>•</w:t>
      </w:r>
    </w:p>
    <w:p>
      <w:pPr>
        <w:pStyle w:val="TextBody"/>
        <w:spacing w:lineRule="auto" w:line="273" w:before="120" w:after="0"/>
        <w:jc w:val="left"/>
        <w:rPr>
          <w:rFonts w:ascii="Times New Roman" w:hAnsi="Times New Roman"/>
          <w:b w:val="false"/>
          <w:sz w:val="20"/>
        </w:rPr>
      </w:pPr>
      <w:r>
        <w:rPr>
          <w:rFonts w:ascii="Times New Roman" w:hAnsi="Times New Roman"/>
          <w:b w:val="false"/>
          <w:sz w:val="20"/>
        </w:rPr>
        <w:t xml:space="preserve">per patient trial costs; </w:t>
      </w:r>
    </w:p>
    <w:p>
      <w:pPr>
        <w:pStyle w:val="TextBody"/>
        <w:spacing w:lineRule="auto" w:line="273" w:before="120" w:after="0"/>
        <w:jc w:val="left"/>
        <w:rPr/>
      </w:pPr>
      <w:r>
        <w:rPr/>
        <w:t>•</w:t>
      </w:r>
    </w:p>
    <w:p>
      <w:pPr>
        <w:pStyle w:val="TextBody"/>
        <w:spacing w:lineRule="auto" w:line="273" w:before="120" w:after="0"/>
        <w:jc w:val="left"/>
        <w:rPr>
          <w:rFonts w:ascii="Times New Roman" w:hAnsi="Times New Roman"/>
          <w:b w:val="false"/>
          <w:sz w:val="20"/>
        </w:rPr>
      </w:pPr>
      <w:r>
        <w:rPr>
          <w:rFonts w:ascii="Times New Roman" w:hAnsi="Times New Roman"/>
          <w:b w:val="false"/>
          <w:sz w:val="20"/>
        </w:rPr>
        <w:t xml:space="preserve">the number of trials required for approval; </w:t>
      </w:r>
    </w:p>
    <w:p>
      <w:pPr>
        <w:pStyle w:val="TextBody"/>
        <w:spacing w:lineRule="auto" w:line="273" w:before="120" w:after="0"/>
        <w:jc w:val="left"/>
        <w:rPr/>
      </w:pPr>
      <w:r>
        <w:rPr/>
        <w:t>•</w:t>
      </w:r>
    </w:p>
    <w:p>
      <w:pPr>
        <w:pStyle w:val="TextBody"/>
        <w:spacing w:lineRule="auto" w:line="273" w:before="120" w:after="0"/>
        <w:jc w:val="left"/>
        <w:rPr>
          <w:rFonts w:ascii="Times New Roman" w:hAnsi="Times New Roman"/>
          <w:b w:val="false"/>
          <w:sz w:val="20"/>
        </w:rPr>
      </w:pPr>
      <w:r>
        <w:rPr>
          <w:rFonts w:ascii="Times New Roman" w:hAnsi="Times New Roman"/>
          <w:b w:val="false"/>
          <w:sz w:val="20"/>
        </w:rPr>
        <w:t xml:space="preserve">the number of sites included in the trials; </w:t>
      </w:r>
    </w:p>
    <w:p>
      <w:pPr>
        <w:pStyle w:val="TextBody"/>
        <w:spacing w:lineRule="auto" w:line="273" w:before="120" w:after="0"/>
        <w:jc w:val="left"/>
        <w:rPr/>
      </w:pPr>
      <w:r>
        <w:rPr/>
        <w:t>•</w:t>
      </w:r>
    </w:p>
    <w:p>
      <w:pPr>
        <w:pStyle w:val="TextBody"/>
        <w:spacing w:lineRule="auto" w:line="273" w:before="120" w:after="0"/>
        <w:jc w:val="left"/>
        <w:rPr>
          <w:rFonts w:ascii="Times New Roman" w:hAnsi="Times New Roman"/>
          <w:b w:val="false"/>
          <w:sz w:val="20"/>
        </w:rPr>
      </w:pPr>
      <w:r>
        <w:rPr>
          <w:rFonts w:ascii="Times New Roman" w:hAnsi="Times New Roman"/>
          <w:b w:val="false"/>
          <w:sz w:val="20"/>
        </w:rPr>
        <w:t xml:space="preserve">the number of patients that participate in the trials; </w:t>
      </w:r>
    </w:p>
    <w:p>
      <w:pPr>
        <w:pStyle w:val="TextBody"/>
        <w:spacing w:lineRule="auto" w:line="273" w:before="120" w:after="0"/>
        <w:jc w:val="left"/>
        <w:rPr/>
      </w:pPr>
      <w:r>
        <w:rPr/>
        <w:t>•</w:t>
      </w:r>
    </w:p>
    <w:p>
      <w:pPr>
        <w:pStyle w:val="TextBody"/>
        <w:spacing w:lineRule="auto" w:line="273" w:before="120" w:after="0"/>
        <w:jc w:val="left"/>
        <w:rPr>
          <w:rFonts w:ascii="Times New Roman" w:hAnsi="Times New Roman"/>
          <w:b w:val="false"/>
          <w:sz w:val="20"/>
        </w:rPr>
      </w:pPr>
      <w:r>
        <w:rPr>
          <w:rFonts w:ascii="Times New Roman" w:hAnsi="Times New Roman"/>
          <w:b w:val="false"/>
          <w:sz w:val="20"/>
        </w:rPr>
        <w:t xml:space="preserve">the countries in which the trials are conducted; </w:t>
      </w:r>
    </w:p>
    <w:p>
      <w:pPr>
        <w:pStyle w:val="TextBody"/>
        <w:spacing w:lineRule="auto" w:line="273" w:before="120" w:after="0"/>
        <w:jc w:val="left"/>
        <w:rPr/>
      </w:pPr>
      <w:r>
        <w:rPr/>
        <w:t>•</w:t>
      </w:r>
    </w:p>
    <w:p>
      <w:pPr>
        <w:pStyle w:val="TextBody"/>
        <w:spacing w:lineRule="auto" w:line="273" w:before="120" w:after="0"/>
        <w:jc w:val="left"/>
        <w:rPr>
          <w:rFonts w:ascii="Times New Roman" w:hAnsi="Times New Roman"/>
          <w:b w:val="false"/>
          <w:sz w:val="20"/>
        </w:rPr>
      </w:pPr>
      <w:r>
        <w:rPr>
          <w:rFonts w:ascii="Times New Roman" w:hAnsi="Times New Roman"/>
          <w:b w:val="false"/>
          <w:sz w:val="20"/>
        </w:rPr>
        <w:t xml:space="preserve">the length of time required to enroll eligible patients; </w:t>
      </w:r>
    </w:p>
    <w:p>
      <w:pPr>
        <w:pStyle w:val="TextBody"/>
        <w:spacing w:lineRule="auto" w:line="273" w:before="120" w:after="0"/>
        <w:jc w:val="left"/>
        <w:rPr/>
      </w:pPr>
      <w:r>
        <w:rPr/>
        <w:t>•</w:t>
      </w:r>
    </w:p>
    <w:p>
      <w:pPr>
        <w:pStyle w:val="TextBody"/>
        <w:spacing w:lineRule="auto" w:line="273" w:before="120" w:after="0"/>
        <w:jc w:val="left"/>
        <w:rPr>
          <w:rFonts w:ascii="Times New Roman" w:hAnsi="Times New Roman"/>
          <w:b w:val="false"/>
          <w:sz w:val="20"/>
        </w:rPr>
      </w:pPr>
      <w:r>
        <w:rPr>
          <w:rFonts w:ascii="Times New Roman" w:hAnsi="Times New Roman"/>
          <w:b w:val="false"/>
          <w:sz w:val="20"/>
        </w:rPr>
        <w:t xml:space="preserve">the drop-out or discontinuation rates of patients, particularly in light of the COVID-19 pandemic environment; </w:t>
      </w:r>
    </w:p>
    <w:p>
      <w:pPr>
        <w:pStyle w:val="TextBody"/>
        <w:spacing w:lineRule="auto" w:line="273" w:before="120" w:after="0"/>
        <w:jc w:val="left"/>
        <w:rPr/>
      </w:pPr>
      <w:r>
        <w:rPr/>
        <w:t>•</w:t>
      </w:r>
    </w:p>
    <w:p>
      <w:pPr>
        <w:pStyle w:val="TextBody"/>
        <w:spacing w:lineRule="auto" w:line="273" w:before="120" w:after="0"/>
        <w:jc w:val="left"/>
        <w:rPr>
          <w:rFonts w:ascii="Times New Roman" w:hAnsi="Times New Roman"/>
          <w:b w:val="false"/>
          <w:sz w:val="20"/>
        </w:rPr>
      </w:pPr>
      <w:r>
        <w:rPr>
          <w:rFonts w:ascii="Times New Roman" w:hAnsi="Times New Roman"/>
          <w:b w:val="false"/>
          <w:sz w:val="20"/>
        </w:rPr>
        <w:t xml:space="preserve">the safety and efficacy profiles of our product candidates; </w:t>
      </w:r>
    </w:p>
    <w:p>
      <w:pPr>
        <w:pStyle w:val="TextBody"/>
        <w:spacing w:lineRule="auto" w:line="273" w:before="120" w:after="0"/>
        <w:jc w:val="left"/>
        <w:rPr/>
      </w:pPr>
      <w:r>
        <w:rPr/>
        <w:t>•</w:t>
      </w:r>
    </w:p>
    <w:p>
      <w:pPr>
        <w:pStyle w:val="TextBody"/>
        <w:spacing w:lineRule="auto" w:line="273" w:before="120" w:after="0"/>
        <w:jc w:val="left"/>
        <w:rPr>
          <w:rFonts w:ascii="Times New Roman" w:hAnsi="Times New Roman"/>
          <w:b w:val="false"/>
          <w:sz w:val="20"/>
        </w:rPr>
      </w:pPr>
      <w:r>
        <w:rPr>
          <w:rFonts w:ascii="Times New Roman" w:hAnsi="Times New Roman"/>
          <w:b w:val="false"/>
          <w:sz w:val="20"/>
        </w:rPr>
        <w:t xml:space="preserve">the timing, receipt and terms of any approvals from applicable regulatory authorities, including the FDA, European Medicines Agency, Health Canada or other regulatory agencies of the investigational NDAs, clinical trial applications or other regulatory filings for tovorafenib (DAY101) and future product candidates; </w:t>
      </w:r>
    </w:p>
    <w:p>
      <w:pPr>
        <w:pStyle w:val="TextBody"/>
        <w:spacing w:lineRule="auto" w:line="273" w:before="120" w:after="0"/>
        <w:jc w:val="left"/>
        <w:rPr/>
      </w:pPr>
      <w:r>
        <w:rPr/>
        <w:t>•</w:t>
      </w:r>
    </w:p>
    <w:p>
      <w:pPr>
        <w:pStyle w:val="TextBody"/>
        <w:spacing w:lineRule="auto" w:line="273" w:before="120" w:after="0"/>
        <w:jc w:val="left"/>
        <w:rPr>
          <w:rFonts w:ascii="Times New Roman" w:hAnsi="Times New Roman"/>
          <w:b w:val="false"/>
          <w:sz w:val="20"/>
        </w:rPr>
      </w:pPr>
      <w:r>
        <w:rPr>
          <w:rFonts w:ascii="Times New Roman" w:hAnsi="Times New Roman"/>
          <w:b w:val="false"/>
          <w:sz w:val="20"/>
        </w:rPr>
        <w:t xml:space="preserve">obtaining and maintaining intellectual property protection and regulatory exclusivity for our product candidates; </w:t>
      </w:r>
    </w:p>
    <w:p>
      <w:pPr>
        <w:pStyle w:val="TextBody"/>
        <w:spacing w:lineRule="auto" w:line="273" w:before="120" w:after="0"/>
        <w:jc w:val="left"/>
        <w:rPr/>
      </w:pPr>
      <w:r>
        <w:rPr/>
        <w:t>•</w:t>
      </w:r>
    </w:p>
    <w:p>
      <w:pPr>
        <w:pStyle w:val="TextBody"/>
        <w:spacing w:lineRule="auto" w:line="273" w:before="120" w:after="0"/>
        <w:jc w:val="left"/>
        <w:rPr>
          <w:rFonts w:ascii="Times New Roman" w:hAnsi="Times New Roman"/>
          <w:b w:val="false"/>
          <w:sz w:val="20"/>
        </w:rPr>
      </w:pPr>
      <w:r>
        <w:rPr>
          <w:rFonts w:ascii="Times New Roman" w:hAnsi="Times New Roman"/>
          <w:b w:val="false"/>
          <w:sz w:val="20"/>
        </w:rPr>
        <w:t xml:space="preserve">establishing clinical and commercial manufacturing capabilities or making arrangements with third-party manufacturers in order to ensure that we or our third-party manufacturers are able to make product successfully; </w:t>
      </w:r>
    </w:p>
    <w:p>
      <w:pPr>
        <w:pStyle w:val="TextBody"/>
        <w:spacing w:lineRule="auto" w:line="273" w:before="120" w:after="0"/>
        <w:jc w:val="left"/>
        <w:rPr/>
      </w:pPr>
      <w:r>
        <w:rPr/>
        <w:t>•</w:t>
      </w:r>
    </w:p>
    <w:p>
      <w:pPr>
        <w:pStyle w:val="TextBody"/>
        <w:spacing w:lineRule="auto" w:line="273" w:before="120" w:after="0"/>
        <w:jc w:val="left"/>
        <w:rPr>
          <w:rFonts w:ascii="Times New Roman" w:hAnsi="Times New Roman"/>
          <w:b w:val="false"/>
          <w:sz w:val="20"/>
        </w:rPr>
      </w:pPr>
      <w:r>
        <w:rPr>
          <w:rFonts w:ascii="Times New Roman" w:hAnsi="Times New Roman"/>
          <w:b w:val="false"/>
          <w:sz w:val="20"/>
        </w:rPr>
        <w:t xml:space="preserve">retention and expansion of a workforce of experienced scientists and others to continue research and development of our product candidates; </w:t>
      </w:r>
    </w:p>
    <w:p>
      <w:pPr>
        <w:pStyle w:val="TextBody"/>
        <w:spacing w:lineRule="auto" w:line="273" w:before="120" w:after="0"/>
        <w:jc w:val="left"/>
        <w:rPr/>
      </w:pPr>
      <w:r>
        <w:rPr/>
        <w:t>•</w:t>
      </w:r>
    </w:p>
    <w:p>
      <w:pPr>
        <w:pStyle w:val="TextBody"/>
        <w:spacing w:lineRule="auto" w:line="273" w:before="120" w:after="0"/>
        <w:jc w:val="left"/>
        <w:rPr>
          <w:rFonts w:ascii="Times New Roman" w:hAnsi="Times New Roman"/>
          <w:b w:val="false"/>
          <w:sz w:val="20"/>
        </w:rPr>
      </w:pPr>
      <w:r>
        <w:rPr>
          <w:rFonts w:ascii="Times New Roman" w:hAnsi="Times New Roman"/>
          <w:b w:val="false"/>
          <w:sz w:val="20"/>
        </w:rPr>
        <w:t xml:space="preserve">maintaining a continued acceptable safety profile of the products following any marketing approvals. </w:t>
      </w:r>
    </w:p>
    <w:p>
      <w:pPr>
        <w:pStyle w:val="TextBody"/>
        <w:spacing w:lineRule="auto" w:line="273" w:before="120" w:after="0"/>
        <w:jc w:val="left"/>
        <w:rPr/>
      </w:pPr>
      <w:r>
        <w:rPr/>
        <w:t>•</w:t>
      </w:r>
    </w:p>
    <w:p>
      <w:pPr>
        <w:pStyle w:val="TextBody"/>
        <w:spacing w:lineRule="auto" w:line="273" w:before="120" w:after="0"/>
        <w:jc w:val="left"/>
        <w:rPr>
          <w:rFonts w:ascii="Times New Roman" w:hAnsi="Times New Roman"/>
          <w:b w:val="false"/>
          <w:sz w:val="20"/>
        </w:rPr>
      </w:pPr>
      <w:r>
        <w:rPr>
          <w:rFonts w:ascii="Times New Roman" w:hAnsi="Times New Roman"/>
          <w:b w:val="false"/>
          <w:sz w:val="20"/>
        </w:rPr>
        <w:t xml:space="preserve">significant and changing government regulation and regulatory guidance; </w:t>
      </w:r>
    </w:p>
    <w:p>
      <w:pPr>
        <w:pStyle w:val="TextBody"/>
        <w:spacing w:lineRule="auto" w:line="273" w:before="120" w:after="0"/>
        <w:jc w:val="left"/>
        <w:rPr/>
      </w:pPr>
      <w:r>
        <w:rPr/>
        <w:t>•</w:t>
      </w:r>
    </w:p>
    <w:p>
      <w:pPr>
        <w:pStyle w:val="TextBody"/>
        <w:spacing w:lineRule="auto" w:line="273" w:before="120" w:after="0"/>
        <w:jc w:val="left"/>
        <w:rPr>
          <w:rFonts w:ascii="Times New Roman" w:hAnsi="Times New Roman"/>
          <w:b w:val="false"/>
          <w:sz w:val="20"/>
        </w:rPr>
      </w:pPr>
      <w:r>
        <w:rPr>
          <w:rFonts w:ascii="Times New Roman" w:hAnsi="Times New Roman"/>
          <w:b w:val="false"/>
          <w:sz w:val="20"/>
        </w:rPr>
        <w:t xml:space="preserve">the impact of any business interruptions to our operations or to those of the third parties with whom we work, particularly considering the COVID-19 pandemic environment; and </w:t>
      </w:r>
    </w:p>
    <w:p>
      <w:pPr>
        <w:pStyle w:val="TextBody"/>
        <w:spacing w:lineRule="auto" w:line="273" w:before="120" w:after="0"/>
        <w:jc w:val="left"/>
        <w:rPr/>
      </w:pPr>
      <w:r>
        <w:rPr/>
        <w:t>•</w:t>
      </w:r>
    </w:p>
    <w:p>
      <w:pPr>
        <w:pStyle w:val="TextBody"/>
        <w:spacing w:lineRule="auto" w:line="273" w:before="120" w:after="283"/>
        <w:jc w:val="left"/>
        <w:rPr>
          <w:rFonts w:ascii="Times New Roman" w:hAnsi="Times New Roman"/>
          <w:b w:val="false"/>
          <w:sz w:val="20"/>
        </w:rPr>
      </w:pPr>
      <w:r>
        <w:rPr>
          <w:rFonts w:ascii="Times New Roman" w:hAnsi="Times New Roman"/>
          <w:b w:val="false"/>
          <w:sz w:val="20"/>
        </w:rPr>
        <w:t xml:space="preserve">the extent to which we establish additional strategic collaborations or other arrangements. </w:t>
      </w:r>
    </w:p>
    <w:p>
      <w:pPr>
        <w:pStyle w:val="TextBody"/>
        <w:spacing w:lineRule="auto" w:line="273" w:before="240" w:after="0"/>
        <w:jc w:val="left"/>
        <w:rPr>
          <w:rFonts w:ascii="Times New Roman" w:hAnsi="Times New Roman"/>
          <w:sz w:val="20"/>
        </w:rPr>
      </w:pPr>
      <w:r>
        <w:rPr>
          <w:rFonts w:ascii="Times New Roman" w:hAnsi="Times New Roman"/>
          <w:b w:val="false"/>
          <w:sz w:val="20"/>
        </w:rPr>
        <w:t>A change in estimates of any of these factors could mean a significant change in the costs and timing associated with the development of our current and future product candidates. For example, if the FDA or another regulatory authority were to require us to conduct clinical trials beyond those that we currently anticipate will be required for the completion of clinical development of a product candidate, or if we experience significant delays in our ongoing and planned clinical trials due to patient enrollment or other reasons, we could be required to expend significant additional financial resources and time on the completion of clinical development.</w:t>
      </w:r>
      <w:r>
        <w:rPr>
          <w:rFonts w:ascii="Times New Roman" w:hAnsi="Times New Roman"/>
          <w:sz w:val="20"/>
        </w:rPr>
        <w:t xml:space="preserve"> </w:t>
      </w:r>
    </w:p>
    <w:p>
      <w:pPr>
        <w:pStyle w:val="TextBody"/>
        <w:spacing w:lineRule="auto" w:line="273" w:before="360" w:after="0"/>
        <w:jc w:val="left"/>
        <w:rPr>
          <w:rFonts w:ascii="Times New Roman" w:hAnsi="Times New Roman"/>
          <w:sz w:val="20"/>
        </w:rPr>
      </w:pPr>
      <w:r>
        <w:rPr>
          <w:rFonts w:ascii="Times New Roman" w:hAnsi="Times New Roman"/>
          <w:b/>
          <w:i/>
          <w:sz w:val="20"/>
        </w:rPr>
        <w:t>General and administrative expenses</w:t>
      </w:r>
      <w:r>
        <w:rPr>
          <w:rFonts w:ascii="Times New Roman" w:hAnsi="Times New Roman"/>
          <w:sz w:val="20"/>
        </w:rPr>
        <w:t xml:space="preserve"> </w:t>
      </w:r>
    </w:p>
    <w:p>
      <w:pPr>
        <w:pStyle w:val="TextBody"/>
        <w:spacing w:lineRule="auto" w:line="273" w:before="120" w:after="0"/>
        <w:jc w:val="left"/>
        <w:rPr>
          <w:rFonts w:ascii="Times New Roman" w:hAnsi="Times New Roman"/>
          <w:sz w:val="20"/>
        </w:rPr>
      </w:pPr>
      <w:r>
        <w:rPr>
          <w:rFonts w:ascii="Times New Roman" w:hAnsi="Times New Roman"/>
          <w:b w:val="false"/>
          <w:sz w:val="20"/>
        </w:rPr>
        <w:t>General and administrative expenses consist primarily of personnel-related costs, legal and professional service costs, insurance costs, and facility-related costs. Personnel-related costs include salaries, bonuses, benefits, stock-based compensation, travel expenses, and other related costs, for personnel in our executive, finance, corporate, business development and administrative functions. Legal and professional service expenses include legal fees related to intellectual property and corporate matters; professional fees for accounting, auditing, tax, human resources, business development, and other consulting services, stock-based compensation issued to certain nonemployee consultants, and travel expenses and facilities-related expenses.</w:t>
      </w:r>
      <w:r>
        <w:rPr>
          <w:rFonts w:ascii="Times New Roman" w:hAnsi="Times New Roman"/>
          <w:sz w:val="20"/>
        </w:rPr>
        <w:t xml:space="preserve"> </w:t>
      </w:r>
    </w:p>
    <w:p>
      <w:pPr>
        <w:pStyle w:val="TextBody"/>
        <w:spacing w:lineRule="auto" w:line="273" w:before="0" w:after="0"/>
        <w:jc w:val="center"/>
        <w:rPr>
          <w:rFonts w:ascii="Times New Roman" w:hAnsi="Times New Roman"/>
          <w:b w:val="false"/>
          <w:sz w:val="20"/>
        </w:rPr>
      </w:pPr>
      <w:r>
        <w:rPr>
          <w:rFonts w:ascii="Times New Roman" w:hAnsi="Times New Roman"/>
          <w:b w:val="false"/>
          <w:sz w:val="20"/>
        </w:rPr>
        <w:t>23</w:t>
      </w:r>
    </w:p>
    <w:p>
      <w:pPr>
        <w:pStyle w:val="HorizontalLine"/>
        <w:rPr/>
      </w:pPr>
      <w:r>
        <w:rPr/>
      </w:r>
    </w:p>
    <w:p>
      <w:pPr>
        <w:pStyle w:val="TextBody"/>
        <w:spacing w:lineRule="auto" w:line="273" w:before="0" w:after="0"/>
        <w:jc w:val="left"/>
        <w:rPr/>
      </w:pPr>
      <w:r>
        <w:rPr/>
        <w:t> </w:t>
      </w:r>
    </w:p>
    <w:p>
      <w:pPr>
        <w:pStyle w:val="TextBody"/>
        <w:spacing w:lineRule="auto" w:line="273" w:before="240" w:after="0"/>
        <w:jc w:val="left"/>
        <w:rPr>
          <w:rFonts w:ascii="Times New Roman" w:hAnsi="Times New Roman"/>
          <w:sz w:val="20"/>
        </w:rPr>
      </w:pPr>
      <w:r>
        <w:rPr>
          <w:rFonts w:ascii="Times New Roman" w:hAnsi="Times New Roman"/>
          <w:b w:val="false"/>
          <w:sz w:val="20"/>
        </w:rPr>
        <w:t>We expect that our general and administrative expenses will increase substantially for the foreseeable future as we anticipate an increase in our personnel headcount to support expansion of research and development efforts for our product candidates, as well as to support our operations generally. We also expect an increase in expenses associated with being a public company, including costs related to compliance with the requirements of the Nasdaq Global Select Market, or Nasdaq, and the SEC; additional director and officer insurance costs; and investor and public relations costs.</w:t>
      </w:r>
      <w:r>
        <w:rPr>
          <w:rFonts w:ascii="Times New Roman" w:hAnsi="Times New Roman"/>
          <w:sz w:val="20"/>
        </w:rPr>
        <w:t xml:space="preserve"> </w:t>
      </w:r>
    </w:p>
    <w:p>
      <w:pPr>
        <w:pStyle w:val="TextBody"/>
        <w:spacing w:lineRule="auto" w:line="273" w:before="360" w:after="0"/>
        <w:jc w:val="left"/>
        <w:rPr>
          <w:rFonts w:ascii="Times New Roman" w:hAnsi="Times New Roman"/>
          <w:sz w:val="20"/>
        </w:rPr>
      </w:pPr>
      <w:r>
        <w:rPr>
          <w:rFonts w:ascii="Times New Roman" w:hAnsi="Times New Roman"/>
          <w:b/>
          <w:i/>
          <w:sz w:val="20"/>
        </w:rPr>
        <w:t>Net loss attributable to redeemable convertible noncontrolling interest</w:t>
      </w:r>
      <w:r>
        <w:rPr>
          <w:rFonts w:ascii="Times New Roman" w:hAnsi="Times New Roman"/>
          <w:sz w:val="20"/>
        </w:rPr>
        <w:t xml:space="preserve"> </w:t>
      </w:r>
    </w:p>
    <w:p>
      <w:pPr>
        <w:pStyle w:val="TextBody"/>
        <w:spacing w:lineRule="auto" w:line="273" w:before="120" w:after="0"/>
        <w:jc w:val="left"/>
        <w:rPr>
          <w:rFonts w:ascii="Times New Roman" w:hAnsi="Times New Roman"/>
          <w:sz w:val="20"/>
        </w:rPr>
      </w:pPr>
      <w:r>
        <w:rPr>
          <w:rFonts w:ascii="Times New Roman" w:hAnsi="Times New Roman"/>
          <w:b w:val="false"/>
          <w:sz w:val="20"/>
        </w:rPr>
        <w:t>Net loss attributable to redeemable convertible noncontrolling interest represented a portion of the net loss that is not allocated to us in our subsidiary, DOT-1. On May 26, 2021, in connection with the terms of the Millennium Stock Exchange Agreement, Takeda exchanged its shares in DOT-1 for shares of our common stock. At that time, the redeemable convertible noncontrolling interest was extinguished, and DOT-1 became our wholly-owned subsidiary.</w:t>
      </w:r>
      <w:r>
        <w:rPr>
          <w:rFonts w:ascii="Times New Roman" w:hAnsi="Times New Roman"/>
          <w:sz w:val="20"/>
        </w:rPr>
        <w:t xml:space="preserve"> </w:t>
      </w:r>
    </w:p>
    <w:p>
      <w:pPr>
        <w:pStyle w:val="TextBody"/>
        <w:spacing w:lineRule="auto" w:line="273" w:before="360" w:after="0"/>
        <w:jc w:val="left"/>
        <w:rPr>
          <w:rFonts w:ascii="Times New Roman" w:hAnsi="Times New Roman"/>
          <w:sz w:val="20"/>
        </w:rPr>
      </w:pPr>
      <w:r>
        <w:rPr>
          <w:rFonts w:ascii="Times New Roman" w:hAnsi="Times New Roman"/>
          <w:b/>
          <w:sz w:val="20"/>
        </w:rPr>
        <w:t>Results of operations</w:t>
      </w:r>
      <w:r>
        <w:rPr>
          <w:rFonts w:ascii="Times New Roman" w:hAnsi="Times New Roman"/>
          <w:sz w:val="20"/>
        </w:rPr>
        <w:t xml:space="preserve"> </w:t>
      </w:r>
    </w:p>
    <w:p>
      <w:pPr>
        <w:pStyle w:val="TextBody"/>
        <w:spacing w:lineRule="auto" w:line="273" w:before="120" w:after="0"/>
        <w:jc w:val="left"/>
        <w:rPr>
          <w:rFonts w:ascii="Times New Roman" w:hAnsi="Times New Roman"/>
          <w:sz w:val="20"/>
        </w:rPr>
      </w:pPr>
      <w:r>
        <w:rPr>
          <w:rFonts w:ascii="Times New Roman" w:hAnsi="Times New Roman"/>
          <w:b/>
          <w:i/>
          <w:sz w:val="20"/>
        </w:rPr>
        <w:t>Comparison of three months ended March 31, 2022 and 2021</w:t>
      </w:r>
      <w:r>
        <w:rPr>
          <w:rFonts w:ascii="Times New Roman" w:hAnsi="Times New Roman"/>
          <w:sz w:val="20"/>
        </w:rPr>
        <w:t xml:space="preserve"> </w:t>
      </w:r>
    </w:p>
    <w:p>
      <w:pPr>
        <w:pStyle w:val="TextBody"/>
        <w:spacing w:lineRule="auto" w:line="273" w:before="120" w:after="0"/>
        <w:jc w:val="left"/>
        <w:rPr>
          <w:rFonts w:ascii="Times New Roman" w:hAnsi="Times New Roman"/>
          <w:sz w:val="20"/>
        </w:rPr>
      </w:pPr>
      <w:r>
        <w:rPr>
          <w:rFonts w:ascii="Times New Roman" w:hAnsi="Times New Roman"/>
          <w:b w:val="false"/>
          <w:sz w:val="20"/>
        </w:rPr>
        <w:t>The following table summarizes our results of operations for the three months ended March 31, 2022 and 2021 (unaudited):</w:t>
      </w:r>
      <w:r>
        <w:rPr>
          <w:rFonts w:ascii="Times New Roman" w:hAnsi="Times New Roman"/>
          <w:sz w:val="20"/>
        </w:rPr>
        <w:t xml:space="preserve"> </w:t>
      </w:r>
    </w:p>
    <w:p>
      <w:pPr>
        <w:pStyle w:val="TextBody"/>
        <w:spacing w:lineRule="auto" w:line="273" w:before="0" w:after="0"/>
        <w:jc w:val="left"/>
        <w:rPr/>
      </w:pPr>
      <w:r>
        <w:rPr/>
        <w:t> </w:t>
      </w:r>
    </w:p>
    <w:tbl>
      <w:tblPr>
        <w:tblW w:w="10086" w:type="dxa"/>
        <w:jc w:val="left"/>
        <w:tblInd w:w="0" w:type="dxa"/>
        <w:tblCellMar>
          <w:top w:w="28" w:type="dxa"/>
          <w:left w:w="28" w:type="dxa"/>
          <w:bottom w:w="28" w:type="dxa"/>
          <w:right w:w="28" w:type="dxa"/>
        </w:tblCellMar>
      </w:tblPr>
      <w:tblGrid>
        <w:gridCol w:w="4576"/>
        <w:gridCol w:w="146"/>
        <w:gridCol w:w="211"/>
        <w:gridCol w:w="736"/>
        <w:gridCol w:w="166"/>
        <w:gridCol w:w="146"/>
        <w:gridCol w:w="211"/>
        <w:gridCol w:w="736"/>
        <w:gridCol w:w="166"/>
        <w:gridCol w:w="146"/>
        <w:gridCol w:w="211"/>
        <w:gridCol w:w="736"/>
        <w:gridCol w:w="166"/>
        <w:gridCol w:w="146"/>
        <w:gridCol w:w="163"/>
        <w:gridCol w:w="708"/>
        <w:gridCol w:w="716"/>
      </w:tblGrid>
      <w:tr>
        <w:trPr/>
        <w:tc>
          <w:tcPr>
            <w:tcW w:w="457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736" w:type="dxa"/>
            <w:tcBorders/>
            <w:shd w:fill="auto" w:val="clear"/>
            <w:vAlign w:val="center"/>
          </w:tcPr>
          <w:p>
            <w:pPr>
              <w:pStyle w:val="TableContents"/>
              <w:spacing w:before="0" w:after="283"/>
              <w:rPr>
                <w:sz w:val="4"/>
                <w:szCs w:val="4"/>
              </w:rPr>
            </w:pPr>
            <w:r>
              <w:rPr>
                <w:sz w:val="4"/>
                <w:szCs w:val="4"/>
              </w:rPr>
            </w:r>
          </w:p>
        </w:tc>
        <w:tc>
          <w:tcPr>
            <w:tcW w:w="16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736" w:type="dxa"/>
            <w:tcBorders/>
            <w:shd w:fill="auto" w:val="clear"/>
            <w:vAlign w:val="center"/>
          </w:tcPr>
          <w:p>
            <w:pPr>
              <w:pStyle w:val="TableContents"/>
              <w:spacing w:before="0" w:after="283"/>
              <w:rPr>
                <w:sz w:val="4"/>
                <w:szCs w:val="4"/>
              </w:rPr>
            </w:pPr>
            <w:r>
              <w:rPr>
                <w:sz w:val="4"/>
                <w:szCs w:val="4"/>
              </w:rPr>
            </w:r>
          </w:p>
        </w:tc>
        <w:tc>
          <w:tcPr>
            <w:tcW w:w="16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736" w:type="dxa"/>
            <w:tcBorders/>
            <w:shd w:fill="auto" w:val="clear"/>
            <w:vAlign w:val="center"/>
          </w:tcPr>
          <w:p>
            <w:pPr>
              <w:pStyle w:val="TableContents"/>
              <w:spacing w:before="0" w:after="283"/>
              <w:rPr>
                <w:sz w:val="4"/>
                <w:szCs w:val="4"/>
              </w:rPr>
            </w:pPr>
            <w:r>
              <w:rPr>
                <w:sz w:val="4"/>
                <w:szCs w:val="4"/>
              </w:rPr>
            </w:r>
          </w:p>
        </w:tc>
        <w:tc>
          <w:tcPr>
            <w:tcW w:w="16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163" w:type="dxa"/>
            <w:tcBorders/>
            <w:shd w:fill="auto" w:val="clear"/>
            <w:vAlign w:val="center"/>
          </w:tcPr>
          <w:p>
            <w:pPr>
              <w:pStyle w:val="TableContents"/>
              <w:spacing w:before="0" w:after="283"/>
              <w:rPr>
                <w:sz w:val="4"/>
                <w:szCs w:val="4"/>
              </w:rPr>
            </w:pPr>
            <w:r>
              <w:rPr>
                <w:sz w:val="4"/>
                <w:szCs w:val="4"/>
              </w:rPr>
            </w:r>
          </w:p>
        </w:tc>
        <w:tc>
          <w:tcPr>
            <w:tcW w:w="708" w:type="dxa"/>
            <w:tcBorders/>
            <w:shd w:fill="auto" w:val="clear"/>
            <w:vAlign w:val="center"/>
          </w:tcPr>
          <w:p>
            <w:pPr>
              <w:pStyle w:val="TableContents"/>
              <w:spacing w:before="0" w:after="283"/>
              <w:rPr>
                <w:sz w:val="4"/>
                <w:szCs w:val="4"/>
              </w:rPr>
            </w:pPr>
            <w:r>
              <w:rPr>
                <w:sz w:val="4"/>
                <w:szCs w:val="4"/>
              </w:rPr>
            </w:r>
          </w:p>
        </w:tc>
        <w:tc>
          <w:tcPr>
            <w:tcW w:w="716" w:type="dxa"/>
            <w:tcBorders/>
            <w:shd w:fill="auto" w:val="clear"/>
            <w:vAlign w:val="center"/>
          </w:tcPr>
          <w:p>
            <w:pPr>
              <w:pStyle w:val="TableContents"/>
              <w:spacing w:before="0" w:after="283"/>
              <w:rPr>
                <w:sz w:val="4"/>
                <w:szCs w:val="4"/>
              </w:rPr>
            </w:pPr>
            <w:r>
              <w:rPr>
                <w:sz w:val="4"/>
                <w:szCs w:val="4"/>
              </w:rPr>
            </w:r>
          </w:p>
        </w:tc>
      </w:tr>
      <w:tr>
        <w:trPr/>
        <w:tc>
          <w:tcPr>
            <w:tcW w:w="4576" w:type="dxa"/>
            <w:tcBorders/>
            <w:shd w:fill="auto" w:val="cle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2206" w:type="dxa"/>
            <w:gridSpan w:val="6"/>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center"/>
              <w:rPr>
                <w:rFonts w:ascii="Times New Roman" w:hAnsi="Times New Roman"/>
                <w:b/>
                <w:sz w:val="16"/>
              </w:rPr>
            </w:pPr>
            <w:r>
              <w:rPr>
                <w:rFonts w:ascii="Times New Roman" w:hAnsi="Times New Roman"/>
                <w:b/>
                <w:sz w:val="16"/>
              </w:rPr>
              <w:t>Three Months Ended</w:t>
              <w:br/>
              <w:t>March 31,</w:t>
            </w:r>
          </w:p>
        </w:tc>
        <w:tc>
          <w:tcPr>
            <w:tcW w:w="166"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center"/>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947" w:type="dxa"/>
            <w:gridSpan w:val="2"/>
            <w:tcBorders/>
            <w:shd w:fill="auto" w:val="clear"/>
            <w:vAlign w:val="center"/>
          </w:tcPr>
          <w:p>
            <w:pPr>
              <w:pStyle w:val="TableContents"/>
              <w:spacing w:lineRule="auto" w:line="252" w:before="0" w:after="0"/>
              <w:ind w:left="0" w:right="0" w:hanging="0"/>
              <w:jc w:val="center"/>
              <w:rPr/>
            </w:pPr>
            <w:r>
              <w:rPr/>
              <w:t> </w:t>
            </w:r>
          </w:p>
        </w:tc>
        <w:tc>
          <w:tcPr>
            <w:tcW w:w="166" w:type="dxa"/>
            <w:tcBorders/>
            <w:shd w:fill="auto" w:val="clear"/>
            <w:vAlign w:val="center"/>
          </w:tcPr>
          <w:p>
            <w:pPr>
              <w:pStyle w:val="TableContents"/>
              <w:spacing w:lineRule="auto" w:line="252" w:before="0" w:after="0"/>
              <w:ind w:left="0" w:right="0" w:hanging="0"/>
              <w:jc w:val="center"/>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871" w:type="dxa"/>
            <w:gridSpan w:val="2"/>
            <w:tcBorders/>
            <w:shd w:fill="auto" w:val="clear"/>
            <w:vAlign w:val="center"/>
          </w:tcPr>
          <w:p>
            <w:pPr>
              <w:pStyle w:val="TableContents"/>
              <w:spacing w:lineRule="auto" w:line="252" w:before="0" w:after="0"/>
              <w:ind w:left="0" w:right="0" w:hanging="0"/>
              <w:jc w:val="center"/>
              <w:rPr/>
            </w:pPr>
            <w:r>
              <w:rPr/>
              <w:t> </w:t>
            </w:r>
          </w:p>
        </w:tc>
        <w:tc>
          <w:tcPr>
            <w:tcW w:w="716" w:type="dxa"/>
            <w:tcBorders/>
            <w:shd w:fill="auto" w:val="clear"/>
            <w:vAlign w:val="center"/>
          </w:tcPr>
          <w:p>
            <w:pPr>
              <w:pStyle w:val="TableContents"/>
              <w:spacing w:lineRule="auto" w:line="252" w:before="0" w:after="0"/>
              <w:ind w:left="0" w:right="0" w:hanging="0"/>
              <w:jc w:val="center"/>
              <w:rPr/>
            </w:pPr>
            <w:r>
              <w:rPr/>
              <w:t> </w:t>
            </w:r>
          </w:p>
        </w:tc>
      </w:tr>
      <w:tr>
        <w:trPr/>
        <w:tc>
          <w:tcPr>
            <w:tcW w:w="4576" w:type="dxa"/>
            <w:tcBorders/>
            <w:shd w:fill="auto" w:val="cle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947" w:type="dxa"/>
            <w:gridSpan w:val="2"/>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center"/>
              <w:rPr>
                <w:rFonts w:ascii="Times New Roman" w:hAnsi="Times New Roman"/>
                <w:b/>
                <w:sz w:val="16"/>
              </w:rPr>
            </w:pPr>
            <w:r>
              <w:rPr>
                <w:rFonts w:ascii="Times New Roman" w:hAnsi="Times New Roman"/>
                <w:b/>
                <w:sz w:val="16"/>
              </w:rPr>
              <w:t>2022</w:t>
            </w:r>
          </w:p>
        </w:tc>
        <w:tc>
          <w:tcPr>
            <w:tcW w:w="166"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center"/>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947" w:type="dxa"/>
            <w:gridSpan w:val="2"/>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center"/>
              <w:rPr>
                <w:rFonts w:ascii="Times New Roman" w:hAnsi="Times New Roman"/>
                <w:b/>
                <w:sz w:val="16"/>
              </w:rPr>
            </w:pPr>
            <w:r>
              <w:rPr>
                <w:rFonts w:ascii="Times New Roman" w:hAnsi="Times New Roman"/>
                <w:b/>
                <w:sz w:val="16"/>
              </w:rPr>
              <w:t>2021</w:t>
            </w:r>
          </w:p>
        </w:tc>
        <w:tc>
          <w:tcPr>
            <w:tcW w:w="166"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center"/>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947" w:type="dxa"/>
            <w:gridSpan w:val="2"/>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center"/>
              <w:rPr>
                <w:rFonts w:ascii="Times New Roman" w:hAnsi="Times New Roman"/>
                <w:b/>
                <w:sz w:val="16"/>
              </w:rPr>
            </w:pPr>
            <w:r>
              <w:rPr>
                <w:rFonts w:ascii="Times New Roman" w:hAnsi="Times New Roman"/>
                <w:b/>
                <w:sz w:val="16"/>
              </w:rPr>
              <w:t>$ Change</w:t>
            </w:r>
          </w:p>
        </w:tc>
        <w:tc>
          <w:tcPr>
            <w:tcW w:w="166"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center"/>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871" w:type="dxa"/>
            <w:gridSpan w:val="2"/>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center"/>
              <w:rPr>
                <w:rFonts w:ascii="Times New Roman" w:hAnsi="Times New Roman"/>
                <w:b/>
                <w:sz w:val="16"/>
              </w:rPr>
            </w:pPr>
            <w:r>
              <w:rPr>
                <w:rFonts w:ascii="Times New Roman" w:hAnsi="Times New Roman"/>
                <w:b/>
                <w:sz w:val="16"/>
              </w:rPr>
              <w:t>% Change</w:t>
            </w:r>
          </w:p>
        </w:tc>
        <w:tc>
          <w:tcPr>
            <w:tcW w:w="716"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center"/>
              <w:rPr/>
            </w:pPr>
            <w:r>
              <w:rPr/>
              <w:t> </w:t>
            </w:r>
          </w:p>
        </w:tc>
      </w:tr>
      <w:tr>
        <w:trPr/>
        <w:tc>
          <w:tcPr>
            <w:tcW w:w="4576" w:type="dxa"/>
            <w:tcBorders/>
            <w:shd w:fill="auto" w:val="clear"/>
            <w:vAlign w:val="center"/>
          </w:tcPr>
          <w:p>
            <w:pPr>
              <w:pStyle w:val="TableContents"/>
              <w:spacing w:lineRule="auto" w:line="252" w:before="0" w:after="0"/>
              <w:ind w:left="0" w:right="0" w:hanging="0"/>
              <w:jc w:val="left"/>
              <w:rPr>
                <w:rFonts w:ascii="Times New Roman" w:hAnsi="Times New Roman"/>
                <w:b/>
                <w:sz w:val="20"/>
              </w:rPr>
            </w:pPr>
            <w:r>
              <w:rPr>
                <w:rFonts w:ascii="Times New Roman" w:hAnsi="Times New Roman"/>
                <w:b/>
                <w:sz w:val="20"/>
              </w:rPr>
              <w:t>Operating Expenses:</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947" w:type="dxa"/>
            <w:gridSpan w:val="2"/>
            <w:tcBorders/>
            <w:shd w:fill="auto" w:val="clear"/>
            <w:vAlign w:val="center"/>
          </w:tcPr>
          <w:p>
            <w:pPr>
              <w:pStyle w:val="TableContents"/>
              <w:spacing w:lineRule="auto" w:line="252" w:before="0" w:after="0"/>
              <w:ind w:left="0" w:right="0" w:hanging="0"/>
              <w:jc w:val="right"/>
              <w:rPr/>
            </w:pPr>
            <w:r>
              <w:rPr/>
              <w:t> </w:t>
            </w:r>
          </w:p>
        </w:tc>
        <w:tc>
          <w:tcPr>
            <w:tcW w:w="166" w:type="dxa"/>
            <w:tcBorders/>
            <w:shd w:fill="auto" w:val="clear"/>
            <w:vAlign w:val="center"/>
          </w:tcPr>
          <w:p>
            <w:pPr>
              <w:pStyle w:val="TableContents"/>
              <w:spacing w:lineRule="auto" w:line="252" w:before="0" w:after="0"/>
              <w:ind w:left="0" w:right="0" w:hanging="0"/>
              <w:jc w:val="righ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947" w:type="dxa"/>
            <w:gridSpan w:val="2"/>
            <w:tcBorders/>
            <w:shd w:fill="auto" w:val="clear"/>
            <w:vAlign w:val="center"/>
          </w:tcPr>
          <w:p>
            <w:pPr>
              <w:pStyle w:val="TableContents"/>
              <w:spacing w:lineRule="auto" w:line="252" w:before="0" w:after="0"/>
              <w:ind w:left="0" w:right="0" w:hanging="0"/>
              <w:jc w:val="right"/>
              <w:rPr/>
            </w:pPr>
            <w:r>
              <w:rPr/>
              <w:t> </w:t>
            </w:r>
          </w:p>
        </w:tc>
        <w:tc>
          <w:tcPr>
            <w:tcW w:w="166" w:type="dxa"/>
            <w:tcBorders/>
            <w:shd w:fill="auto" w:val="clear"/>
            <w:vAlign w:val="center"/>
          </w:tcPr>
          <w:p>
            <w:pPr>
              <w:pStyle w:val="TableContents"/>
              <w:spacing w:lineRule="auto" w:line="252" w:before="0" w:after="0"/>
              <w:ind w:left="0" w:right="0" w:hanging="0"/>
              <w:jc w:val="righ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947" w:type="dxa"/>
            <w:gridSpan w:val="2"/>
            <w:tcBorders/>
            <w:shd w:fill="auto" w:val="clear"/>
            <w:vAlign w:val="center"/>
          </w:tcPr>
          <w:p>
            <w:pPr>
              <w:pStyle w:val="TableContents"/>
              <w:spacing w:lineRule="auto" w:line="252" w:before="0" w:after="0"/>
              <w:ind w:left="0" w:right="0" w:hanging="0"/>
              <w:jc w:val="right"/>
              <w:rPr/>
            </w:pPr>
            <w:r>
              <w:rPr/>
              <w:t> </w:t>
            </w:r>
          </w:p>
        </w:tc>
        <w:tc>
          <w:tcPr>
            <w:tcW w:w="166" w:type="dxa"/>
            <w:tcBorders/>
            <w:shd w:fill="auto" w:val="clear"/>
            <w:vAlign w:val="center"/>
          </w:tcPr>
          <w:p>
            <w:pPr>
              <w:pStyle w:val="TableContents"/>
              <w:spacing w:lineRule="auto" w:line="252" w:before="0" w:after="0"/>
              <w:ind w:left="0" w:right="0" w:hanging="0"/>
              <w:jc w:val="righ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871" w:type="dxa"/>
            <w:gridSpan w:val="2"/>
            <w:tcBorders/>
            <w:shd w:fill="auto" w:val="clear"/>
            <w:vAlign w:val="center"/>
          </w:tcPr>
          <w:p>
            <w:pPr>
              <w:pStyle w:val="TableContents"/>
              <w:spacing w:lineRule="auto" w:line="252" w:before="0" w:after="0"/>
              <w:ind w:left="0" w:right="0" w:hanging="0"/>
              <w:jc w:val="right"/>
              <w:rPr/>
            </w:pPr>
            <w:r>
              <w:rPr/>
              <w:t> </w:t>
            </w:r>
          </w:p>
        </w:tc>
        <w:tc>
          <w:tcPr>
            <w:tcW w:w="716" w:type="dxa"/>
            <w:tcBorders/>
            <w:shd w:fill="auto" w:val="clear"/>
            <w:vAlign w:val="center"/>
          </w:tcPr>
          <w:p>
            <w:pPr>
              <w:pStyle w:val="TableContents"/>
              <w:spacing w:lineRule="auto" w:line="252" w:before="0" w:after="0"/>
              <w:ind w:left="0" w:right="0" w:firstLine="200"/>
              <w:jc w:val="right"/>
              <w:rPr/>
            </w:pPr>
            <w:r>
              <w:rPr/>
              <w:t> </w:t>
            </w:r>
          </w:p>
        </w:tc>
      </w:tr>
      <w:tr>
        <w:trPr/>
        <w:tc>
          <w:tcPr>
            <w:tcW w:w="4576" w:type="dxa"/>
            <w:tcBorders/>
            <w:shd w:fill="auto" w:val="clear"/>
            <w:vAlign w:val="center"/>
          </w:tcPr>
          <w:p>
            <w:pPr>
              <w:pStyle w:val="TableContents"/>
              <w:spacing w:lineRule="auto" w:line="252" w:before="0" w:after="0"/>
              <w:ind w:left="200" w:right="0" w:hanging="0"/>
              <w:jc w:val="left"/>
              <w:rPr>
                <w:rFonts w:ascii="Times New Roman" w:hAnsi="Times New Roman"/>
                <w:b w:val="false"/>
                <w:sz w:val="20"/>
              </w:rPr>
            </w:pPr>
            <w:r>
              <w:rPr>
                <w:rFonts w:ascii="Times New Roman" w:hAnsi="Times New Roman"/>
                <w:b w:val="false"/>
                <w:sz w:val="20"/>
              </w:rPr>
              <w:t>Research and development</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211" w:type="dxa"/>
            <w:tcBorders/>
            <w:shd w:fill="auto" w:val="clear"/>
            <w:vAlign w:val="center"/>
          </w:tcPr>
          <w:p>
            <w:pPr>
              <w:pStyle w:val="TableContents"/>
              <w:spacing w:lineRule="auto" w:line="252" w:before="0" w:after="0"/>
              <w:ind w:left="0" w:right="0" w:hanging="0"/>
              <w:jc w:val="left"/>
              <w:rPr>
                <w:rFonts w:ascii="Times New Roman" w:hAnsi="Times New Roman"/>
                <w:b w:val="false"/>
                <w:sz w:val="20"/>
              </w:rPr>
            </w:pPr>
            <w:r>
              <w:rPr>
                <w:rFonts w:ascii="Times New Roman" w:hAnsi="Times New Roman"/>
                <w:b w:val="false"/>
                <w:sz w:val="20"/>
              </w:rPr>
              <w:t>$</w:t>
            </w:r>
          </w:p>
        </w:tc>
        <w:tc>
          <w:tcPr>
            <w:tcW w:w="736" w:type="dxa"/>
            <w:tcBorders/>
            <w:shd w:fill="auto" w:val="clear"/>
            <w:vAlign w:val="center"/>
          </w:tcPr>
          <w:p>
            <w:pPr>
              <w:pStyle w:val="TableContents"/>
              <w:spacing w:lineRule="auto" w:line="252" w:before="0" w:after="0"/>
              <w:ind w:left="0" w:right="0" w:hanging="0"/>
              <w:jc w:val="right"/>
              <w:rPr>
                <w:rFonts w:ascii="Times New Roman" w:hAnsi="Times New Roman"/>
                <w:b w:val="false"/>
                <w:sz w:val="20"/>
              </w:rPr>
            </w:pPr>
            <w:r>
              <w:rPr>
                <w:rFonts w:ascii="Times New Roman" w:hAnsi="Times New Roman"/>
                <w:b w:val="false"/>
                <w:sz w:val="20"/>
              </w:rPr>
              <w:t>15,003</w:t>
            </w:r>
          </w:p>
        </w:tc>
        <w:tc>
          <w:tcPr>
            <w:tcW w:w="166" w:type="dxa"/>
            <w:tcBorders/>
            <w:shd w:fill="auto" w:val="cle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211" w:type="dxa"/>
            <w:tcBorders/>
            <w:shd w:fill="auto" w:val="clear"/>
            <w:vAlign w:val="center"/>
          </w:tcPr>
          <w:p>
            <w:pPr>
              <w:pStyle w:val="TableContents"/>
              <w:spacing w:lineRule="auto" w:line="252" w:before="0" w:after="0"/>
              <w:ind w:left="0" w:right="0" w:hanging="0"/>
              <w:jc w:val="left"/>
              <w:rPr>
                <w:rFonts w:ascii="Times New Roman" w:hAnsi="Times New Roman"/>
                <w:b w:val="false"/>
                <w:sz w:val="20"/>
              </w:rPr>
            </w:pPr>
            <w:r>
              <w:rPr>
                <w:rFonts w:ascii="Times New Roman" w:hAnsi="Times New Roman"/>
                <w:b w:val="false"/>
                <w:sz w:val="20"/>
              </w:rPr>
              <w:t>$</w:t>
            </w:r>
          </w:p>
        </w:tc>
        <w:tc>
          <w:tcPr>
            <w:tcW w:w="736" w:type="dxa"/>
            <w:tcBorders/>
            <w:shd w:fill="auto" w:val="clear"/>
            <w:vAlign w:val="center"/>
          </w:tcPr>
          <w:p>
            <w:pPr>
              <w:pStyle w:val="TableContents"/>
              <w:spacing w:lineRule="auto" w:line="252" w:before="0" w:after="0"/>
              <w:ind w:left="0" w:right="0" w:hanging="0"/>
              <w:jc w:val="right"/>
              <w:rPr>
                <w:rFonts w:ascii="Times New Roman" w:hAnsi="Times New Roman"/>
                <w:b w:val="false"/>
                <w:sz w:val="20"/>
              </w:rPr>
            </w:pPr>
            <w:r>
              <w:rPr>
                <w:rFonts w:ascii="Times New Roman" w:hAnsi="Times New Roman"/>
                <w:b w:val="false"/>
                <w:sz w:val="20"/>
              </w:rPr>
              <w:t>12,632</w:t>
            </w:r>
          </w:p>
        </w:tc>
        <w:tc>
          <w:tcPr>
            <w:tcW w:w="166" w:type="dxa"/>
            <w:tcBorders/>
            <w:shd w:fill="auto" w:val="cle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211" w:type="dxa"/>
            <w:tcBorders/>
            <w:shd w:fill="auto" w:val="clear"/>
            <w:vAlign w:val="center"/>
          </w:tcPr>
          <w:p>
            <w:pPr>
              <w:pStyle w:val="TableContents"/>
              <w:spacing w:lineRule="auto" w:line="252" w:before="0" w:after="0"/>
              <w:ind w:left="0" w:right="0" w:hanging="0"/>
              <w:jc w:val="left"/>
              <w:rPr>
                <w:rFonts w:ascii="Times New Roman" w:hAnsi="Times New Roman"/>
                <w:b w:val="false"/>
                <w:sz w:val="20"/>
              </w:rPr>
            </w:pPr>
            <w:r>
              <w:rPr>
                <w:rFonts w:ascii="Times New Roman" w:hAnsi="Times New Roman"/>
                <w:b w:val="false"/>
                <w:sz w:val="20"/>
              </w:rPr>
              <w:t>$</w:t>
            </w:r>
          </w:p>
        </w:tc>
        <w:tc>
          <w:tcPr>
            <w:tcW w:w="736" w:type="dxa"/>
            <w:tcBorders/>
            <w:shd w:fill="auto" w:val="clear"/>
            <w:vAlign w:val="center"/>
          </w:tcPr>
          <w:p>
            <w:pPr>
              <w:pStyle w:val="TableContents"/>
              <w:spacing w:lineRule="auto" w:line="252" w:before="0" w:after="0"/>
              <w:ind w:left="0" w:right="0" w:hanging="0"/>
              <w:jc w:val="right"/>
              <w:rPr>
                <w:rFonts w:ascii="Times New Roman" w:hAnsi="Times New Roman"/>
                <w:b w:val="false"/>
                <w:sz w:val="20"/>
              </w:rPr>
            </w:pPr>
            <w:r>
              <w:rPr>
                <w:rFonts w:ascii="Times New Roman" w:hAnsi="Times New Roman"/>
                <w:b w:val="false"/>
                <w:sz w:val="20"/>
              </w:rPr>
              <w:t>2,371</w:t>
            </w:r>
          </w:p>
        </w:tc>
        <w:tc>
          <w:tcPr>
            <w:tcW w:w="166" w:type="dxa"/>
            <w:tcBorders/>
            <w:shd w:fill="auto" w:val="cle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63" w:type="dxa"/>
            <w:tcBorders/>
            <w:shd w:fill="auto" w:val="clear"/>
            <w:vAlign w:val="center"/>
          </w:tcPr>
          <w:p>
            <w:pPr>
              <w:pStyle w:val="TableContents"/>
              <w:spacing w:lineRule="auto" w:line="252" w:before="0" w:after="0"/>
              <w:ind w:left="0" w:right="0" w:hanging="0"/>
              <w:jc w:val="left"/>
              <w:rPr/>
            </w:pPr>
            <w:r>
              <w:rPr/>
              <w:t> </w:t>
            </w:r>
          </w:p>
        </w:tc>
        <w:tc>
          <w:tcPr>
            <w:tcW w:w="708" w:type="dxa"/>
            <w:tcBorders/>
            <w:shd w:fill="auto" w:val="clear"/>
            <w:vAlign w:val="center"/>
          </w:tcPr>
          <w:p>
            <w:pPr>
              <w:pStyle w:val="TableContents"/>
              <w:spacing w:lineRule="auto" w:line="252" w:before="0" w:after="0"/>
              <w:ind w:left="0" w:right="0" w:hanging="0"/>
              <w:jc w:val="right"/>
              <w:rPr>
                <w:rFonts w:ascii="Times New Roman" w:hAnsi="Times New Roman"/>
                <w:b w:val="false"/>
                <w:sz w:val="20"/>
              </w:rPr>
            </w:pPr>
            <w:r>
              <w:rPr>
                <w:rFonts w:ascii="Times New Roman" w:hAnsi="Times New Roman"/>
                <w:b w:val="false"/>
                <w:sz w:val="20"/>
              </w:rPr>
              <w:t>18.8</w:t>
            </w:r>
          </w:p>
        </w:tc>
        <w:tc>
          <w:tcPr>
            <w:tcW w:w="716" w:type="dxa"/>
            <w:tcBorders/>
            <w:shd w:fill="auto" w:val="clear"/>
            <w:vAlign w:val="center"/>
          </w:tcPr>
          <w:p>
            <w:pPr>
              <w:pStyle w:val="TableContents"/>
              <w:spacing w:lineRule="auto" w:line="252" w:before="0" w:after="0"/>
              <w:ind w:left="0" w:right="0" w:firstLine="200"/>
              <w:jc w:val="left"/>
              <w:rPr>
                <w:rFonts w:ascii="Times New Roman" w:hAnsi="Times New Roman"/>
                <w:b w:val="false"/>
                <w:sz w:val="20"/>
              </w:rPr>
            </w:pPr>
            <w:r>
              <w:rPr>
                <w:rFonts w:ascii="Times New Roman" w:hAnsi="Times New Roman"/>
                <w:b w:val="false"/>
                <w:sz w:val="20"/>
              </w:rPr>
              <w:t>%</w:t>
            </w:r>
          </w:p>
        </w:tc>
      </w:tr>
      <w:tr>
        <w:trPr/>
        <w:tc>
          <w:tcPr>
            <w:tcW w:w="4576" w:type="dxa"/>
            <w:tcBorders/>
            <w:shd w:fill="auto" w:val="clear"/>
            <w:vAlign w:val="center"/>
          </w:tcPr>
          <w:p>
            <w:pPr>
              <w:pStyle w:val="TableContents"/>
              <w:spacing w:lineRule="auto" w:line="252" w:before="0" w:after="0"/>
              <w:ind w:left="200" w:right="0" w:hanging="0"/>
              <w:jc w:val="left"/>
              <w:rPr>
                <w:rFonts w:ascii="Times New Roman" w:hAnsi="Times New Roman"/>
                <w:b w:val="false"/>
                <w:sz w:val="20"/>
              </w:rPr>
            </w:pPr>
            <w:r>
              <w:rPr>
                <w:rFonts w:ascii="Times New Roman" w:hAnsi="Times New Roman"/>
                <w:b w:val="false"/>
                <w:sz w:val="20"/>
              </w:rPr>
              <w:t>General and administrative</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211"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c>
          <w:tcPr>
            <w:tcW w:w="736"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right"/>
              <w:rPr>
                <w:rFonts w:ascii="Times New Roman" w:hAnsi="Times New Roman"/>
                <w:b w:val="false"/>
                <w:sz w:val="20"/>
              </w:rPr>
            </w:pPr>
            <w:r>
              <w:rPr>
                <w:rFonts w:ascii="Times New Roman" w:hAnsi="Times New Roman"/>
                <w:b w:val="false"/>
                <w:sz w:val="20"/>
              </w:rPr>
              <w:t>12,745</w:t>
            </w:r>
          </w:p>
        </w:tc>
        <w:tc>
          <w:tcPr>
            <w:tcW w:w="166"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211"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c>
          <w:tcPr>
            <w:tcW w:w="736"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right"/>
              <w:rPr>
                <w:rFonts w:ascii="Times New Roman" w:hAnsi="Times New Roman"/>
                <w:b w:val="false"/>
                <w:sz w:val="20"/>
              </w:rPr>
            </w:pPr>
            <w:r>
              <w:rPr>
                <w:rFonts w:ascii="Times New Roman" w:hAnsi="Times New Roman"/>
                <w:b w:val="false"/>
                <w:sz w:val="20"/>
              </w:rPr>
              <w:t>3,454</w:t>
            </w:r>
          </w:p>
        </w:tc>
        <w:tc>
          <w:tcPr>
            <w:tcW w:w="166"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211"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c>
          <w:tcPr>
            <w:tcW w:w="736"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right"/>
              <w:rPr>
                <w:rFonts w:ascii="Times New Roman" w:hAnsi="Times New Roman"/>
                <w:b w:val="false"/>
                <w:sz w:val="20"/>
              </w:rPr>
            </w:pPr>
            <w:r>
              <w:rPr>
                <w:rFonts w:ascii="Times New Roman" w:hAnsi="Times New Roman"/>
                <w:b w:val="false"/>
                <w:sz w:val="20"/>
              </w:rPr>
              <w:t>9,291</w:t>
            </w:r>
          </w:p>
        </w:tc>
        <w:tc>
          <w:tcPr>
            <w:tcW w:w="166"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63"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c>
          <w:tcPr>
            <w:tcW w:w="708"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right"/>
              <w:rPr>
                <w:rFonts w:ascii="Times New Roman" w:hAnsi="Times New Roman"/>
                <w:b w:val="false"/>
                <w:sz w:val="20"/>
              </w:rPr>
            </w:pPr>
            <w:r>
              <w:rPr>
                <w:rFonts w:ascii="Times New Roman" w:hAnsi="Times New Roman"/>
                <w:b w:val="false"/>
                <w:sz w:val="20"/>
              </w:rPr>
              <w:t>269.0</w:t>
            </w:r>
          </w:p>
        </w:tc>
        <w:tc>
          <w:tcPr>
            <w:tcW w:w="716"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firstLine="400"/>
              <w:jc w:val="left"/>
              <w:rPr>
                <w:rFonts w:ascii="Times New Roman" w:hAnsi="Times New Roman"/>
                <w:b w:val="false"/>
                <w:sz w:val="20"/>
              </w:rPr>
            </w:pPr>
            <w:r>
              <w:rPr>
                <w:rFonts w:ascii="Times New Roman" w:hAnsi="Times New Roman"/>
                <w:b w:val="false"/>
                <w:sz w:val="20"/>
              </w:rPr>
              <w:t>%</w:t>
            </w:r>
          </w:p>
        </w:tc>
      </w:tr>
      <w:tr>
        <w:trPr/>
        <w:tc>
          <w:tcPr>
            <w:tcW w:w="4576" w:type="dxa"/>
            <w:tcBorders/>
            <w:shd w:fill="auto" w:val="clear"/>
            <w:vAlign w:val="center"/>
          </w:tcPr>
          <w:p>
            <w:pPr>
              <w:pStyle w:val="TableContents"/>
              <w:spacing w:lineRule="auto" w:line="252" w:before="0" w:after="0"/>
              <w:ind w:left="400" w:right="0" w:hanging="0"/>
              <w:jc w:val="left"/>
              <w:rPr>
                <w:rFonts w:ascii="Times New Roman" w:hAnsi="Times New Roman"/>
                <w:b w:val="false"/>
                <w:sz w:val="20"/>
              </w:rPr>
            </w:pPr>
            <w:r>
              <w:rPr>
                <w:rFonts w:ascii="Times New Roman" w:hAnsi="Times New Roman"/>
                <w:b w:val="false"/>
                <w:sz w:val="20"/>
              </w:rPr>
              <w:t>Total operating expenses</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211"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c>
          <w:tcPr>
            <w:tcW w:w="736"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right"/>
              <w:rPr>
                <w:rFonts w:ascii="Times New Roman" w:hAnsi="Times New Roman"/>
                <w:b w:val="false"/>
                <w:sz w:val="20"/>
              </w:rPr>
            </w:pPr>
            <w:r>
              <w:rPr>
                <w:rFonts w:ascii="Times New Roman" w:hAnsi="Times New Roman"/>
                <w:b w:val="false"/>
                <w:sz w:val="20"/>
              </w:rPr>
              <w:t>27,748</w:t>
            </w:r>
          </w:p>
        </w:tc>
        <w:tc>
          <w:tcPr>
            <w:tcW w:w="166"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211"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c>
          <w:tcPr>
            <w:tcW w:w="736"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right"/>
              <w:rPr>
                <w:rFonts w:ascii="Times New Roman" w:hAnsi="Times New Roman"/>
                <w:b w:val="false"/>
                <w:sz w:val="20"/>
              </w:rPr>
            </w:pPr>
            <w:r>
              <w:rPr>
                <w:rFonts w:ascii="Times New Roman" w:hAnsi="Times New Roman"/>
                <w:b w:val="false"/>
                <w:sz w:val="20"/>
              </w:rPr>
              <w:t>16,086</w:t>
            </w:r>
          </w:p>
        </w:tc>
        <w:tc>
          <w:tcPr>
            <w:tcW w:w="166"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211"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c>
          <w:tcPr>
            <w:tcW w:w="736"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right"/>
              <w:rPr>
                <w:rFonts w:ascii="Times New Roman" w:hAnsi="Times New Roman"/>
                <w:b w:val="false"/>
                <w:sz w:val="20"/>
              </w:rPr>
            </w:pPr>
            <w:r>
              <w:rPr>
                <w:rFonts w:ascii="Times New Roman" w:hAnsi="Times New Roman"/>
                <w:b w:val="false"/>
                <w:sz w:val="20"/>
              </w:rPr>
              <w:t>11,662</w:t>
            </w:r>
          </w:p>
        </w:tc>
        <w:tc>
          <w:tcPr>
            <w:tcW w:w="166"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63"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c>
          <w:tcPr>
            <w:tcW w:w="708"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right"/>
              <w:rPr>
                <w:rFonts w:ascii="Times New Roman" w:hAnsi="Times New Roman"/>
                <w:b w:val="false"/>
                <w:sz w:val="20"/>
              </w:rPr>
            </w:pPr>
            <w:r>
              <w:rPr>
                <w:rFonts w:ascii="Times New Roman" w:hAnsi="Times New Roman"/>
                <w:b w:val="false"/>
                <w:sz w:val="20"/>
              </w:rPr>
              <w:t>72.5</w:t>
            </w:r>
          </w:p>
        </w:tc>
        <w:tc>
          <w:tcPr>
            <w:tcW w:w="716"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rFonts w:ascii="Times New Roman" w:hAnsi="Times New Roman"/>
                <w:b w:val="false"/>
                <w:sz w:val="20"/>
              </w:rPr>
            </w:pPr>
            <w:r>
              <w:rPr>
                <w:rFonts w:ascii="Times New Roman" w:hAnsi="Times New Roman"/>
                <w:b w:val="false"/>
                <w:sz w:val="20"/>
              </w:rPr>
              <w:t>%</w:t>
            </w:r>
          </w:p>
        </w:tc>
      </w:tr>
      <w:tr>
        <w:trPr/>
        <w:tc>
          <w:tcPr>
            <w:tcW w:w="4576" w:type="dxa"/>
            <w:tcBorders/>
            <w:shd w:fill="auto" w:val="clear"/>
            <w:vAlign w:val="center"/>
          </w:tcPr>
          <w:p>
            <w:pPr>
              <w:pStyle w:val="TableContents"/>
              <w:spacing w:lineRule="auto" w:line="252" w:before="0" w:after="0"/>
              <w:ind w:left="0" w:right="0" w:hanging="0"/>
              <w:jc w:val="left"/>
              <w:rPr>
                <w:rFonts w:ascii="Times New Roman" w:hAnsi="Times New Roman"/>
                <w:b/>
                <w:sz w:val="20"/>
              </w:rPr>
            </w:pPr>
            <w:r>
              <w:rPr>
                <w:rFonts w:ascii="Times New Roman" w:hAnsi="Times New Roman"/>
                <w:b/>
                <w:sz w:val="20"/>
              </w:rPr>
              <w:t>Loss from operations</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211" w:type="dxa"/>
            <w:tcBorders/>
            <w:shd w:fill="auto" w:val="clear"/>
            <w:vAlign w:val="center"/>
          </w:tcPr>
          <w:p>
            <w:pPr>
              <w:pStyle w:val="TableContents"/>
              <w:spacing w:lineRule="auto" w:line="252" w:before="0" w:after="0"/>
              <w:ind w:left="0" w:right="0" w:hanging="0"/>
              <w:jc w:val="left"/>
              <w:rPr/>
            </w:pPr>
            <w:r>
              <w:rPr/>
              <w:t> </w:t>
            </w:r>
          </w:p>
        </w:tc>
        <w:tc>
          <w:tcPr>
            <w:tcW w:w="736" w:type="dxa"/>
            <w:tcBorders/>
            <w:shd w:fill="auto" w:val="clear"/>
            <w:vAlign w:val="center"/>
          </w:tcPr>
          <w:p>
            <w:pPr>
              <w:pStyle w:val="TableContents"/>
              <w:spacing w:lineRule="auto" w:line="252" w:before="0" w:after="0"/>
              <w:ind w:left="0" w:right="0" w:hanging="0"/>
              <w:jc w:val="right"/>
              <w:rPr>
                <w:rFonts w:ascii="Times New Roman" w:hAnsi="Times New Roman"/>
                <w:b w:val="false"/>
                <w:sz w:val="20"/>
              </w:rPr>
            </w:pPr>
            <w:r>
              <w:rPr>
                <w:rFonts w:ascii="Times New Roman" w:hAnsi="Times New Roman"/>
                <w:b w:val="false"/>
                <w:sz w:val="20"/>
              </w:rPr>
              <w:t>(27,748</w:t>
            </w:r>
          </w:p>
        </w:tc>
        <w:tc>
          <w:tcPr>
            <w:tcW w:w="166" w:type="dxa"/>
            <w:tcBorders/>
            <w:shd w:fill="auto" w:val="clear"/>
            <w:vAlign w:val="center"/>
          </w:tcPr>
          <w:p>
            <w:pPr>
              <w:pStyle w:val="TableContents"/>
              <w:spacing w:lineRule="auto" w:line="252" w:before="0" w:after="0"/>
              <w:ind w:left="0" w:right="0" w:hanging="0"/>
              <w:jc w:val="left"/>
              <w:rPr>
                <w:rFonts w:ascii="Times New Roman" w:hAnsi="Times New Roman"/>
                <w:b w:val="false"/>
                <w:sz w:val="20"/>
              </w:rPr>
            </w:pPr>
            <w:r>
              <w:rPr>
                <w:rFonts w:ascii="Times New Roman" w:hAnsi="Times New Roman"/>
                <w:b w:val="false"/>
                <w:sz w:val="20"/>
              </w:rPr>
              <w:t>)</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211" w:type="dxa"/>
            <w:tcBorders/>
            <w:shd w:fill="auto" w:val="clear"/>
            <w:vAlign w:val="center"/>
          </w:tcPr>
          <w:p>
            <w:pPr>
              <w:pStyle w:val="TableContents"/>
              <w:spacing w:lineRule="auto" w:line="252" w:before="0" w:after="0"/>
              <w:ind w:left="0" w:right="0" w:hanging="0"/>
              <w:jc w:val="left"/>
              <w:rPr/>
            </w:pPr>
            <w:r>
              <w:rPr/>
              <w:t> </w:t>
            </w:r>
          </w:p>
        </w:tc>
        <w:tc>
          <w:tcPr>
            <w:tcW w:w="736" w:type="dxa"/>
            <w:tcBorders/>
            <w:shd w:fill="auto" w:val="clear"/>
            <w:vAlign w:val="center"/>
          </w:tcPr>
          <w:p>
            <w:pPr>
              <w:pStyle w:val="TableContents"/>
              <w:spacing w:lineRule="auto" w:line="252" w:before="0" w:after="0"/>
              <w:ind w:left="0" w:right="0" w:hanging="0"/>
              <w:jc w:val="right"/>
              <w:rPr>
                <w:rFonts w:ascii="Times New Roman" w:hAnsi="Times New Roman"/>
                <w:b w:val="false"/>
                <w:sz w:val="20"/>
              </w:rPr>
            </w:pPr>
            <w:r>
              <w:rPr>
                <w:rFonts w:ascii="Times New Roman" w:hAnsi="Times New Roman"/>
                <w:b w:val="false"/>
                <w:sz w:val="20"/>
              </w:rPr>
              <w:t>(16,086</w:t>
            </w:r>
          </w:p>
        </w:tc>
        <w:tc>
          <w:tcPr>
            <w:tcW w:w="166" w:type="dxa"/>
            <w:tcBorders/>
            <w:shd w:fill="auto" w:val="clear"/>
            <w:vAlign w:val="center"/>
          </w:tcPr>
          <w:p>
            <w:pPr>
              <w:pStyle w:val="TableContents"/>
              <w:spacing w:lineRule="auto" w:line="252" w:before="0" w:after="0"/>
              <w:ind w:left="0" w:right="0" w:hanging="0"/>
              <w:jc w:val="left"/>
              <w:rPr>
                <w:rFonts w:ascii="Times New Roman" w:hAnsi="Times New Roman"/>
                <w:b w:val="false"/>
                <w:sz w:val="20"/>
              </w:rPr>
            </w:pPr>
            <w:r>
              <w:rPr>
                <w:rFonts w:ascii="Times New Roman" w:hAnsi="Times New Roman"/>
                <w:b w:val="false"/>
                <w:sz w:val="20"/>
              </w:rPr>
              <w:t>)</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211" w:type="dxa"/>
            <w:tcBorders/>
            <w:shd w:fill="auto" w:val="clear"/>
            <w:vAlign w:val="center"/>
          </w:tcPr>
          <w:p>
            <w:pPr>
              <w:pStyle w:val="TableContents"/>
              <w:spacing w:lineRule="auto" w:line="252" w:before="0" w:after="0"/>
              <w:ind w:left="0" w:right="0" w:hanging="0"/>
              <w:jc w:val="left"/>
              <w:rPr/>
            </w:pPr>
            <w:r>
              <w:rPr/>
              <w:t> </w:t>
            </w:r>
          </w:p>
        </w:tc>
        <w:tc>
          <w:tcPr>
            <w:tcW w:w="736" w:type="dxa"/>
            <w:tcBorders/>
            <w:shd w:fill="auto" w:val="clear"/>
            <w:vAlign w:val="center"/>
          </w:tcPr>
          <w:p>
            <w:pPr>
              <w:pStyle w:val="TableContents"/>
              <w:spacing w:lineRule="auto" w:line="252" w:before="0" w:after="0"/>
              <w:ind w:left="0" w:right="0" w:hanging="0"/>
              <w:jc w:val="right"/>
              <w:rPr>
                <w:rFonts w:ascii="Times New Roman" w:hAnsi="Times New Roman"/>
                <w:b w:val="false"/>
                <w:sz w:val="20"/>
              </w:rPr>
            </w:pPr>
            <w:r>
              <w:rPr>
                <w:rFonts w:ascii="Times New Roman" w:hAnsi="Times New Roman"/>
                <w:b w:val="false"/>
                <w:sz w:val="20"/>
              </w:rPr>
              <w:t>(11,662</w:t>
            </w:r>
          </w:p>
        </w:tc>
        <w:tc>
          <w:tcPr>
            <w:tcW w:w="166" w:type="dxa"/>
            <w:tcBorders/>
            <w:shd w:fill="auto" w:val="clear"/>
            <w:vAlign w:val="center"/>
          </w:tcPr>
          <w:p>
            <w:pPr>
              <w:pStyle w:val="TableContents"/>
              <w:spacing w:lineRule="auto" w:line="252" w:before="0" w:after="0"/>
              <w:ind w:left="0" w:right="0" w:hanging="0"/>
              <w:jc w:val="left"/>
              <w:rPr>
                <w:rFonts w:ascii="Times New Roman" w:hAnsi="Times New Roman"/>
                <w:b w:val="false"/>
                <w:sz w:val="20"/>
              </w:rPr>
            </w:pPr>
            <w:r>
              <w:rPr>
                <w:rFonts w:ascii="Times New Roman" w:hAnsi="Times New Roman"/>
                <w:b w:val="false"/>
                <w:sz w:val="20"/>
              </w:rPr>
              <w:t>)</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63" w:type="dxa"/>
            <w:tcBorders/>
            <w:shd w:fill="auto" w:val="clear"/>
            <w:vAlign w:val="center"/>
          </w:tcPr>
          <w:p>
            <w:pPr>
              <w:pStyle w:val="TableContents"/>
              <w:spacing w:lineRule="auto" w:line="252" w:before="0" w:after="0"/>
              <w:ind w:left="0" w:right="0" w:hanging="0"/>
              <w:jc w:val="left"/>
              <w:rPr/>
            </w:pPr>
            <w:r>
              <w:rPr/>
              <w:t> </w:t>
            </w:r>
          </w:p>
        </w:tc>
        <w:tc>
          <w:tcPr>
            <w:tcW w:w="708" w:type="dxa"/>
            <w:tcBorders/>
            <w:shd w:fill="auto" w:val="clear"/>
            <w:vAlign w:val="center"/>
          </w:tcPr>
          <w:p>
            <w:pPr>
              <w:pStyle w:val="TableContents"/>
              <w:spacing w:lineRule="auto" w:line="252" w:before="0" w:after="0"/>
              <w:ind w:left="0" w:right="0" w:hanging="0"/>
              <w:jc w:val="right"/>
              <w:rPr>
                <w:rFonts w:ascii="Times New Roman" w:hAnsi="Times New Roman"/>
                <w:b w:val="false"/>
                <w:sz w:val="20"/>
              </w:rPr>
            </w:pPr>
            <w:r>
              <w:rPr>
                <w:rFonts w:ascii="Times New Roman" w:hAnsi="Times New Roman"/>
                <w:b w:val="false"/>
                <w:sz w:val="20"/>
              </w:rPr>
              <w:t>72.5</w:t>
            </w:r>
          </w:p>
        </w:tc>
        <w:tc>
          <w:tcPr>
            <w:tcW w:w="716" w:type="dxa"/>
            <w:tcBorders/>
            <w:shd w:fill="auto" w:val="clear"/>
            <w:vAlign w:val="center"/>
          </w:tcPr>
          <w:p>
            <w:pPr>
              <w:pStyle w:val="TableContents"/>
              <w:spacing w:lineRule="auto" w:line="252" w:before="0" w:after="0"/>
              <w:ind w:left="0" w:right="0" w:hanging="0"/>
              <w:jc w:val="left"/>
              <w:rPr>
                <w:rFonts w:ascii="Times New Roman" w:hAnsi="Times New Roman"/>
                <w:b w:val="false"/>
                <w:sz w:val="20"/>
              </w:rPr>
            </w:pPr>
            <w:r>
              <w:rPr>
                <w:rFonts w:ascii="Times New Roman" w:hAnsi="Times New Roman"/>
                <w:b w:val="false"/>
                <w:sz w:val="20"/>
              </w:rPr>
              <w:t>%</w:t>
            </w:r>
          </w:p>
        </w:tc>
      </w:tr>
      <w:tr>
        <w:trPr/>
        <w:tc>
          <w:tcPr>
            <w:tcW w:w="4576" w:type="dxa"/>
            <w:tcBorders/>
            <w:shd w:fill="auto" w:val="clear"/>
            <w:vAlign w:val="center"/>
          </w:tcPr>
          <w:p>
            <w:pPr>
              <w:pStyle w:val="TableContents"/>
              <w:spacing w:lineRule="auto" w:line="252" w:before="0" w:after="0"/>
              <w:ind w:left="0" w:right="0" w:hanging="0"/>
              <w:jc w:val="left"/>
              <w:rPr>
                <w:rFonts w:ascii="Times New Roman" w:hAnsi="Times New Roman"/>
                <w:b w:val="false"/>
                <w:sz w:val="20"/>
              </w:rPr>
            </w:pPr>
            <w:r>
              <w:rPr>
                <w:rFonts w:ascii="Times New Roman" w:hAnsi="Times New Roman"/>
                <w:b w:val="false"/>
                <w:sz w:val="20"/>
              </w:rPr>
              <w:t>Interest income (expense), net</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211" w:type="dxa"/>
            <w:tcBorders/>
            <w:shd w:fill="auto" w:val="clear"/>
            <w:vAlign w:val="center"/>
          </w:tcPr>
          <w:p>
            <w:pPr>
              <w:pStyle w:val="TableContents"/>
              <w:spacing w:lineRule="auto" w:line="252" w:before="0" w:after="0"/>
              <w:ind w:left="0" w:right="0" w:hanging="0"/>
              <w:jc w:val="left"/>
              <w:rPr/>
            </w:pPr>
            <w:r>
              <w:rPr/>
              <w:t> </w:t>
            </w:r>
          </w:p>
        </w:tc>
        <w:tc>
          <w:tcPr>
            <w:tcW w:w="736" w:type="dxa"/>
            <w:tcBorders/>
            <w:shd w:fill="auto" w:val="clear"/>
            <w:vAlign w:val="center"/>
          </w:tcPr>
          <w:p>
            <w:pPr>
              <w:pStyle w:val="TableContents"/>
              <w:spacing w:lineRule="auto" w:line="252" w:before="0" w:after="0"/>
              <w:ind w:left="0" w:right="0" w:hanging="0"/>
              <w:jc w:val="right"/>
              <w:rPr>
                <w:rFonts w:ascii="Times New Roman" w:hAnsi="Times New Roman"/>
                <w:b w:val="false"/>
                <w:sz w:val="20"/>
              </w:rPr>
            </w:pPr>
            <w:r>
              <w:rPr>
                <w:rFonts w:ascii="Times New Roman" w:hAnsi="Times New Roman"/>
                <w:b w:val="false"/>
                <w:sz w:val="20"/>
              </w:rPr>
              <w:t>2</w:t>
            </w:r>
          </w:p>
        </w:tc>
        <w:tc>
          <w:tcPr>
            <w:tcW w:w="166" w:type="dxa"/>
            <w:tcBorders/>
            <w:shd w:fill="auto" w:val="cle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211" w:type="dxa"/>
            <w:tcBorders/>
            <w:shd w:fill="auto" w:val="clear"/>
            <w:vAlign w:val="center"/>
          </w:tcPr>
          <w:p>
            <w:pPr>
              <w:pStyle w:val="TableContents"/>
              <w:spacing w:lineRule="auto" w:line="252" w:before="0" w:after="0"/>
              <w:ind w:left="0" w:right="0" w:hanging="0"/>
              <w:jc w:val="left"/>
              <w:rPr/>
            </w:pPr>
            <w:r>
              <w:rPr/>
              <w:t> </w:t>
            </w:r>
          </w:p>
        </w:tc>
        <w:tc>
          <w:tcPr>
            <w:tcW w:w="736" w:type="dxa"/>
            <w:tcBorders/>
            <w:shd w:fill="auto" w:val="clear"/>
            <w:vAlign w:val="center"/>
          </w:tcPr>
          <w:p>
            <w:pPr>
              <w:pStyle w:val="TableContents"/>
              <w:spacing w:lineRule="auto" w:line="252" w:before="0" w:after="0"/>
              <w:ind w:left="0" w:right="0" w:hanging="0"/>
              <w:jc w:val="right"/>
              <w:rPr>
                <w:rFonts w:ascii="Times New Roman" w:hAnsi="Times New Roman"/>
                <w:b w:val="false"/>
                <w:sz w:val="20"/>
              </w:rPr>
            </w:pPr>
            <w:r>
              <w:rPr>
                <w:rFonts w:ascii="Times New Roman" w:hAnsi="Times New Roman"/>
                <w:b w:val="false"/>
                <w:sz w:val="20"/>
              </w:rPr>
              <w:t>(7</w:t>
            </w:r>
          </w:p>
        </w:tc>
        <w:tc>
          <w:tcPr>
            <w:tcW w:w="166" w:type="dxa"/>
            <w:tcBorders/>
            <w:shd w:fill="auto" w:val="clear"/>
            <w:vAlign w:val="center"/>
          </w:tcPr>
          <w:p>
            <w:pPr>
              <w:pStyle w:val="TableContents"/>
              <w:spacing w:lineRule="auto" w:line="252" w:before="0" w:after="0"/>
              <w:ind w:left="0" w:right="0" w:hanging="0"/>
              <w:jc w:val="left"/>
              <w:rPr>
                <w:rFonts w:ascii="Times New Roman" w:hAnsi="Times New Roman"/>
                <w:b w:val="false"/>
                <w:sz w:val="20"/>
              </w:rPr>
            </w:pPr>
            <w:r>
              <w:rPr>
                <w:rFonts w:ascii="Times New Roman" w:hAnsi="Times New Roman"/>
                <w:b w:val="false"/>
                <w:sz w:val="20"/>
              </w:rPr>
              <w:t>)</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211" w:type="dxa"/>
            <w:tcBorders/>
            <w:shd w:fill="auto" w:val="clear"/>
            <w:vAlign w:val="center"/>
          </w:tcPr>
          <w:p>
            <w:pPr>
              <w:pStyle w:val="TableContents"/>
              <w:spacing w:lineRule="auto" w:line="252" w:before="0" w:after="0"/>
              <w:ind w:left="0" w:right="0" w:hanging="0"/>
              <w:jc w:val="left"/>
              <w:rPr/>
            </w:pPr>
            <w:r>
              <w:rPr/>
              <w:t> </w:t>
            </w:r>
          </w:p>
        </w:tc>
        <w:tc>
          <w:tcPr>
            <w:tcW w:w="736" w:type="dxa"/>
            <w:tcBorders/>
            <w:shd w:fill="auto" w:val="clear"/>
            <w:vAlign w:val="center"/>
          </w:tcPr>
          <w:p>
            <w:pPr>
              <w:pStyle w:val="TableContents"/>
              <w:spacing w:lineRule="auto" w:line="252" w:before="0" w:after="0"/>
              <w:ind w:left="0" w:right="0" w:hanging="0"/>
              <w:jc w:val="right"/>
              <w:rPr>
                <w:rFonts w:ascii="Times New Roman" w:hAnsi="Times New Roman"/>
                <w:b w:val="false"/>
                <w:sz w:val="20"/>
              </w:rPr>
            </w:pPr>
            <w:r>
              <w:rPr>
                <w:rFonts w:ascii="Times New Roman" w:hAnsi="Times New Roman"/>
                <w:b w:val="false"/>
                <w:sz w:val="20"/>
              </w:rPr>
              <w:t>9</w:t>
            </w:r>
          </w:p>
        </w:tc>
        <w:tc>
          <w:tcPr>
            <w:tcW w:w="166" w:type="dxa"/>
            <w:tcBorders/>
            <w:shd w:fill="auto" w:val="cle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63" w:type="dxa"/>
            <w:tcBorders/>
            <w:shd w:fill="auto" w:val="clear"/>
            <w:vAlign w:val="center"/>
          </w:tcPr>
          <w:p>
            <w:pPr>
              <w:pStyle w:val="TableContents"/>
              <w:spacing w:lineRule="auto" w:line="252" w:before="0" w:after="0"/>
              <w:ind w:left="0" w:right="0" w:hanging="0"/>
              <w:jc w:val="left"/>
              <w:rPr/>
            </w:pPr>
            <w:r>
              <w:rPr/>
              <w:t> </w:t>
            </w:r>
          </w:p>
        </w:tc>
        <w:tc>
          <w:tcPr>
            <w:tcW w:w="708" w:type="dxa"/>
            <w:tcBorders/>
            <w:shd w:fill="auto" w:val="clear"/>
            <w:vAlign w:val="center"/>
          </w:tcPr>
          <w:p>
            <w:pPr>
              <w:pStyle w:val="TableContents"/>
              <w:spacing w:lineRule="auto" w:line="252" w:before="0" w:after="0"/>
              <w:ind w:left="0" w:right="0" w:hanging="0"/>
              <w:jc w:val="right"/>
              <w:rPr>
                <w:rFonts w:ascii="Times New Roman" w:hAnsi="Times New Roman"/>
                <w:b w:val="false"/>
                <w:sz w:val="20"/>
              </w:rPr>
            </w:pPr>
            <w:r>
              <w:rPr>
                <w:rFonts w:ascii="Times New Roman" w:hAnsi="Times New Roman"/>
                <w:b w:val="false"/>
                <w:sz w:val="20"/>
              </w:rPr>
              <w:t>-128.6</w:t>
            </w:r>
          </w:p>
        </w:tc>
        <w:tc>
          <w:tcPr>
            <w:tcW w:w="716" w:type="dxa"/>
            <w:tcBorders/>
            <w:shd w:fill="auto" w:val="clear"/>
            <w:vAlign w:val="center"/>
          </w:tcPr>
          <w:p>
            <w:pPr>
              <w:pStyle w:val="TableContents"/>
              <w:spacing w:lineRule="auto" w:line="252" w:before="0" w:after="0"/>
              <w:ind w:left="0" w:right="0" w:hanging="0"/>
              <w:jc w:val="left"/>
              <w:rPr>
                <w:rFonts w:ascii="Times New Roman" w:hAnsi="Times New Roman"/>
                <w:b w:val="false"/>
                <w:sz w:val="20"/>
              </w:rPr>
            </w:pPr>
            <w:r>
              <w:rPr>
                <w:rFonts w:ascii="Times New Roman" w:hAnsi="Times New Roman"/>
                <w:b w:val="false"/>
                <w:sz w:val="20"/>
              </w:rPr>
              <w:t>%</w:t>
            </w:r>
          </w:p>
        </w:tc>
      </w:tr>
      <w:tr>
        <w:trPr/>
        <w:tc>
          <w:tcPr>
            <w:tcW w:w="4576" w:type="dxa"/>
            <w:tcBorders/>
            <w:shd w:fill="auto" w:val="clear"/>
            <w:vAlign w:val="center"/>
          </w:tcPr>
          <w:p>
            <w:pPr>
              <w:pStyle w:val="TableContents"/>
              <w:spacing w:lineRule="auto" w:line="252" w:before="0" w:after="0"/>
              <w:ind w:left="0" w:right="0" w:hanging="0"/>
              <w:jc w:val="left"/>
              <w:rPr>
                <w:rFonts w:ascii="Times New Roman" w:hAnsi="Times New Roman"/>
                <w:b w:val="false"/>
                <w:sz w:val="20"/>
              </w:rPr>
            </w:pPr>
            <w:r>
              <w:rPr>
                <w:rFonts w:ascii="Times New Roman" w:hAnsi="Times New Roman"/>
                <w:b w:val="false"/>
                <w:sz w:val="20"/>
              </w:rPr>
              <w:t>Other expense, net</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211"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c>
          <w:tcPr>
            <w:tcW w:w="736"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right"/>
              <w:rPr>
                <w:rFonts w:ascii="Times New Roman" w:hAnsi="Times New Roman"/>
                <w:b w:val="false"/>
                <w:sz w:val="20"/>
              </w:rPr>
            </w:pPr>
            <w:r>
              <w:rPr>
                <w:rFonts w:ascii="Times New Roman" w:hAnsi="Times New Roman"/>
                <w:b w:val="false"/>
                <w:sz w:val="20"/>
              </w:rPr>
              <w:t>(1</w:t>
            </w:r>
          </w:p>
        </w:tc>
        <w:tc>
          <w:tcPr>
            <w:tcW w:w="166"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rFonts w:ascii="Times New Roman" w:hAnsi="Times New Roman"/>
                <w:b w:val="false"/>
                <w:sz w:val="20"/>
              </w:rPr>
            </w:pPr>
            <w:r>
              <w:rPr>
                <w:rFonts w:ascii="Times New Roman" w:hAnsi="Times New Roman"/>
                <w:b w:val="false"/>
                <w:sz w:val="20"/>
              </w:rPr>
              <w:t>)</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211"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c>
          <w:tcPr>
            <w:tcW w:w="736"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right"/>
              <w:rPr>
                <w:rFonts w:ascii="Times New Roman" w:hAnsi="Times New Roman"/>
                <w:b w:val="false"/>
                <w:sz w:val="20"/>
              </w:rPr>
            </w:pPr>
            <w:r>
              <w:rPr>
                <w:rFonts w:ascii="Times New Roman" w:hAnsi="Times New Roman"/>
                <w:b w:val="false"/>
                <w:sz w:val="20"/>
              </w:rPr>
              <w:t>(8</w:t>
            </w:r>
          </w:p>
        </w:tc>
        <w:tc>
          <w:tcPr>
            <w:tcW w:w="166"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rFonts w:ascii="Times New Roman" w:hAnsi="Times New Roman"/>
                <w:b w:val="false"/>
                <w:sz w:val="20"/>
              </w:rPr>
            </w:pPr>
            <w:r>
              <w:rPr>
                <w:rFonts w:ascii="Times New Roman" w:hAnsi="Times New Roman"/>
                <w:b w:val="false"/>
                <w:sz w:val="20"/>
              </w:rPr>
              <w:t>)</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211"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c>
          <w:tcPr>
            <w:tcW w:w="736"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right"/>
              <w:rPr>
                <w:rFonts w:ascii="Times New Roman" w:hAnsi="Times New Roman"/>
                <w:b w:val="false"/>
                <w:sz w:val="20"/>
              </w:rPr>
            </w:pPr>
            <w:r>
              <w:rPr>
                <w:rFonts w:ascii="Times New Roman" w:hAnsi="Times New Roman"/>
                <w:b w:val="false"/>
                <w:sz w:val="20"/>
              </w:rPr>
              <w:t>7</w:t>
            </w:r>
          </w:p>
        </w:tc>
        <w:tc>
          <w:tcPr>
            <w:tcW w:w="166"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63"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c>
          <w:tcPr>
            <w:tcW w:w="708"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right"/>
              <w:rPr>
                <w:rFonts w:ascii="Times New Roman" w:hAnsi="Times New Roman"/>
                <w:b w:val="false"/>
                <w:sz w:val="20"/>
              </w:rPr>
            </w:pPr>
            <w:r>
              <w:rPr>
                <w:rFonts w:ascii="Times New Roman" w:hAnsi="Times New Roman"/>
                <w:b w:val="false"/>
                <w:sz w:val="20"/>
              </w:rPr>
              <w:t>-87.5</w:t>
            </w:r>
          </w:p>
        </w:tc>
        <w:tc>
          <w:tcPr>
            <w:tcW w:w="716"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rFonts w:ascii="Times New Roman" w:hAnsi="Times New Roman"/>
                <w:b w:val="false"/>
                <w:sz w:val="20"/>
              </w:rPr>
            </w:pPr>
            <w:r>
              <w:rPr>
                <w:rFonts w:ascii="Times New Roman" w:hAnsi="Times New Roman"/>
                <w:b w:val="false"/>
                <w:sz w:val="20"/>
              </w:rPr>
              <w:t>%</w:t>
            </w:r>
          </w:p>
        </w:tc>
      </w:tr>
      <w:tr>
        <w:trPr/>
        <w:tc>
          <w:tcPr>
            <w:tcW w:w="4576" w:type="dxa"/>
            <w:tcBorders/>
            <w:shd w:fill="auto" w:val="clear"/>
            <w:vAlign w:val="center"/>
          </w:tcPr>
          <w:p>
            <w:pPr>
              <w:pStyle w:val="TableContents"/>
              <w:spacing w:lineRule="auto" w:line="252" w:before="0" w:after="0"/>
              <w:ind w:left="0" w:right="0" w:hanging="0"/>
              <w:jc w:val="left"/>
              <w:rPr>
                <w:rFonts w:ascii="Times New Roman" w:hAnsi="Times New Roman"/>
                <w:b/>
                <w:sz w:val="20"/>
              </w:rPr>
            </w:pPr>
            <w:r>
              <w:rPr>
                <w:rFonts w:ascii="Times New Roman" w:hAnsi="Times New Roman"/>
                <w:b/>
                <w:sz w:val="20"/>
              </w:rPr>
              <w:t>Net loss and comprehensive loss</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211" w:type="dxa"/>
            <w:tcBorders/>
            <w:shd w:fill="auto" w:val="clear"/>
            <w:vAlign w:val="center"/>
          </w:tcPr>
          <w:p>
            <w:pPr>
              <w:pStyle w:val="TableContents"/>
              <w:spacing w:lineRule="auto" w:line="252" w:before="0" w:after="0"/>
              <w:ind w:left="0" w:right="0" w:hanging="0"/>
              <w:jc w:val="left"/>
              <w:rPr/>
            </w:pPr>
            <w:r>
              <w:rPr/>
              <w:t> </w:t>
            </w:r>
          </w:p>
        </w:tc>
        <w:tc>
          <w:tcPr>
            <w:tcW w:w="736" w:type="dxa"/>
            <w:tcBorders/>
            <w:shd w:fill="auto" w:val="clear"/>
            <w:vAlign w:val="center"/>
          </w:tcPr>
          <w:p>
            <w:pPr>
              <w:pStyle w:val="TableContents"/>
              <w:spacing w:lineRule="auto" w:line="252" w:before="0" w:after="0"/>
              <w:ind w:left="0" w:right="0" w:hanging="0"/>
              <w:jc w:val="right"/>
              <w:rPr>
                <w:rFonts w:ascii="Times New Roman" w:hAnsi="Times New Roman"/>
                <w:b w:val="false"/>
                <w:sz w:val="20"/>
              </w:rPr>
            </w:pPr>
            <w:r>
              <w:rPr>
                <w:rFonts w:ascii="Times New Roman" w:hAnsi="Times New Roman"/>
                <w:b w:val="false"/>
                <w:sz w:val="20"/>
              </w:rPr>
              <w:t>(27,747</w:t>
            </w:r>
          </w:p>
        </w:tc>
        <w:tc>
          <w:tcPr>
            <w:tcW w:w="166" w:type="dxa"/>
            <w:tcBorders/>
            <w:shd w:fill="auto" w:val="clear"/>
            <w:vAlign w:val="center"/>
          </w:tcPr>
          <w:p>
            <w:pPr>
              <w:pStyle w:val="TableContents"/>
              <w:spacing w:lineRule="auto" w:line="252" w:before="0" w:after="0"/>
              <w:ind w:left="0" w:right="0" w:hanging="0"/>
              <w:jc w:val="left"/>
              <w:rPr>
                <w:rFonts w:ascii="Times New Roman" w:hAnsi="Times New Roman"/>
                <w:b w:val="false"/>
                <w:sz w:val="20"/>
              </w:rPr>
            </w:pPr>
            <w:r>
              <w:rPr>
                <w:rFonts w:ascii="Times New Roman" w:hAnsi="Times New Roman"/>
                <w:b w:val="false"/>
                <w:sz w:val="20"/>
              </w:rPr>
              <w:t>)</w:t>
            </w:r>
          </w:p>
        </w:tc>
        <w:tc>
          <w:tcPr>
            <w:tcW w:w="146"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right"/>
              <w:rPr/>
            </w:pPr>
            <w:r>
              <w:rPr/>
              <w:t> </w:t>
            </w:r>
          </w:p>
        </w:tc>
        <w:tc>
          <w:tcPr>
            <w:tcW w:w="211"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c>
          <w:tcPr>
            <w:tcW w:w="736" w:type="dxa"/>
            <w:tcBorders/>
            <w:shd w:fill="auto" w:val="clear"/>
            <w:vAlign w:val="center"/>
          </w:tcPr>
          <w:p>
            <w:pPr>
              <w:pStyle w:val="TableContents"/>
              <w:spacing w:lineRule="auto" w:line="252" w:before="0" w:after="0"/>
              <w:ind w:left="0" w:right="0" w:hanging="0"/>
              <w:jc w:val="right"/>
              <w:rPr>
                <w:rFonts w:ascii="Times New Roman" w:hAnsi="Times New Roman"/>
                <w:b w:val="false"/>
                <w:sz w:val="20"/>
              </w:rPr>
            </w:pPr>
            <w:r>
              <w:rPr>
                <w:rFonts w:ascii="Times New Roman" w:hAnsi="Times New Roman"/>
                <w:b w:val="false"/>
                <w:sz w:val="20"/>
              </w:rPr>
              <w:t>(16,101</w:t>
            </w:r>
          </w:p>
        </w:tc>
        <w:tc>
          <w:tcPr>
            <w:tcW w:w="166" w:type="dxa"/>
            <w:tcBorders/>
            <w:shd w:fill="auto" w:val="clear"/>
            <w:vAlign w:val="center"/>
          </w:tcPr>
          <w:p>
            <w:pPr>
              <w:pStyle w:val="TableContents"/>
              <w:spacing w:lineRule="auto" w:line="252" w:before="0" w:after="0"/>
              <w:ind w:left="0" w:right="0" w:hanging="0"/>
              <w:jc w:val="left"/>
              <w:rPr>
                <w:rFonts w:ascii="Times New Roman" w:hAnsi="Times New Roman"/>
                <w:b w:val="false"/>
                <w:sz w:val="20"/>
              </w:rPr>
            </w:pPr>
            <w:r>
              <w:rPr>
                <w:rFonts w:ascii="Times New Roman" w:hAnsi="Times New Roman"/>
                <w:b w:val="false"/>
                <w:sz w:val="20"/>
              </w:rPr>
              <w:t>)</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211" w:type="dxa"/>
            <w:tcBorders/>
            <w:shd w:fill="auto" w:val="clear"/>
            <w:vAlign w:val="center"/>
          </w:tcPr>
          <w:p>
            <w:pPr>
              <w:pStyle w:val="TableContents"/>
              <w:spacing w:lineRule="auto" w:line="252" w:before="0" w:after="0"/>
              <w:ind w:left="0" w:right="0" w:hanging="0"/>
              <w:jc w:val="left"/>
              <w:rPr/>
            </w:pPr>
            <w:r>
              <w:rPr/>
              <w:t> </w:t>
            </w:r>
          </w:p>
        </w:tc>
        <w:tc>
          <w:tcPr>
            <w:tcW w:w="736" w:type="dxa"/>
            <w:tcBorders/>
            <w:shd w:fill="auto" w:val="clear"/>
            <w:vAlign w:val="center"/>
          </w:tcPr>
          <w:p>
            <w:pPr>
              <w:pStyle w:val="TableContents"/>
              <w:spacing w:lineRule="auto" w:line="252" w:before="0" w:after="0"/>
              <w:ind w:left="0" w:right="0" w:hanging="0"/>
              <w:jc w:val="right"/>
              <w:rPr>
                <w:rFonts w:ascii="Times New Roman" w:hAnsi="Times New Roman"/>
                <w:b w:val="false"/>
                <w:sz w:val="20"/>
              </w:rPr>
            </w:pPr>
            <w:r>
              <w:rPr>
                <w:rFonts w:ascii="Times New Roman" w:hAnsi="Times New Roman"/>
                <w:b w:val="false"/>
                <w:sz w:val="20"/>
              </w:rPr>
              <w:t>(11,646</w:t>
            </w:r>
          </w:p>
        </w:tc>
        <w:tc>
          <w:tcPr>
            <w:tcW w:w="166" w:type="dxa"/>
            <w:tcBorders/>
            <w:shd w:fill="auto" w:val="clear"/>
            <w:vAlign w:val="center"/>
          </w:tcPr>
          <w:p>
            <w:pPr>
              <w:pStyle w:val="TableContents"/>
              <w:spacing w:lineRule="auto" w:line="252" w:before="0" w:after="0"/>
              <w:ind w:left="0" w:right="0" w:hanging="0"/>
              <w:jc w:val="left"/>
              <w:rPr>
                <w:rFonts w:ascii="Times New Roman" w:hAnsi="Times New Roman"/>
                <w:b w:val="false"/>
                <w:sz w:val="20"/>
              </w:rPr>
            </w:pPr>
            <w:r>
              <w:rPr>
                <w:rFonts w:ascii="Times New Roman" w:hAnsi="Times New Roman"/>
                <w:b w:val="false"/>
                <w:sz w:val="20"/>
              </w:rPr>
              <w:t>)</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63" w:type="dxa"/>
            <w:tcBorders/>
            <w:shd w:fill="auto" w:val="clear"/>
            <w:vAlign w:val="center"/>
          </w:tcPr>
          <w:p>
            <w:pPr>
              <w:pStyle w:val="TableContents"/>
              <w:spacing w:lineRule="auto" w:line="252" w:before="0" w:after="0"/>
              <w:ind w:left="0" w:right="0" w:hanging="0"/>
              <w:jc w:val="left"/>
              <w:rPr/>
            </w:pPr>
            <w:r>
              <w:rPr/>
              <w:t> </w:t>
            </w:r>
          </w:p>
        </w:tc>
        <w:tc>
          <w:tcPr>
            <w:tcW w:w="708" w:type="dxa"/>
            <w:tcBorders/>
            <w:shd w:fill="auto" w:val="clear"/>
            <w:vAlign w:val="center"/>
          </w:tcPr>
          <w:p>
            <w:pPr>
              <w:pStyle w:val="TableContents"/>
              <w:spacing w:lineRule="auto" w:line="252" w:before="0" w:after="0"/>
              <w:ind w:left="0" w:right="0" w:hanging="0"/>
              <w:jc w:val="right"/>
              <w:rPr>
                <w:rFonts w:ascii="Times New Roman" w:hAnsi="Times New Roman"/>
                <w:b w:val="false"/>
                <w:sz w:val="20"/>
              </w:rPr>
            </w:pPr>
            <w:r>
              <w:rPr>
                <w:rFonts w:ascii="Times New Roman" w:hAnsi="Times New Roman"/>
                <w:b w:val="false"/>
                <w:sz w:val="20"/>
              </w:rPr>
              <w:t>72.3</w:t>
            </w:r>
          </w:p>
        </w:tc>
        <w:tc>
          <w:tcPr>
            <w:tcW w:w="716" w:type="dxa"/>
            <w:tcBorders/>
            <w:shd w:fill="auto" w:val="clear"/>
            <w:vAlign w:val="center"/>
          </w:tcPr>
          <w:p>
            <w:pPr>
              <w:pStyle w:val="TableContents"/>
              <w:spacing w:lineRule="auto" w:line="252" w:before="0" w:after="0"/>
              <w:ind w:left="0" w:right="0" w:hanging="0"/>
              <w:jc w:val="left"/>
              <w:rPr>
                <w:rFonts w:ascii="Times New Roman" w:hAnsi="Times New Roman"/>
                <w:b w:val="false"/>
                <w:sz w:val="20"/>
              </w:rPr>
            </w:pPr>
            <w:r>
              <w:rPr>
                <w:rFonts w:ascii="Times New Roman" w:hAnsi="Times New Roman"/>
                <w:b w:val="false"/>
                <w:sz w:val="20"/>
              </w:rPr>
              <w:t>%</w:t>
            </w:r>
          </w:p>
        </w:tc>
      </w:tr>
      <w:tr>
        <w:trPr/>
        <w:tc>
          <w:tcPr>
            <w:tcW w:w="4576" w:type="dxa"/>
            <w:tcBorders/>
            <w:shd w:fill="auto" w:val="clear"/>
            <w:vAlign w:val="center"/>
          </w:tcPr>
          <w:p>
            <w:pPr>
              <w:pStyle w:val="TableContents"/>
              <w:spacing w:lineRule="auto" w:line="252" w:before="0" w:after="0"/>
              <w:ind w:left="0" w:right="0" w:hanging="0"/>
              <w:jc w:val="left"/>
              <w:rPr>
                <w:rFonts w:ascii="Times New Roman" w:hAnsi="Times New Roman"/>
                <w:b w:val="false"/>
                <w:sz w:val="20"/>
              </w:rPr>
            </w:pPr>
            <w:r>
              <w:rPr>
                <w:rFonts w:ascii="Times New Roman" w:hAnsi="Times New Roman"/>
                <w:b w:val="false"/>
                <w:sz w:val="20"/>
              </w:rPr>
              <w:t>Net loss attributable to redeemable convertible</w:t>
              <w:br/>
              <w:t>   noncontrolling interests</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211"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c>
          <w:tcPr>
            <w:tcW w:w="736"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right"/>
              <w:rPr/>
            </w:pPr>
            <w:r>
              <w:rPr/>
              <w:t>—</w:t>
            </w:r>
          </w:p>
        </w:tc>
        <w:tc>
          <w:tcPr>
            <w:tcW w:w="166"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211"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c>
          <w:tcPr>
            <w:tcW w:w="736"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right"/>
              <w:rPr>
                <w:rFonts w:ascii="Times New Roman" w:hAnsi="Times New Roman"/>
                <w:b w:val="false"/>
                <w:sz w:val="20"/>
              </w:rPr>
            </w:pPr>
            <w:r>
              <w:rPr>
                <w:rFonts w:ascii="Times New Roman" w:hAnsi="Times New Roman"/>
                <w:b w:val="false"/>
                <w:sz w:val="20"/>
              </w:rPr>
              <w:t>(919</w:t>
            </w:r>
          </w:p>
        </w:tc>
        <w:tc>
          <w:tcPr>
            <w:tcW w:w="166"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rFonts w:ascii="Times New Roman" w:hAnsi="Times New Roman"/>
                <w:b w:val="false"/>
                <w:sz w:val="20"/>
              </w:rPr>
            </w:pPr>
            <w:r>
              <w:rPr>
                <w:rFonts w:ascii="Times New Roman" w:hAnsi="Times New Roman"/>
                <w:b w:val="false"/>
                <w:sz w:val="20"/>
              </w:rPr>
              <w:t>)</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211"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c>
          <w:tcPr>
            <w:tcW w:w="736"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right"/>
              <w:rPr>
                <w:rFonts w:ascii="Times New Roman" w:hAnsi="Times New Roman"/>
                <w:b w:val="false"/>
                <w:sz w:val="20"/>
              </w:rPr>
            </w:pPr>
            <w:r>
              <w:rPr>
                <w:rFonts w:ascii="Times New Roman" w:hAnsi="Times New Roman"/>
                <w:b w:val="false"/>
                <w:sz w:val="20"/>
              </w:rPr>
              <w:t>919</w:t>
            </w:r>
          </w:p>
        </w:tc>
        <w:tc>
          <w:tcPr>
            <w:tcW w:w="166"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871" w:type="dxa"/>
            <w:gridSpan w:val="2"/>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right"/>
              <w:rPr>
                <w:rFonts w:ascii="Times New Roman" w:hAnsi="Times New Roman"/>
                <w:b w:val="false"/>
                <w:sz w:val="20"/>
              </w:rPr>
            </w:pPr>
            <w:r>
              <w:rPr>
                <w:rFonts w:ascii="Times New Roman" w:hAnsi="Times New Roman"/>
                <w:b w:val="false"/>
                <w:sz w:val="20"/>
              </w:rPr>
              <w:t>*</w:t>
            </w:r>
          </w:p>
        </w:tc>
        <w:tc>
          <w:tcPr>
            <w:tcW w:w="716"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right"/>
              <w:rPr/>
            </w:pPr>
            <w:r>
              <w:rPr/>
              <w:t> </w:t>
            </w:r>
          </w:p>
        </w:tc>
      </w:tr>
      <w:tr>
        <w:trPr/>
        <w:tc>
          <w:tcPr>
            <w:tcW w:w="4576" w:type="dxa"/>
            <w:tcBorders/>
            <w:shd w:fill="auto" w:val="clear"/>
            <w:vAlign w:val="center"/>
          </w:tcPr>
          <w:p>
            <w:pPr>
              <w:pStyle w:val="TableContents"/>
              <w:spacing w:lineRule="auto" w:line="252" w:before="0" w:after="0"/>
              <w:ind w:left="0" w:right="0" w:hanging="0"/>
              <w:jc w:val="left"/>
              <w:rPr>
                <w:rFonts w:ascii="Times New Roman" w:hAnsi="Times New Roman"/>
                <w:b w:val="false"/>
                <w:sz w:val="20"/>
              </w:rPr>
            </w:pPr>
            <w:r>
              <w:rPr>
                <w:rFonts w:ascii="Times New Roman" w:hAnsi="Times New Roman"/>
                <w:b w:val="false"/>
                <w:sz w:val="20"/>
              </w:rPr>
              <w:t>Net loss attributable to common stockholders/members</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211" w:type="dxa"/>
            <w:tcBorders>
              <w:bottom w:val="double" w:sz="6"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rFonts w:ascii="Times New Roman" w:hAnsi="Times New Roman"/>
                <w:b w:val="false"/>
                <w:sz w:val="20"/>
              </w:rPr>
            </w:pPr>
            <w:r>
              <w:rPr>
                <w:rFonts w:ascii="Times New Roman" w:hAnsi="Times New Roman"/>
                <w:b w:val="false"/>
                <w:sz w:val="20"/>
              </w:rPr>
              <w:t>$</w:t>
            </w:r>
          </w:p>
        </w:tc>
        <w:tc>
          <w:tcPr>
            <w:tcW w:w="736" w:type="dxa"/>
            <w:tcBorders>
              <w:bottom w:val="double" w:sz="6" w:space="0" w:color="000000"/>
            </w:tcBorders>
            <w:shd w:fill="auto" w:val="clear"/>
            <w:tcMar>
              <w:top w:w="0" w:type="dxa"/>
              <w:left w:w="0" w:type="dxa"/>
              <w:right w:w="0" w:type="dxa"/>
            </w:tcMar>
            <w:vAlign w:val="center"/>
          </w:tcPr>
          <w:p>
            <w:pPr>
              <w:pStyle w:val="TableContents"/>
              <w:spacing w:lineRule="auto" w:line="252" w:before="0" w:after="0"/>
              <w:ind w:left="0" w:right="0" w:hanging="0"/>
              <w:jc w:val="right"/>
              <w:rPr>
                <w:rFonts w:ascii="Times New Roman" w:hAnsi="Times New Roman"/>
                <w:b w:val="false"/>
                <w:sz w:val="20"/>
              </w:rPr>
            </w:pPr>
            <w:r>
              <w:rPr>
                <w:rFonts w:ascii="Times New Roman" w:hAnsi="Times New Roman"/>
                <w:b w:val="false"/>
                <w:sz w:val="20"/>
              </w:rPr>
              <w:t>(27,747</w:t>
            </w:r>
          </w:p>
        </w:tc>
        <w:tc>
          <w:tcPr>
            <w:tcW w:w="166" w:type="dxa"/>
            <w:tcBorders>
              <w:bottom w:val="double" w:sz="6"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rFonts w:ascii="Times New Roman" w:hAnsi="Times New Roman"/>
                <w:b w:val="false"/>
                <w:sz w:val="20"/>
              </w:rPr>
            </w:pPr>
            <w:r>
              <w:rPr>
                <w:rFonts w:ascii="Times New Roman" w:hAnsi="Times New Roman"/>
                <w:b w:val="false"/>
                <w:sz w:val="20"/>
              </w:rPr>
              <w:t>)</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211" w:type="dxa"/>
            <w:tcBorders>
              <w:bottom w:val="double" w:sz="6"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rFonts w:ascii="Times New Roman" w:hAnsi="Times New Roman"/>
                <w:b w:val="false"/>
                <w:sz w:val="20"/>
              </w:rPr>
            </w:pPr>
            <w:r>
              <w:rPr>
                <w:rFonts w:ascii="Times New Roman" w:hAnsi="Times New Roman"/>
                <w:b w:val="false"/>
                <w:sz w:val="20"/>
              </w:rPr>
              <w:t>$</w:t>
            </w:r>
          </w:p>
        </w:tc>
        <w:tc>
          <w:tcPr>
            <w:tcW w:w="736" w:type="dxa"/>
            <w:tcBorders>
              <w:bottom w:val="double" w:sz="6" w:space="0" w:color="000000"/>
            </w:tcBorders>
            <w:shd w:fill="auto" w:val="clear"/>
            <w:tcMar>
              <w:top w:w="0" w:type="dxa"/>
              <w:left w:w="0" w:type="dxa"/>
              <w:right w:w="0" w:type="dxa"/>
            </w:tcMar>
            <w:vAlign w:val="center"/>
          </w:tcPr>
          <w:p>
            <w:pPr>
              <w:pStyle w:val="TableContents"/>
              <w:spacing w:lineRule="auto" w:line="252" w:before="0" w:after="0"/>
              <w:ind w:left="0" w:right="0" w:hanging="0"/>
              <w:jc w:val="right"/>
              <w:rPr>
                <w:rFonts w:ascii="Times New Roman" w:hAnsi="Times New Roman"/>
                <w:b w:val="false"/>
                <w:sz w:val="20"/>
              </w:rPr>
            </w:pPr>
            <w:r>
              <w:rPr>
                <w:rFonts w:ascii="Times New Roman" w:hAnsi="Times New Roman"/>
                <w:b w:val="false"/>
                <w:sz w:val="20"/>
              </w:rPr>
              <w:t>(15,182</w:t>
            </w:r>
          </w:p>
        </w:tc>
        <w:tc>
          <w:tcPr>
            <w:tcW w:w="166" w:type="dxa"/>
            <w:tcBorders>
              <w:bottom w:val="double" w:sz="6"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rFonts w:ascii="Times New Roman" w:hAnsi="Times New Roman"/>
                <w:b w:val="false"/>
                <w:sz w:val="20"/>
              </w:rPr>
            </w:pPr>
            <w:r>
              <w:rPr>
                <w:rFonts w:ascii="Times New Roman" w:hAnsi="Times New Roman"/>
                <w:b w:val="false"/>
                <w:sz w:val="20"/>
              </w:rPr>
              <w:t>)</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211" w:type="dxa"/>
            <w:tcBorders>
              <w:bottom w:val="double" w:sz="6"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rFonts w:ascii="Times New Roman" w:hAnsi="Times New Roman"/>
                <w:b w:val="false"/>
                <w:sz w:val="20"/>
              </w:rPr>
            </w:pPr>
            <w:r>
              <w:rPr>
                <w:rFonts w:ascii="Times New Roman" w:hAnsi="Times New Roman"/>
                <w:b w:val="false"/>
                <w:sz w:val="20"/>
              </w:rPr>
              <w:t>$</w:t>
            </w:r>
          </w:p>
        </w:tc>
        <w:tc>
          <w:tcPr>
            <w:tcW w:w="736" w:type="dxa"/>
            <w:tcBorders>
              <w:bottom w:val="double" w:sz="6" w:space="0" w:color="000000"/>
            </w:tcBorders>
            <w:shd w:fill="auto" w:val="clear"/>
            <w:tcMar>
              <w:top w:w="0" w:type="dxa"/>
              <w:left w:w="0" w:type="dxa"/>
              <w:right w:w="0" w:type="dxa"/>
            </w:tcMar>
            <w:vAlign w:val="center"/>
          </w:tcPr>
          <w:p>
            <w:pPr>
              <w:pStyle w:val="TableContents"/>
              <w:spacing w:lineRule="auto" w:line="252" w:before="0" w:after="0"/>
              <w:ind w:left="0" w:right="0" w:hanging="0"/>
              <w:jc w:val="right"/>
              <w:rPr>
                <w:rFonts w:ascii="Times New Roman" w:hAnsi="Times New Roman"/>
                <w:b w:val="false"/>
                <w:sz w:val="20"/>
              </w:rPr>
            </w:pPr>
            <w:r>
              <w:rPr>
                <w:rFonts w:ascii="Times New Roman" w:hAnsi="Times New Roman"/>
                <w:b w:val="false"/>
                <w:sz w:val="20"/>
              </w:rPr>
              <w:t>(12,565</w:t>
            </w:r>
          </w:p>
        </w:tc>
        <w:tc>
          <w:tcPr>
            <w:tcW w:w="166" w:type="dxa"/>
            <w:tcBorders>
              <w:bottom w:val="double" w:sz="6"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rFonts w:ascii="Times New Roman" w:hAnsi="Times New Roman"/>
                <w:b w:val="false"/>
                <w:sz w:val="20"/>
              </w:rPr>
            </w:pPr>
            <w:r>
              <w:rPr>
                <w:rFonts w:ascii="Times New Roman" w:hAnsi="Times New Roman"/>
                <w:b w:val="false"/>
                <w:sz w:val="20"/>
              </w:rPr>
              <w:t>)</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63" w:type="dxa"/>
            <w:tcBorders>
              <w:bottom w:val="double" w:sz="6"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c>
          <w:tcPr>
            <w:tcW w:w="708" w:type="dxa"/>
            <w:tcBorders>
              <w:bottom w:val="double" w:sz="6" w:space="0" w:color="000000"/>
            </w:tcBorders>
            <w:shd w:fill="auto" w:val="clear"/>
            <w:tcMar>
              <w:top w:w="0" w:type="dxa"/>
              <w:left w:w="0" w:type="dxa"/>
              <w:right w:w="0" w:type="dxa"/>
            </w:tcMar>
            <w:vAlign w:val="center"/>
          </w:tcPr>
          <w:p>
            <w:pPr>
              <w:pStyle w:val="TableContents"/>
              <w:spacing w:lineRule="auto" w:line="252" w:before="0" w:after="0"/>
              <w:ind w:left="0" w:right="0" w:hanging="0"/>
              <w:jc w:val="right"/>
              <w:rPr>
                <w:rFonts w:ascii="Times New Roman" w:hAnsi="Times New Roman"/>
                <w:b w:val="false"/>
                <w:sz w:val="20"/>
              </w:rPr>
            </w:pPr>
            <w:r>
              <w:rPr>
                <w:rFonts w:ascii="Times New Roman" w:hAnsi="Times New Roman"/>
                <w:b w:val="false"/>
                <w:sz w:val="20"/>
              </w:rPr>
              <w:t>82.8</w:t>
            </w:r>
          </w:p>
        </w:tc>
        <w:tc>
          <w:tcPr>
            <w:tcW w:w="716" w:type="dxa"/>
            <w:tcBorders>
              <w:bottom w:val="double" w:sz="6"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rFonts w:ascii="Times New Roman" w:hAnsi="Times New Roman"/>
                <w:b w:val="false"/>
                <w:sz w:val="20"/>
              </w:rPr>
            </w:pPr>
            <w:r>
              <w:rPr>
                <w:rFonts w:ascii="Times New Roman" w:hAnsi="Times New Roman"/>
                <w:b w:val="false"/>
                <w:sz w:val="20"/>
              </w:rPr>
              <w:t>%</w:t>
            </w:r>
          </w:p>
        </w:tc>
      </w:tr>
    </w:tbl>
    <w:p>
      <w:pPr>
        <w:pStyle w:val="TextBody"/>
        <w:spacing w:lineRule="auto" w:line="273" w:before="0" w:after="0"/>
        <w:jc w:val="left"/>
        <w:rPr/>
      </w:pPr>
      <w:r>
        <w:rPr/>
        <w:t> </w:t>
      </w:r>
    </w:p>
    <w:p>
      <w:pPr>
        <w:pStyle w:val="TextBody"/>
        <w:spacing w:lineRule="auto" w:line="273" w:before="120" w:after="0"/>
        <w:jc w:val="left"/>
        <w:rPr>
          <w:rFonts w:ascii="Times New Roman" w:hAnsi="Times New Roman"/>
          <w:sz w:val="20"/>
        </w:rPr>
      </w:pPr>
      <w:r>
        <w:rPr>
          <w:rFonts w:ascii="Times New Roman" w:hAnsi="Times New Roman"/>
          <w:b w:val="false"/>
          <w:i/>
          <w:sz w:val="20"/>
        </w:rPr>
        <w:t>Research and development expenses</w:t>
      </w:r>
      <w:r>
        <w:rPr>
          <w:rFonts w:ascii="Times New Roman" w:hAnsi="Times New Roman"/>
          <w:sz w:val="20"/>
        </w:rPr>
        <w:t xml:space="preserve"> </w:t>
      </w:r>
    </w:p>
    <w:p>
      <w:pPr>
        <w:pStyle w:val="TextBody"/>
        <w:spacing w:lineRule="auto" w:line="273" w:before="120" w:after="0"/>
        <w:jc w:val="left"/>
        <w:rPr>
          <w:rFonts w:ascii="Times New Roman" w:hAnsi="Times New Roman"/>
          <w:b w:val="false"/>
          <w:sz w:val="20"/>
        </w:rPr>
      </w:pPr>
      <w:r>
        <w:rPr>
          <w:rFonts w:ascii="Times New Roman" w:hAnsi="Times New Roman"/>
          <w:b w:val="false"/>
          <w:sz w:val="20"/>
        </w:rPr>
        <w:t>Research and development expenses for the three months ended March 31, 2022 were $15.0 million, compared to $12.6 million for the three months ended March 31, 2021. We recorded $8.0 million related to the MRKDG License Agreement in February 2021. In the three months ended March 31, 2022 as compared to March 31, 2021, third-party expenses increased by $5.3 million, due primarily to an increase in clinical trial, manufacturing, and other product development expenses and personnel related expenses increased by $5.1 million resulting from additional headcount and stock-based compensation.</w:t>
      </w:r>
    </w:p>
    <w:p>
      <w:pPr>
        <w:pStyle w:val="TextBody"/>
        <w:spacing w:lineRule="auto" w:line="273" w:before="120" w:after="0"/>
        <w:jc w:val="left"/>
        <w:rPr>
          <w:rFonts w:ascii="Times New Roman" w:hAnsi="Times New Roman"/>
          <w:sz w:val="20"/>
        </w:rPr>
      </w:pPr>
      <w:r>
        <w:rPr>
          <w:rFonts w:ascii="Times New Roman" w:hAnsi="Times New Roman"/>
          <w:b w:val="false"/>
          <w:sz w:val="20"/>
        </w:rPr>
        <w:t>The following table summarizes our external and internal research and development expenses for the three months ended March 31, 2022 and 2021:</w:t>
      </w:r>
      <w:r>
        <w:rPr>
          <w:rFonts w:ascii="Times New Roman" w:hAnsi="Times New Roman"/>
          <w:sz w:val="20"/>
        </w:rPr>
        <w:t xml:space="preserve"> </w:t>
      </w:r>
    </w:p>
    <w:p>
      <w:pPr>
        <w:pStyle w:val="TextBody"/>
        <w:spacing w:lineRule="auto" w:line="273" w:before="0" w:after="0"/>
        <w:jc w:val="left"/>
        <w:rPr/>
      </w:pPr>
      <w:r>
        <w:rPr/>
        <w:t> </w:t>
      </w:r>
    </w:p>
    <w:tbl>
      <w:tblPr>
        <w:tblW w:w="9199" w:type="dxa"/>
        <w:jc w:val="left"/>
        <w:tblInd w:w="0" w:type="dxa"/>
        <w:tblCellMar>
          <w:top w:w="28" w:type="dxa"/>
          <w:left w:w="28" w:type="dxa"/>
          <w:bottom w:w="28" w:type="dxa"/>
          <w:right w:w="28" w:type="dxa"/>
        </w:tblCellMar>
      </w:tblPr>
      <w:tblGrid>
        <w:gridCol w:w="6796"/>
        <w:gridCol w:w="146"/>
        <w:gridCol w:w="211"/>
        <w:gridCol w:w="676"/>
        <w:gridCol w:w="146"/>
        <w:gridCol w:w="146"/>
        <w:gridCol w:w="211"/>
        <w:gridCol w:w="676"/>
        <w:gridCol w:w="191"/>
      </w:tblGrid>
      <w:tr>
        <w:trPr/>
        <w:tc>
          <w:tcPr>
            <w:tcW w:w="679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67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676" w:type="dxa"/>
            <w:tcBorders/>
            <w:shd w:fill="auto" w:val="clear"/>
            <w:vAlign w:val="center"/>
          </w:tcPr>
          <w:p>
            <w:pPr>
              <w:pStyle w:val="TableContents"/>
              <w:spacing w:before="0" w:after="283"/>
              <w:rPr>
                <w:sz w:val="4"/>
                <w:szCs w:val="4"/>
              </w:rPr>
            </w:pPr>
            <w:r>
              <w:rPr>
                <w:sz w:val="4"/>
                <w:szCs w:val="4"/>
              </w:rPr>
            </w:r>
          </w:p>
        </w:tc>
        <w:tc>
          <w:tcPr>
            <w:tcW w:w="191" w:type="dxa"/>
            <w:tcBorders/>
            <w:shd w:fill="auto" w:val="clear"/>
            <w:vAlign w:val="center"/>
          </w:tcPr>
          <w:p>
            <w:pPr>
              <w:pStyle w:val="TableContents"/>
              <w:spacing w:before="0" w:after="283"/>
              <w:rPr>
                <w:sz w:val="4"/>
                <w:szCs w:val="4"/>
              </w:rPr>
            </w:pPr>
            <w:r>
              <w:rPr>
                <w:sz w:val="4"/>
                <w:szCs w:val="4"/>
              </w:rPr>
            </w:r>
          </w:p>
        </w:tc>
      </w:tr>
      <w:tr>
        <w:trPr/>
        <w:tc>
          <w:tcPr>
            <w:tcW w:w="6796" w:type="dxa"/>
            <w:tcBorders/>
            <w:shd w:fill="auto" w:val="cle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2066" w:type="dxa"/>
            <w:gridSpan w:val="6"/>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center"/>
              <w:rPr>
                <w:rFonts w:ascii="Times New Roman" w:hAnsi="Times New Roman"/>
                <w:b/>
                <w:sz w:val="16"/>
              </w:rPr>
            </w:pPr>
            <w:r>
              <w:rPr>
                <w:rFonts w:ascii="Times New Roman" w:hAnsi="Times New Roman"/>
                <w:b/>
                <w:sz w:val="16"/>
              </w:rPr>
              <w:t>Three Months Ended</w:t>
              <w:br/>
              <w:t>March 31,</w:t>
            </w:r>
          </w:p>
        </w:tc>
        <w:tc>
          <w:tcPr>
            <w:tcW w:w="191"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center"/>
              <w:rPr/>
            </w:pPr>
            <w:r>
              <w:rPr/>
              <w:t> </w:t>
            </w:r>
          </w:p>
        </w:tc>
      </w:tr>
      <w:tr>
        <w:trPr/>
        <w:tc>
          <w:tcPr>
            <w:tcW w:w="6796" w:type="dxa"/>
            <w:tcBorders/>
            <w:shd w:fill="auto" w:val="cle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887" w:type="dxa"/>
            <w:gridSpan w:val="2"/>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center"/>
              <w:rPr>
                <w:rFonts w:ascii="Times New Roman" w:hAnsi="Times New Roman"/>
                <w:b/>
                <w:sz w:val="16"/>
              </w:rPr>
            </w:pPr>
            <w:r>
              <w:rPr>
                <w:rFonts w:ascii="Times New Roman" w:hAnsi="Times New Roman"/>
                <w:b/>
                <w:sz w:val="16"/>
              </w:rPr>
              <w:t>2022</w:t>
            </w:r>
          </w:p>
        </w:tc>
        <w:tc>
          <w:tcPr>
            <w:tcW w:w="146"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center"/>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887" w:type="dxa"/>
            <w:gridSpan w:val="2"/>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center"/>
              <w:rPr>
                <w:rFonts w:ascii="Times New Roman" w:hAnsi="Times New Roman"/>
                <w:b/>
                <w:sz w:val="16"/>
              </w:rPr>
            </w:pPr>
            <w:r>
              <w:rPr>
                <w:rFonts w:ascii="Times New Roman" w:hAnsi="Times New Roman"/>
                <w:b/>
                <w:sz w:val="16"/>
              </w:rPr>
              <w:t>2021</w:t>
            </w:r>
          </w:p>
        </w:tc>
        <w:tc>
          <w:tcPr>
            <w:tcW w:w="191"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center"/>
              <w:rPr/>
            </w:pPr>
            <w:r>
              <w:rPr/>
              <w:t> </w:t>
            </w:r>
          </w:p>
        </w:tc>
      </w:tr>
      <w:tr>
        <w:trPr/>
        <w:tc>
          <w:tcPr>
            <w:tcW w:w="6796" w:type="dxa"/>
            <w:tcBorders/>
            <w:shd w:fill="auto" w:val="cle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2066" w:type="dxa"/>
            <w:gridSpan w:val="6"/>
            <w:tcBorders/>
            <w:shd w:fill="auto" w:val="clear"/>
            <w:vAlign w:val="center"/>
          </w:tcPr>
          <w:p>
            <w:pPr>
              <w:pStyle w:val="TableContents"/>
              <w:spacing w:lineRule="auto" w:line="252" w:before="0" w:after="0"/>
              <w:ind w:left="0" w:right="0" w:hanging="0"/>
              <w:jc w:val="center"/>
              <w:rPr>
                <w:rFonts w:ascii="Times New Roman" w:hAnsi="Times New Roman"/>
                <w:b/>
                <w:sz w:val="16"/>
              </w:rPr>
            </w:pPr>
            <w:r>
              <w:rPr>
                <w:rFonts w:ascii="Times New Roman" w:hAnsi="Times New Roman"/>
                <w:b/>
                <w:sz w:val="16"/>
              </w:rPr>
              <w:t>(in thousands)</w:t>
            </w:r>
          </w:p>
        </w:tc>
        <w:tc>
          <w:tcPr>
            <w:tcW w:w="191" w:type="dxa"/>
            <w:tcBorders/>
            <w:shd w:fill="auto" w:val="clear"/>
            <w:vAlign w:val="center"/>
          </w:tcPr>
          <w:p>
            <w:pPr>
              <w:pStyle w:val="TableContents"/>
              <w:spacing w:lineRule="auto" w:line="252" w:before="0" w:after="0"/>
              <w:ind w:left="0" w:right="0" w:hanging="0"/>
              <w:jc w:val="center"/>
              <w:rPr/>
            </w:pPr>
            <w:r>
              <w:rPr/>
              <w:t> </w:t>
            </w:r>
          </w:p>
        </w:tc>
      </w:tr>
      <w:tr>
        <w:trPr/>
        <w:tc>
          <w:tcPr>
            <w:tcW w:w="6796" w:type="dxa"/>
            <w:tcBorders/>
            <w:shd w:fill="auto" w:val="clear"/>
            <w:vAlign w:val="center"/>
          </w:tcPr>
          <w:p>
            <w:pPr>
              <w:pStyle w:val="TableContents"/>
              <w:spacing w:lineRule="auto" w:line="252" w:before="0" w:after="0"/>
              <w:ind w:left="0" w:right="0" w:hanging="0"/>
              <w:jc w:val="left"/>
              <w:rPr>
                <w:rFonts w:ascii="Times New Roman" w:hAnsi="Times New Roman"/>
                <w:b/>
                <w:sz w:val="20"/>
              </w:rPr>
            </w:pPr>
            <w:r>
              <w:rPr>
                <w:rFonts w:ascii="Times New Roman" w:hAnsi="Times New Roman"/>
                <w:b/>
                <w:sz w:val="20"/>
              </w:rPr>
              <w:t>External costs:</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887" w:type="dxa"/>
            <w:gridSpan w:val="2"/>
            <w:tcBorders/>
            <w:shd w:fill="auto" w:val="clear"/>
            <w:vAlign w:val="center"/>
          </w:tcPr>
          <w:p>
            <w:pPr>
              <w:pStyle w:val="TableContents"/>
              <w:spacing w:lineRule="auto" w:line="252" w:before="0" w:after="0"/>
              <w:ind w:left="0" w:right="0" w:hanging="0"/>
              <w:jc w:val="right"/>
              <w:rPr/>
            </w:pPr>
            <w:r>
              <w:rPr/>
              <w:t> </w:t>
            </w:r>
          </w:p>
        </w:tc>
        <w:tc>
          <w:tcPr>
            <w:tcW w:w="146" w:type="dxa"/>
            <w:tcBorders/>
            <w:shd w:fill="auto" w:val="clear"/>
            <w:vAlign w:val="center"/>
          </w:tcPr>
          <w:p>
            <w:pPr>
              <w:pStyle w:val="TableContents"/>
              <w:spacing w:lineRule="auto" w:line="252" w:before="0" w:after="0"/>
              <w:ind w:left="0" w:right="0" w:hanging="0"/>
              <w:jc w:val="righ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887" w:type="dxa"/>
            <w:gridSpan w:val="2"/>
            <w:tcBorders/>
            <w:shd w:fill="auto" w:val="clear"/>
            <w:vAlign w:val="center"/>
          </w:tcPr>
          <w:p>
            <w:pPr>
              <w:pStyle w:val="TableContents"/>
              <w:spacing w:lineRule="auto" w:line="252" w:before="0" w:after="0"/>
              <w:ind w:left="0" w:right="0" w:hanging="0"/>
              <w:jc w:val="right"/>
              <w:rPr/>
            </w:pPr>
            <w:r>
              <w:rPr/>
              <w:t> </w:t>
            </w:r>
          </w:p>
        </w:tc>
        <w:tc>
          <w:tcPr>
            <w:tcW w:w="191" w:type="dxa"/>
            <w:tcBorders/>
            <w:shd w:fill="auto" w:val="clear"/>
            <w:vAlign w:val="center"/>
          </w:tcPr>
          <w:p>
            <w:pPr>
              <w:pStyle w:val="TableContents"/>
              <w:spacing w:lineRule="auto" w:line="252" w:before="0" w:after="0"/>
              <w:ind w:left="0" w:right="0" w:hanging="0"/>
              <w:jc w:val="right"/>
              <w:rPr/>
            </w:pPr>
            <w:r>
              <w:rPr/>
              <w:t> </w:t>
            </w:r>
          </w:p>
        </w:tc>
      </w:tr>
      <w:tr>
        <w:trPr/>
        <w:tc>
          <w:tcPr>
            <w:tcW w:w="6796" w:type="dxa"/>
            <w:tcBorders/>
            <w:shd w:fill="auto" w:val="clear"/>
            <w:vAlign w:val="center"/>
          </w:tcPr>
          <w:p>
            <w:pPr>
              <w:pStyle w:val="TableContents"/>
              <w:spacing w:lineRule="auto" w:line="252" w:before="0" w:after="0"/>
              <w:ind w:left="0" w:right="0" w:hanging="0"/>
              <w:jc w:val="left"/>
              <w:rPr>
                <w:rFonts w:ascii="Times New Roman" w:hAnsi="Times New Roman"/>
                <w:b w:val="false"/>
                <w:sz w:val="20"/>
              </w:rPr>
            </w:pPr>
            <w:r>
              <w:rPr>
                <w:rFonts w:ascii="Times New Roman" w:hAnsi="Times New Roman"/>
                <w:b w:val="false"/>
                <w:sz w:val="20"/>
              </w:rPr>
              <w:t>Third-party CRO, CMO and other third-party clinical trial costs (1)</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211" w:type="dxa"/>
            <w:tcBorders/>
            <w:shd w:fill="auto" w:val="clear"/>
            <w:vAlign w:val="center"/>
          </w:tcPr>
          <w:p>
            <w:pPr>
              <w:pStyle w:val="TableContents"/>
              <w:spacing w:lineRule="auto" w:line="252" w:before="0" w:after="0"/>
              <w:ind w:left="0" w:right="0" w:hanging="0"/>
              <w:jc w:val="left"/>
              <w:rPr>
                <w:rFonts w:ascii="Times New Roman" w:hAnsi="Times New Roman"/>
                <w:b w:val="false"/>
                <w:sz w:val="20"/>
              </w:rPr>
            </w:pPr>
            <w:r>
              <w:rPr>
                <w:rFonts w:ascii="Times New Roman" w:hAnsi="Times New Roman"/>
                <w:b w:val="false"/>
                <w:sz w:val="20"/>
              </w:rPr>
              <w:t>$</w:t>
            </w:r>
          </w:p>
        </w:tc>
        <w:tc>
          <w:tcPr>
            <w:tcW w:w="676" w:type="dxa"/>
            <w:tcBorders/>
            <w:shd w:fill="auto" w:val="clear"/>
            <w:vAlign w:val="center"/>
          </w:tcPr>
          <w:p>
            <w:pPr>
              <w:pStyle w:val="TableContents"/>
              <w:spacing w:lineRule="auto" w:line="252" w:before="0" w:after="0"/>
              <w:ind w:left="0" w:right="0" w:hanging="0"/>
              <w:jc w:val="right"/>
              <w:rPr>
                <w:rFonts w:ascii="Times New Roman" w:hAnsi="Times New Roman"/>
                <w:b w:val="false"/>
                <w:sz w:val="20"/>
              </w:rPr>
            </w:pPr>
            <w:r>
              <w:rPr>
                <w:rFonts w:ascii="Times New Roman" w:hAnsi="Times New Roman"/>
                <w:b w:val="false"/>
                <w:sz w:val="20"/>
              </w:rPr>
              <w:t>8,245</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211" w:type="dxa"/>
            <w:tcBorders/>
            <w:shd w:fill="auto" w:val="clear"/>
            <w:vAlign w:val="center"/>
          </w:tcPr>
          <w:p>
            <w:pPr>
              <w:pStyle w:val="TableContents"/>
              <w:spacing w:lineRule="auto" w:line="252" w:before="0" w:after="0"/>
              <w:ind w:left="0" w:right="0" w:hanging="0"/>
              <w:jc w:val="left"/>
              <w:rPr>
                <w:rFonts w:ascii="Times New Roman" w:hAnsi="Times New Roman"/>
                <w:b w:val="false"/>
                <w:sz w:val="20"/>
              </w:rPr>
            </w:pPr>
            <w:r>
              <w:rPr>
                <w:rFonts w:ascii="Times New Roman" w:hAnsi="Times New Roman"/>
                <w:b w:val="false"/>
                <w:sz w:val="20"/>
              </w:rPr>
              <w:t>$</w:t>
            </w:r>
          </w:p>
        </w:tc>
        <w:tc>
          <w:tcPr>
            <w:tcW w:w="676" w:type="dxa"/>
            <w:tcBorders/>
            <w:shd w:fill="auto" w:val="clear"/>
            <w:vAlign w:val="center"/>
          </w:tcPr>
          <w:p>
            <w:pPr>
              <w:pStyle w:val="TableContents"/>
              <w:spacing w:lineRule="auto" w:line="252" w:before="0" w:after="0"/>
              <w:ind w:left="0" w:right="0" w:hanging="0"/>
              <w:jc w:val="right"/>
              <w:rPr>
                <w:rFonts w:ascii="Times New Roman" w:hAnsi="Times New Roman"/>
                <w:b w:val="false"/>
                <w:sz w:val="20"/>
              </w:rPr>
            </w:pPr>
            <w:r>
              <w:rPr>
                <w:rFonts w:ascii="Times New Roman" w:hAnsi="Times New Roman"/>
                <w:b w:val="false"/>
                <w:sz w:val="20"/>
              </w:rPr>
              <w:t>3,434</w:t>
            </w:r>
          </w:p>
        </w:tc>
        <w:tc>
          <w:tcPr>
            <w:tcW w:w="191" w:type="dxa"/>
            <w:tcBorders/>
            <w:shd w:fill="auto" w:val="clear"/>
            <w:vAlign w:val="center"/>
          </w:tcPr>
          <w:p>
            <w:pPr>
              <w:pStyle w:val="TableContents"/>
              <w:spacing w:lineRule="auto" w:line="252" w:before="0" w:after="0"/>
              <w:ind w:left="0" w:right="0" w:hanging="0"/>
              <w:jc w:val="left"/>
              <w:rPr/>
            </w:pPr>
            <w:r>
              <w:rPr/>
              <w:t> </w:t>
            </w:r>
          </w:p>
        </w:tc>
      </w:tr>
      <w:tr>
        <w:trPr/>
        <w:tc>
          <w:tcPr>
            <w:tcW w:w="6796" w:type="dxa"/>
            <w:tcBorders/>
            <w:shd w:fill="auto" w:val="clear"/>
            <w:vAlign w:val="center"/>
          </w:tcPr>
          <w:p>
            <w:pPr>
              <w:pStyle w:val="TableContents"/>
              <w:spacing w:lineRule="auto" w:line="252" w:before="0" w:after="0"/>
              <w:ind w:left="0" w:right="0" w:hanging="0"/>
              <w:jc w:val="left"/>
              <w:rPr>
                <w:rFonts w:ascii="Times New Roman" w:hAnsi="Times New Roman"/>
                <w:b w:val="false"/>
                <w:sz w:val="20"/>
              </w:rPr>
            </w:pPr>
            <w:r>
              <w:rPr>
                <w:rFonts w:ascii="Times New Roman" w:hAnsi="Times New Roman"/>
                <w:b w:val="false"/>
                <w:sz w:val="20"/>
              </w:rPr>
              <w:t>Acquired technology and intellectual property license costs</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211" w:type="dxa"/>
            <w:tcBorders/>
            <w:shd w:fill="auto" w:val="clear"/>
            <w:vAlign w:val="center"/>
          </w:tcPr>
          <w:p>
            <w:pPr>
              <w:pStyle w:val="TableContents"/>
              <w:spacing w:lineRule="auto" w:line="252" w:before="0" w:after="0"/>
              <w:ind w:left="0" w:right="0" w:hanging="0"/>
              <w:jc w:val="left"/>
              <w:rPr/>
            </w:pPr>
            <w:r>
              <w:rPr/>
              <w:t> </w:t>
            </w:r>
          </w:p>
        </w:tc>
        <w:tc>
          <w:tcPr>
            <w:tcW w:w="676" w:type="dxa"/>
            <w:tcBorders/>
            <w:shd w:fill="auto" w:val="clear"/>
            <w:vAlign w:val="center"/>
          </w:tcPr>
          <w:p>
            <w:pPr>
              <w:pStyle w:val="TableContents"/>
              <w:spacing w:lineRule="auto" w:line="252" w:before="0" w:after="0"/>
              <w:ind w:left="0" w:right="0" w:hanging="0"/>
              <w:jc w:val="right"/>
              <w:rPr/>
            </w:pPr>
            <w:r>
              <w:rPr/>
              <w:t>—</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211" w:type="dxa"/>
            <w:tcBorders/>
            <w:shd w:fill="auto" w:val="clear"/>
            <w:vAlign w:val="center"/>
          </w:tcPr>
          <w:p>
            <w:pPr>
              <w:pStyle w:val="TableContents"/>
              <w:spacing w:lineRule="auto" w:line="252" w:before="0" w:after="0"/>
              <w:ind w:left="0" w:right="0" w:hanging="0"/>
              <w:jc w:val="left"/>
              <w:rPr/>
            </w:pPr>
            <w:r>
              <w:rPr/>
              <w:t> </w:t>
            </w:r>
          </w:p>
        </w:tc>
        <w:tc>
          <w:tcPr>
            <w:tcW w:w="676" w:type="dxa"/>
            <w:tcBorders/>
            <w:shd w:fill="auto" w:val="clear"/>
            <w:vAlign w:val="center"/>
          </w:tcPr>
          <w:p>
            <w:pPr>
              <w:pStyle w:val="TableContents"/>
              <w:spacing w:lineRule="auto" w:line="252" w:before="0" w:after="0"/>
              <w:ind w:left="0" w:right="0" w:hanging="0"/>
              <w:jc w:val="right"/>
              <w:rPr>
                <w:rFonts w:ascii="Times New Roman" w:hAnsi="Times New Roman"/>
                <w:b w:val="false"/>
                <w:sz w:val="20"/>
              </w:rPr>
            </w:pPr>
            <w:r>
              <w:rPr>
                <w:rFonts w:ascii="Times New Roman" w:hAnsi="Times New Roman"/>
                <w:b w:val="false"/>
                <w:sz w:val="20"/>
              </w:rPr>
              <w:t>8,000</w:t>
            </w:r>
          </w:p>
        </w:tc>
        <w:tc>
          <w:tcPr>
            <w:tcW w:w="191" w:type="dxa"/>
            <w:tcBorders/>
            <w:shd w:fill="auto" w:val="clear"/>
            <w:vAlign w:val="center"/>
          </w:tcPr>
          <w:p>
            <w:pPr>
              <w:pStyle w:val="TableContents"/>
              <w:spacing w:lineRule="auto" w:line="252" w:before="0" w:after="0"/>
              <w:ind w:left="0" w:right="0" w:hanging="0"/>
              <w:jc w:val="left"/>
              <w:rPr/>
            </w:pPr>
            <w:r>
              <w:rPr/>
              <w:t> </w:t>
            </w:r>
          </w:p>
        </w:tc>
      </w:tr>
      <w:tr>
        <w:trPr/>
        <w:tc>
          <w:tcPr>
            <w:tcW w:w="6796" w:type="dxa"/>
            <w:tcBorders/>
            <w:shd w:fill="auto" w:val="clear"/>
            <w:vAlign w:val="center"/>
          </w:tcPr>
          <w:p>
            <w:pPr>
              <w:pStyle w:val="TableContents"/>
              <w:spacing w:lineRule="auto" w:line="252" w:before="0" w:after="0"/>
              <w:ind w:left="0" w:right="0" w:hanging="0"/>
              <w:jc w:val="left"/>
              <w:rPr>
                <w:rFonts w:ascii="Times New Roman" w:hAnsi="Times New Roman"/>
                <w:b w:val="false"/>
                <w:sz w:val="20"/>
              </w:rPr>
            </w:pPr>
            <w:r>
              <w:rPr>
                <w:rFonts w:ascii="Times New Roman" w:hAnsi="Times New Roman"/>
                <w:b w:val="false"/>
                <w:sz w:val="20"/>
              </w:rPr>
              <w:t>Other research and development costs, including laboratory materials and supplies</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211" w:type="dxa"/>
            <w:tcBorders/>
            <w:shd w:fill="auto" w:val="clear"/>
            <w:vAlign w:val="center"/>
          </w:tcPr>
          <w:p>
            <w:pPr>
              <w:pStyle w:val="TableContents"/>
              <w:spacing w:lineRule="auto" w:line="252" w:before="0" w:after="0"/>
              <w:ind w:left="0" w:right="0" w:hanging="0"/>
              <w:jc w:val="left"/>
              <w:rPr/>
            </w:pPr>
            <w:r>
              <w:rPr/>
              <w:t> </w:t>
            </w:r>
          </w:p>
        </w:tc>
        <w:tc>
          <w:tcPr>
            <w:tcW w:w="676" w:type="dxa"/>
            <w:tcBorders/>
            <w:shd w:fill="auto" w:val="clear"/>
            <w:vAlign w:val="center"/>
          </w:tcPr>
          <w:p>
            <w:pPr>
              <w:pStyle w:val="TableContents"/>
              <w:spacing w:lineRule="auto" w:line="252" w:before="0" w:after="0"/>
              <w:ind w:left="0" w:right="0" w:hanging="0"/>
              <w:jc w:val="right"/>
              <w:rPr>
                <w:rFonts w:ascii="Times New Roman" w:hAnsi="Times New Roman"/>
                <w:b w:val="false"/>
                <w:sz w:val="20"/>
              </w:rPr>
            </w:pPr>
            <w:r>
              <w:rPr>
                <w:rFonts w:ascii="Times New Roman" w:hAnsi="Times New Roman"/>
                <w:b w:val="false"/>
                <w:sz w:val="20"/>
              </w:rPr>
              <w:t>590</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211" w:type="dxa"/>
            <w:tcBorders/>
            <w:shd w:fill="auto" w:val="clear"/>
            <w:vAlign w:val="center"/>
          </w:tcPr>
          <w:p>
            <w:pPr>
              <w:pStyle w:val="TableContents"/>
              <w:spacing w:lineRule="auto" w:line="252" w:before="0" w:after="0"/>
              <w:ind w:left="0" w:right="0" w:hanging="0"/>
              <w:jc w:val="left"/>
              <w:rPr/>
            </w:pPr>
            <w:r>
              <w:rPr/>
              <w:t> </w:t>
            </w:r>
          </w:p>
        </w:tc>
        <w:tc>
          <w:tcPr>
            <w:tcW w:w="676" w:type="dxa"/>
            <w:tcBorders/>
            <w:shd w:fill="auto" w:val="clear"/>
            <w:vAlign w:val="center"/>
          </w:tcPr>
          <w:p>
            <w:pPr>
              <w:pStyle w:val="TableContents"/>
              <w:spacing w:lineRule="auto" w:line="252" w:before="0" w:after="0"/>
              <w:ind w:left="0" w:right="0" w:hanging="0"/>
              <w:jc w:val="right"/>
              <w:rPr>
                <w:rFonts w:ascii="Times New Roman" w:hAnsi="Times New Roman"/>
                <w:b w:val="false"/>
                <w:sz w:val="20"/>
              </w:rPr>
            </w:pPr>
            <w:r>
              <w:rPr>
                <w:rFonts w:ascii="Times New Roman" w:hAnsi="Times New Roman"/>
                <w:b w:val="false"/>
                <w:sz w:val="20"/>
              </w:rPr>
              <w:t>42</w:t>
            </w:r>
          </w:p>
        </w:tc>
        <w:tc>
          <w:tcPr>
            <w:tcW w:w="191" w:type="dxa"/>
            <w:tcBorders/>
            <w:shd w:fill="auto" w:val="clear"/>
            <w:vAlign w:val="center"/>
          </w:tcPr>
          <w:p>
            <w:pPr>
              <w:pStyle w:val="TableContents"/>
              <w:spacing w:lineRule="auto" w:line="252" w:before="0" w:after="0"/>
              <w:ind w:left="0" w:right="0" w:hanging="0"/>
              <w:jc w:val="left"/>
              <w:rPr/>
            </w:pPr>
            <w:r>
              <w:rPr/>
              <w:t> </w:t>
            </w:r>
          </w:p>
        </w:tc>
      </w:tr>
      <w:tr>
        <w:trPr/>
        <w:tc>
          <w:tcPr>
            <w:tcW w:w="6796" w:type="dxa"/>
            <w:tcBorders/>
            <w:shd w:fill="auto" w:val="clear"/>
            <w:vAlign w:val="center"/>
          </w:tcPr>
          <w:p>
            <w:pPr>
              <w:pStyle w:val="TableContents"/>
              <w:spacing w:lineRule="auto" w:line="252" w:before="0" w:after="0"/>
              <w:ind w:left="0" w:right="0" w:hanging="0"/>
              <w:jc w:val="left"/>
              <w:rPr>
                <w:rFonts w:ascii="Times New Roman" w:hAnsi="Times New Roman"/>
                <w:b/>
                <w:sz w:val="20"/>
              </w:rPr>
            </w:pPr>
            <w:r>
              <w:rPr>
                <w:rFonts w:ascii="Times New Roman" w:hAnsi="Times New Roman"/>
                <w:b/>
                <w:sz w:val="20"/>
              </w:rPr>
              <w:t>Internal costs:</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887" w:type="dxa"/>
            <w:gridSpan w:val="2"/>
            <w:tcBorders/>
            <w:shd w:fill="auto" w:val="clear"/>
            <w:vAlign w:val="center"/>
          </w:tcPr>
          <w:p>
            <w:pPr>
              <w:pStyle w:val="TableContents"/>
              <w:spacing w:lineRule="auto" w:line="252" w:before="0" w:after="0"/>
              <w:ind w:left="0" w:right="0" w:hanging="0"/>
              <w:jc w:val="right"/>
              <w:rPr/>
            </w:pPr>
            <w:r>
              <w:rPr/>
              <w:t> </w:t>
            </w:r>
          </w:p>
        </w:tc>
        <w:tc>
          <w:tcPr>
            <w:tcW w:w="146" w:type="dxa"/>
            <w:tcBorders/>
            <w:shd w:fill="auto" w:val="clear"/>
            <w:vAlign w:val="center"/>
          </w:tcPr>
          <w:p>
            <w:pPr>
              <w:pStyle w:val="TableContents"/>
              <w:spacing w:lineRule="auto" w:line="252" w:before="0" w:after="0"/>
              <w:ind w:left="0" w:right="0" w:hanging="0"/>
              <w:jc w:val="righ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887" w:type="dxa"/>
            <w:gridSpan w:val="2"/>
            <w:tcBorders/>
            <w:shd w:fill="auto" w:val="clear"/>
            <w:vAlign w:val="center"/>
          </w:tcPr>
          <w:p>
            <w:pPr>
              <w:pStyle w:val="TableContents"/>
              <w:spacing w:lineRule="auto" w:line="252" w:before="0" w:after="0"/>
              <w:ind w:left="0" w:right="0" w:hanging="0"/>
              <w:jc w:val="right"/>
              <w:rPr/>
            </w:pPr>
            <w:r>
              <w:rPr/>
              <w:t> </w:t>
            </w:r>
          </w:p>
        </w:tc>
        <w:tc>
          <w:tcPr>
            <w:tcW w:w="191" w:type="dxa"/>
            <w:tcBorders/>
            <w:shd w:fill="auto" w:val="clear"/>
            <w:vAlign w:val="center"/>
          </w:tcPr>
          <w:p>
            <w:pPr>
              <w:pStyle w:val="TableContents"/>
              <w:spacing w:lineRule="auto" w:line="252" w:before="0" w:after="0"/>
              <w:ind w:left="0" w:right="0" w:hanging="0"/>
              <w:jc w:val="right"/>
              <w:rPr/>
            </w:pPr>
            <w:r>
              <w:rPr/>
              <w:t> </w:t>
            </w:r>
          </w:p>
        </w:tc>
      </w:tr>
      <w:tr>
        <w:trPr/>
        <w:tc>
          <w:tcPr>
            <w:tcW w:w="6796" w:type="dxa"/>
            <w:tcBorders/>
            <w:shd w:fill="auto" w:val="clear"/>
            <w:vAlign w:val="center"/>
          </w:tcPr>
          <w:p>
            <w:pPr>
              <w:pStyle w:val="TableContents"/>
              <w:spacing w:lineRule="auto" w:line="252" w:before="0" w:after="0"/>
              <w:ind w:left="0" w:right="0" w:hanging="0"/>
              <w:jc w:val="left"/>
              <w:rPr>
                <w:rFonts w:ascii="Times New Roman" w:hAnsi="Times New Roman"/>
                <w:b w:val="false"/>
                <w:sz w:val="20"/>
              </w:rPr>
            </w:pPr>
            <w:r>
              <w:rPr>
                <w:rFonts w:ascii="Times New Roman" w:hAnsi="Times New Roman"/>
                <w:b w:val="false"/>
                <w:sz w:val="20"/>
              </w:rPr>
              <w:t>Employee related expenses</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211"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c>
          <w:tcPr>
            <w:tcW w:w="676"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right"/>
              <w:rPr>
                <w:rFonts w:ascii="Times New Roman" w:hAnsi="Times New Roman"/>
                <w:b w:val="false"/>
                <w:sz w:val="20"/>
              </w:rPr>
            </w:pPr>
            <w:r>
              <w:rPr>
                <w:rFonts w:ascii="Times New Roman" w:hAnsi="Times New Roman"/>
                <w:b w:val="false"/>
                <w:sz w:val="20"/>
              </w:rPr>
              <w:t>6,168</w:t>
            </w:r>
          </w:p>
        </w:tc>
        <w:tc>
          <w:tcPr>
            <w:tcW w:w="146"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211"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c>
          <w:tcPr>
            <w:tcW w:w="676"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right"/>
              <w:rPr>
                <w:rFonts w:ascii="Times New Roman" w:hAnsi="Times New Roman"/>
                <w:b w:val="false"/>
                <w:sz w:val="20"/>
              </w:rPr>
            </w:pPr>
            <w:r>
              <w:rPr>
                <w:rFonts w:ascii="Times New Roman" w:hAnsi="Times New Roman"/>
                <w:b w:val="false"/>
                <w:sz w:val="20"/>
              </w:rPr>
              <w:t>1,156</w:t>
            </w:r>
          </w:p>
        </w:tc>
        <w:tc>
          <w:tcPr>
            <w:tcW w:w="191"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r>
      <w:tr>
        <w:trPr/>
        <w:tc>
          <w:tcPr>
            <w:tcW w:w="6796" w:type="dxa"/>
            <w:tcBorders/>
            <w:shd w:fill="auto" w:val="clear"/>
            <w:vAlign w:val="center"/>
          </w:tcPr>
          <w:p>
            <w:pPr>
              <w:pStyle w:val="TableContents"/>
              <w:spacing w:lineRule="auto" w:line="252" w:before="0" w:after="0"/>
              <w:ind w:left="0" w:right="0" w:hanging="0"/>
              <w:jc w:val="left"/>
              <w:rPr>
                <w:rFonts w:ascii="Times New Roman" w:hAnsi="Times New Roman"/>
                <w:b w:val="false"/>
                <w:sz w:val="20"/>
              </w:rPr>
            </w:pPr>
            <w:r>
              <w:rPr>
                <w:rFonts w:ascii="Times New Roman" w:hAnsi="Times New Roman"/>
                <w:b w:val="false"/>
                <w:sz w:val="20"/>
              </w:rPr>
              <w:t>Total research and development expenses</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211" w:type="dxa"/>
            <w:tcBorders>
              <w:bottom w:val="double" w:sz="6"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rFonts w:ascii="Times New Roman" w:hAnsi="Times New Roman"/>
                <w:b w:val="false"/>
                <w:sz w:val="20"/>
              </w:rPr>
            </w:pPr>
            <w:r>
              <w:rPr>
                <w:rFonts w:ascii="Times New Roman" w:hAnsi="Times New Roman"/>
                <w:b w:val="false"/>
                <w:sz w:val="20"/>
              </w:rPr>
              <w:t>$</w:t>
            </w:r>
          </w:p>
        </w:tc>
        <w:tc>
          <w:tcPr>
            <w:tcW w:w="676" w:type="dxa"/>
            <w:tcBorders>
              <w:bottom w:val="double" w:sz="6" w:space="0" w:color="000000"/>
            </w:tcBorders>
            <w:shd w:fill="auto" w:val="clear"/>
            <w:tcMar>
              <w:top w:w="0" w:type="dxa"/>
              <w:left w:w="0" w:type="dxa"/>
              <w:right w:w="0" w:type="dxa"/>
            </w:tcMar>
            <w:vAlign w:val="center"/>
          </w:tcPr>
          <w:p>
            <w:pPr>
              <w:pStyle w:val="TableContents"/>
              <w:spacing w:lineRule="auto" w:line="252" w:before="0" w:after="0"/>
              <w:ind w:left="0" w:right="0" w:hanging="0"/>
              <w:jc w:val="right"/>
              <w:rPr>
                <w:rFonts w:ascii="Times New Roman" w:hAnsi="Times New Roman"/>
                <w:b w:val="false"/>
                <w:sz w:val="20"/>
              </w:rPr>
            </w:pPr>
            <w:r>
              <w:rPr>
                <w:rFonts w:ascii="Times New Roman" w:hAnsi="Times New Roman"/>
                <w:b w:val="false"/>
                <w:sz w:val="20"/>
              </w:rPr>
              <w:t>15,003</w:t>
            </w:r>
          </w:p>
        </w:tc>
        <w:tc>
          <w:tcPr>
            <w:tcW w:w="146" w:type="dxa"/>
            <w:tcBorders>
              <w:bottom w:val="double" w:sz="6"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211" w:type="dxa"/>
            <w:tcBorders>
              <w:bottom w:val="double" w:sz="6"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rFonts w:ascii="Times New Roman" w:hAnsi="Times New Roman"/>
                <w:b w:val="false"/>
                <w:sz w:val="20"/>
              </w:rPr>
            </w:pPr>
            <w:r>
              <w:rPr>
                <w:rFonts w:ascii="Times New Roman" w:hAnsi="Times New Roman"/>
                <w:b w:val="false"/>
                <w:sz w:val="20"/>
              </w:rPr>
              <w:t>$</w:t>
            </w:r>
          </w:p>
        </w:tc>
        <w:tc>
          <w:tcPr>
            <w:tcW w:w="676" w:type="dxa"/>
            <w:tcBorders>
              <w:bottom w:val="double" w:sz="6" w:space="0" w:color="000000"/>
            </w:tcBorders>
            <w:shd w:fill="auto" w:val="clear"/>
            <w:tcMar>
              <w:top w:w="0" w:type="dxa"/>
              <w:left w:w="0" w:type="dxa"/>
              <w:right w:w="0" w:type="dxa"/>
            </w:tcMar>
            <w:vAlign w:val="center"/>
          </w:tcPr>
          <w:p>
            <w:pPr>
              <w:pStyle w:val="TableContents"/>
              <w:spacing w:lineRule="auto" w:line="252" w:before="0" w:after="0"/>
              <w:ind w:left="0" w:right="0" w:hanging="0"/>
              <w:jc w:val="right"/>
              <w:rPr>
                <w:rFonts w:ascii="Times New Roman" w:hAnsi="Times New Roman"/>
                <w:b w:val="false"/>
                <w:sz w:val="20"/>
              </w:rPr>
            </w:pPr>
            <w:r>
              <w:rPr>
                <w:rFonts w:ascii="Times New Roman" w:hAnsi="Times New Roman"/>
                <w:b w:val="false"/>
                <w:sz w:val="20"/>
              </w:rPr>
              <w:t>12,632</w:t>
            </w:r>
          </w:p>
        </w:tc>
        <w:tc>
          <w:tcPr>
            <w:tcW w:w="191" w:type="dxa"/>
            <w:tcBorders>
              <w:bottom w:val="double" w:sz="6"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r>
    </w:tbl>
    <w:p>
      <w:pPr>
        <w:pStyle w:val="TextBody"/>
        <w:spacing w:lineRule="auto" w:line="273" w:before="0" w:after="0"/>
        <w:jc w:val="left"/>
        <w:rPr/>
      </w:pPr>
      <w:r>
        <w:rPr/>
        <w:t> </w:t>
      </w:r>
    </w:p>
    <w:p>
      <w:pPr>
        <w:pStyle w:val="TextBody"/>
        <w:spacing w:lineRule="auto" w:line="273" w:before="0" w:after="0"/>
        <w:jc w:val="center"/>
        <w:rPr>
          <w:rFonts w:ascii="Times New Roman" w:hAnsi="Times New Roman"/>
          <w:b w:val="false"/>
          <w:sz w:val="20"/>
        </w:rPr>
      </w:pPr>
      <w:r>
        <w:rPr>
          <w:rFonts w:ascii="Times New Roman" w:hAnsi="Times New Roman"/>
          <w:b w:val="false"/>
          <w:sz w:val="20"/>
        </w:rPr>
        <w:t>24</w:t>
      </w:r>
    </w:p>
    <w:p>
      <w:pPr>
        <w:pStyle w:val="HorizontalLine"/>
        <w:rPr/>
      </w:pPr>
      <w:r>
        <w:rPr/>
      </w:r>
    </w:p>
    <w:p>
      <w:pPr>
        <w:pStyle w:val="TextBody"/>
        <w:spacing w:lineRule="auto" w:line="273" w:before="0" w:after="0"/>
        <w:jc w:val="left"/>
        <w:rPr/>
      </w:pPr>
      <w:r>
        <w:rPr/>
        <w:t> </w:t>
      </w:r>
    </w:p>
    <w:p>
      <w:pPr>
        <w:pStyle w:val="TextBody"/>
        <w:spacing w:lineRule="auto" w:line="273" w:before="0" w:after="0"/>
        <w:jc w:val="left"/>
        <w:rPr/>
      </w:pPr>
      <w:r>
        <w:rPr/>
        <w:t> </w:t>
      </w:r>
    </w:p>
    <w:p>
      <w:pPr>
        <w:pStyle w:val="TextBody"/>
        <w:spacing w:lineRule="auto" w:line="273" w:before="0" w:after="0"/>
        <w:jc w:val="left"/>
        <w:rPr>
          <w:rFonts w:ascii="Times New Roman" w:hAnsi="Times New Roman"/>
          <w:b w:val="false"/>
          <w:sz w:val="20"/>
        </w:rPr>
      </w:pPr>
      <w:r>
        <w:rPr>
          <w:rFonts w:ascii="Times New Roman" w:hAnsi="Times New Roman"/>
          <w:b w:val="false"/>
          <w:sz w:val="20"/>
        </w:rPr>
        <w:t>(1)</w:t>
      </w:r>
    </w:p>
    <w:p>
      <w:pPr>
        <w:pStyle w:val="TextBody"/>
        <w:spacing w:lineRule="auto" w:line="273"/>
        <w:jc w:val="left"/>
        <w:rPr>
          <w:rFonts w:ascii="Times New Roman" w:hAnsi="Times New Roman"/>
          <w:b w:val="false"/>
          <w:sz w:val="20"/>
        </w:rPr>
      </w:pPr>
      <w:r>
        <w:rPr>
          <w:rFonts w:ascii="Times New Roman" w:hAnsi="Times New Roman"/>
          <w:b w:val="false"/>
          <w:sz w:val="20"/>
        </w:rPr>
        <w:t xml:space="preserve">Third-party CRO, CMO and other clinical trial costs for the tovorafenib (DAY 101) program and the pimasertib program were $7.1 million and $1.1 for three months ended March 31, 2022. </w:t>
      </w:r>
    </w:p>
    <w:p>
      <w:pPr>
        <w:pStyle w:val="TextBody"/>
        <w:spacing w:lineRule="auto" w:line="273" w:before="360" w:after="0"/>
        <w:jc w:val="left"/>
        <w:rPr>
          <w:rFonts w:ascii="Times New Roman" w:hAnsi="Times New Roman"/>
          <w:sz w:val="20"/>
        </w:rPr>
      </w:pPr>
      <w:r>
        <w:rPr>
          <w:rFonts w:ascii="Times New Roman" w:hAnsi="Times New Roman"/>
          <w:b w:val="false"/>
          <w:i/>
          <w:sz w:val="20"/>
        </w:rPr>
        <w:t>General and administrative expenses</w:t>
      </w:r>
      <w:r>
        <w:rPr>
          <w:rFonts w:ascii="Times New Roman" w:hAnsi="Times New Roman"/>
          <w:sz w:val="20"/>
        </w:rPr>
        <w:t xml:space="preserve"> </w:t>
      </w:r>
    </w:p>
    <w:p>
      <w:pPr>
        <w:pStyle w:val="TextBody"/>
        <w:spacing w:lineRule="auto" w:line="273" w:before="120" w:after="0"/>
        <w:jc w:val="left"/>
        <w:rPr>
          <w:rFonts w:ascii="Times New Roman" w:hAnsi="Times New Roman"/>
          <w:sz w:val="20"/>
        </w:rPr>
      </w:pPr>
      <w:r>
        <w:rPr>
          <w:rFonts w:ascii="Times New Roman" w:hAnsi="Times New Roman"/>
          <w:b w:val="false"/>
          <w:sz w:val="20"/>
        </w:rPr>
        <w:t>General and administrative expenses increased $9.3 million, from $3.5 million for the three months ended March 31, 2021 to $12.7 million for the three months ended March 31, 2022. The increase in general and administrative expenses was primarily due to $5.9 million in employee compensation costs driven by headcount growth, approximately $3.0 million in legal, insurance, and professional services driven by operational support and the cost of operating as a public company, and $0.4 million in facilities costs and other expenses.</w:t>
      </w:r>
      <w:r>
        <w:rPr>
          <w:rFonts w:ascii="Times New Roman" w:hAnsi="Times New Roman"/>
          <w:sz w:val="20"/>
        </w:rPr>
        <w:t xml:space="preserve"> </w:t>
      </w:r>
    </w:p>
    <w:p>
      <w:pPr>
        <w:pStyle w:val="TextBody"/>
        <w:spacing w:lineRule="auto" w:line="273" w:before="360" w:after="0"/>
        <w:jc w:val="left"/>
        <w:rPr>
          <w:rFonts w:ascii="Times New Roman" w:hAnsi="Times New Roman"/>
          <w:sz w:val="20"/>
        </w:rPr>
      </w:pPr>
      <w:r>
        <w:rPr>
          <w:rFonts w:ascii="Times New Roman" w:hAnsi="Times New Roman"/>
          <w:b/>
          <w:sz w:val="20"/>
        </w:rPr>
        <w:t>Liquidity and capital resources</w:t>
      </w:r>
      <w:r>
        <w:rPr>
          <w:rFonts w:ascii="Times New Roman" w:hAnsi="Times New Roman"/>
          <w:sz w:val="20"/>
        </w:rPr>
        <w:t xml:space="preserve"> </w:t>
      </w:r>
    </w:p>
    <w:p>
      <w:pPr>
        <w:pStyle w:val="TextBody"/>
        <w:spacing w:lineRule="auto" w:line="273" w:before="120" w:after="0"/>
        <w:jc w:val="left"/>
        <w:rPr>
          <w:rFonts w:ascii="Times New Roman" w:hAnsi="Times New Roman"/>
          <w:sz w:val="20"/>
        </w:rPr>
      </w:pPr>
      <w:r>
        <w:rPr>
          <w:rFonts w:ascii="Times New Roman" w:hAnsi="Times New Roman"/>
          <w:b/>
          <w:i/>
          <w:sz w:val="20"/>
        </w:rPr>
        <w:t>Sources of liquidity</w:t>
      </w:r>
      <w:r>
        <w:rPr>
          <w:rFonts w:ascii="Times New Roman" w:hAnsi="Times New Roman"/>
          <w:sz w:val="20"/>
        </w:rPr>
        <w:t xml:space="preserve"> </w:t>
      </w:r>
    </w:p>
    <w:p>
      <w:pPr>
        <w:pStyle w:val="TextBody"/>
        <w:spacing w:lineRule="auto" w:line="273" w:before="120" w:after="0"/>
        <w:jc w:val="left"/>
        <w:rPr>
          <w:rFonts w:ascii="Times New Roman" w:hAnsi="Times New Roman"/>
          <w:b w:val="false"/>
          <w:sz w:val="20"/>
        </w:rPr>
      </w:pPr>
      <w:r>
        <w:rPr>
          <w:rFonts w:ascii="Times New Roman" w:hAnsi="Times New Roman"/>
          <w:b w:val="false"/>
          <w:sz w:val="20"/>
        </w:rPr>
        <w:t>On June 1, 2021, we completed our IPO and sold an aggregate of 11,500,000 shares of common stock at a price to the public of $16.00 per share, which included 1,500,000 shares issued upon the full exercise by the underwriters in May 2021 of their option to purchase additional shares of common stock. We received aggregate net proceeds from the IPO of $167.0 million, after deducting underwriting discounts, commissions, and offering costs of $17.0 million. Prior to our IPO, we had funded our operations through the sale of our redeemable convertible preferred shares and convertible notes. We had previously raised approximately $192.0 million in gross proceeds from the sale and issuance of our Series A and Series B redeemable convertible preferred shares and convertible notes. As of March 31, 2022, we had an accumulated deficit of $155.2 million and $262.7 million in cash and cash equivalents. We believe our cash and cash equivalents will be sufficient to satisfy our cash requirements over the next 12 months and into 2024.</w:t>
      </w:r>
    </w:p>
    <w:p>
      <w:pPr>
        <w:pStyle w:val="TextBody"/>
        <w:spacing w:lineRule="auto" w:line="273" w:before="240" w:after="0"/>
        <w:jc w:val="left"/>
        <w:rPr>
          <w:rFonts w:ascii="Times New Roman" w:hAnsi="Times New Roman"/>
          <w:sz w:val="20"/>
        </w:rPr>
      </w:pPr>
      <w:r>
        <w:rPr>
          <w:rFonts w:ascii="Times New Roman" w:hAnsi="Times New Roman"/>
          <w:b w:val="false"/>
          <w:sz w:val="20"/>
        </w:rPr>
        <w:t>Our primary use of cash is to fund operating expenses, which consist primarily of research and development expenditures including our license, clinical trial, and laboratory costs as well as to a lesser extent, general and administrative expenditures including our salary and consulting expenses. Cash used to fund operating expenses is impacted by the timing of when we pay these expenses, as reflected in the change in our outstanding accounts payable and accrued expenses. Our material cash requirements include the following contractual and other obligations.</w:t>
        <w:br/>
      </w:r>
      <w:r>
        <w:rPr>
          <w:rFonts w:ascii="Times New Roman" w:hAnsi="Times New Roman"/>
          <w:sz w:val="20"/>
        </w:rPr>
        <w:t> </w:t>
      </w:r>
    </w:p>
    <w:p>
      <w:pPr>
        <w:pStyle w:val="TextBody"/>
        <w:spacing w:lineRule="auto" w:line="273" w:before="120" w:after="0"/>
        <w:jc w:val="left"/>
        <w:rPr>
          <w:rFonts w:ascii="Times New Roman" w:hAnsi="Times New Roman"/>
          <w:sz w:val="20"/>
        </w:rPr>
      </w:pPr>
      <w:r>
        <w:rPr>
          <w:rFonts w:ascii="Times New Roman" w:hAnsi="Times New Roman"/>
          <w:b w:val="false"/>
          <w:i/>
          <w:sz w:val="20"/>
        </w:rPr>
        <w:t>Leases</w:t>
      </w:r>
      <w:r>
        <w:rPr>
          <w:rFonts w:ascii="Times New Roman" w:hAnsi="Times New Roman"/>
          <w:b w:val="false"/>
          <w:sz w:val="20"/>
        </w:rPr>
        <w:br/>
      </w:r>
      <w:r>
        <w:rPr>
          <w:rFonts w:ascii="Times New Roman" w:hAnsi="Times New Roman"/>
          <w:sz w:val="20"/>
        </w:rPr>
        <w:t> </w:t>
      </w:r>
    </w:p>
    <w:p>
      <w:pPr>
        <w:pStyle w:val="TextBody"/>
        <w:spacing w:lineRule="auto" w:line="273" w:before="120" w:after="0"/>
        <w:jc w:val="left"/>
        <w:rPr>
          <w:rFonts w:ascii="Times New Roman" w:hAnsi="Times New Roman"/>
          <w:sz w:val="20"/>
        </w:rPr>
      </w:pPr>
      <w:r>
        <w:rPr>
          <w:rFonts w:ascii="Times New Roman" w:hAnsi="Times New Roman"/>
          <w:b w:val="false"/>
          <w:sz w:val="20"/>
        </w:rPr>
        <w:t>We have an operating lease obligation for office space. As of March 31, 2022, the Company had fixed lease payment obligations of approximately $0.2 million payable within 12 months.</w:t>
        <w:br/>
      </w:r>
      <w:r>
        <w:rPr>
          <w:rFonts w:ascii="Times New Roman" w:hAnsi="Times New Roman"/>
          <w:sz w:val="20"/>
        </w:rPr>
        <w:t> </w:t>
      </w:r>
    </w:p>
    <w:p>
      <w:pPr>
        <w:pStyle w:val="TextBody"/>
        <w:spacing w:lineRule="auto" w:line="273" w:before="120" w:after="0"/>
        <w:jc w:val="left"/>
        <w:rPr>
          <w:rFonts w:ascii="Times New Roman" w:hAnsi="Times New Roman"/>
          <w:sz w:val="20"/>
        </w:rPr>
      </w:pPr>
      <w:r>
        <w:rPr>
          <w:rFonts w:ascii="Times New Roman" w:hAnsi="Times New Roman"/>
          <w:b w:val="false"/>
          <w:i/>
          <w:sz w:val="20"/>
        </w:rPr>
        <w:t>Contract Research Organizations and Contract Manufacturing Organizations</w:t>
      </w:r>
      <w:r>
        <w:rPr>
          <w:rFonts w:ascii="Times New Roman" w:hAnsi="Times New Roman"/>
          <w:b w:val="false"/>
          <w:sz w:val="20"/>
        </w:rPr>
        <w:br/>
      </w:r>
      <w:r>
        <w:rPr>
          <w:rFonts w:ascii="Times New Roman" w:hAnsi="Times New Roman"/>
          <w:sz w:val="20"/>
        </w:rPr>
        <w:t> </w:t>
      </w:r>
    </w:p>
    <w:p>
      <w:pPr>
        <w:pStyle w:val="TextBody"/>
        <w:spacing w:lineRule="auto" w:line="273" w:before="120" w:after="0"/>
        <w:jc w:val="left"/>
        <w:rPr>
          <w:rFonts w:ascii="Times New Roman" w:hAnsi="Times New Roman"/>
          <w:sz w:val="20"/>
        </w:rPr>
      </w:pPr>
      <w:r>
        <w:rPr>
          <w:rFonts w:ascii="Times New Roman" w:hAnsi="Times New Roman"/>
          <w:b w:val="false"/>
          <w:sz w:val="20"/>
        </w:rPr>
        <w:t>We enter into contracts in the normal course of business with CROs for clinical trials, with CMOs for clinical supplies manufacturing and with other vendors for preclinical studies, supplies and other services and products for operating purposes. These contracts generally provide for termination on notice and may have termination fees and non-cancellable commitments. As of March 31, 2022, there were no amounts accrued related to termination and cancellation charges as these are not probable, and our non-cancelable obligations under these agreements were not material.</w:t>
        <w:br/>
      </w:r>
      <w:r>
        <w:rPr>
          <w:rFonts w:ascii="Times New Roman" w:hAnsi="Times New Roman"/>
          <w:sz w:val="20"/>
        </w:rPr>
        <w:t> </w:t>
      </w:r>
    </w:p>
    <w:p>
      <w:pPr>
        <w:pStyle w:val="TextBody"/>
        <w:spacing w:lineRule="auto" w:line="273" w:before="120" w:after="0"/>
        <w:jc w:val="left"/>
        <w:rPr>
          <w:rFonts w:ascii="Times New Roman" w:hAnsi="Times New Roman"/>
          <w:sz w:val="20"/>
        </w:rPr>
      </w:pPr>
      <w:r>
        <w:rPr>
          <w:rFonts w:ascii="Times New Roman" w:hAnsi="Times New Roman"/>
          <w:b w:val="false"/>
          <w:i/>
          <w:sz w:val="20"/>
        </w:rPr>
        <w:t>License Agreements</w:t>
      </w:r>
      <w:r>
        <w:rPr>
          <w:rFonts w:ascii="Times New Roman" w:hAnsi="Times New Roman"/>
          <w:b w:val="false"/>
          <w:sz w:val="20"/>
        </w:rPr>
        <w:br/>
      </w:r>
      <w:r>
        <w:rPr>
          <w:rFonts w:ascii="Times New Roman" w:hAnsi="Times New Roman"/>
          <w:sz w:val="20"/>
        </w:rPr>
        <w:t> </w:t>
      </w:r>
    </w:p>
    <w:p>
      <w:pPr>
        <w:pStyle w:val="TextBody"/>
        <w:spacing w:lineRule="auto" w:line="273" w:before="120" w:after="0"/>
        <w:jc w:val="left"/>
        <w:rPr>
          <w:rFonts w:ascii="Times New Roman" w:hAnsi="Times New Roman"/>
          <w:sz w:val="20"/>
        </w:rPr>
      </w:pPr>
      <w:r>
        <w:rPr>
          <w:rFonts w:ascii="Times New Roman" w:hAnsi="Times New Roman"/>
          <w:b w:val="false"/>
          <w:sz w:val="20"/>
        </w:rPr>
        <w:t>We have entered into licensing agreements, which require us to pay milestones contingent upon meeting of specific events. No milestones were achieved, due or payable as of March 31, 2022. We are required to pay royalties on sales of products developed under these agreements. All our products are in development as of March 31, 2022 and no such royalties are due. As of March 31, 2022, we do not have any contingent payment obligations since the amount, timing and likelihood of such payments are not known.</w:t>
        <w:br/>
      </w:r>
      <w:r>
        <w:rPr>
          <w:rFonts w:ascii="Times New Roman" w:hAnsi="Times New Roman"/>
          <w:sz w:val="20"/>
        </w:rPr>
        <w:t> </w:t>
      </w:r>
    </w:p>
    <w:p>
      <w:pPr>
        <w:pStyle w:val="TextBody"/>
        <w:spacing w:lineRule="auto" w:line="273" w:before="0" w:after="0"/>
        <w:jc w:val="center"/>
        <w:rPr>
          <w:rFonts w:ascii="Times New Roman" w:hAnsi="Times New Roman"/>
          <w:b w:val="false"/>
          <w:sz w:val="20"/>
        </w:rPr>
      </w:pPr>
      <w:r>
        <w:rPr>
          <w:rFonts w:ascii="Times New Roman" w:hAnsi="Times New Roman"/>
          <w:b w:val="false"/>
          <w:sz w:val="20"/>
        </w:rPr>
        <w:t>25</w:t>
      </w:r>
    </w:p>
    <w:p>
      <w:pPr>
        <w:pStyle w:val="HorizontalLine"/>
        <w:rPr/>
      </w:pPr>
      <w:r>
        <w:rPr/>
      </w:r>
    </w:p>
    <w:p>
      <w:pPr>
        <w:pStyle w:val="TextBody"/>
        <w:spacing w:lineRule="auto" w:line="273" w:before="0" w:after="0"/>
        <w:jc w:val="left"/>
        <w:rPr/>
      </w:pPr>
      <w:r>
        <w:rPr/>
        <w:t> </w:t>
      </w:r>
    </w:p>
    <w:p>
      <w:pPr>
        <w:pStyle w:val="TextBody"/>
        <w:spacing w:lineRule="auto" w:line="273" w:before="360" w:after="0"/>
        <w:jc w:val="left"/>
        <w:rPr>
          <w:rFonts w:ascii="Times New Roman" w:hAnsi="Times New Roman"/>
          <w:sz w:val="20"/>
        </w:rPr>
      </w:pPr>
      <w:r>
        <w:rPr>
          <w:rFonts w:ascii="Times New Roman" w:hAnsi="Times New Roman"/>
          <w:b/>
          <w:i/>
          <w:sz w:val="20"/>
        </w:rPr>
        <w:t>Cash flows</w:t>
      </w:r>
      <w:r>
        <w:rPr>
          <w:rFonts w:ascii="Times New Roman" w:hAnsi="Times New Roman"/>
          <w:sz w:val="20"/>
        </w:rPr>
        <w:t xml:space="preserve"> </w:t>
      </w:r>
    </w:p>
    <w:p>
      <w:pPr>
        <w:pStyle w:val="TextBody"/>
        <w:spacing w:lineRule="auto" w:line="273" w:before="120" w:after="0"/>
        <w:jc w:val="left"/>
        <w:rPr>
          <w:rFonts w:ascii="Times New Roman" w:hAnsi="Times New Roman"/>
          <w:sz w:val="20"/>
        </w:rPr>
      </w:pPr>
      <w:r>
        <w:rPr>
          <w:rFonts w:ascii="Times New Roman" w:hAnsi="Times New Roman"/>
          <w:b w:val="false"/>
          <w:sz w:val="20"/>
        </w:rPr>
        <w:t>The following table summarizes our sources and uses of cash for the periods presented:</w:t>
      </w:r>
      <w:r>
        <w:rPr>
          <w:rFonts w:ascii="Times New Roman" w:hAnsi="Times New Roman"/>
          <w:sz w:val="20"/>
        </w:rPr>
        <w:t xml:space="preserve"> </w:t>
      </w:r>
    </w:p>
    <w:p>
      <w:pPr>
        <w:pStyle w:val="TextBody"/>
        <w:spacing w:lineRule="auto" w:line="273" w:before="0" w:after="0"/>
        <w:jc w:val="left"/>
        <w:rPr/>
      </w:pPr>
      <w:r>
        <w:rPr/>
        <w:t> </w:t>
      </w:r>
    </w:p>
    <w:tbl>
      <w:tblPr>
        <w:tblW w:w="6929" w:type="dxa"/>
        <w:jc w:val="left"/>
        <w:tblInd w:w="0" w:type="dxa"/>
        <w:tblCellMar>
          <w:top w:w="28" w:type="dxa"/>
          <w:left w:w="28" w:type="dxa"/>
          <w:bottom w:w="28" w:type="dxa"/>
          <w:right w:w="28" w:type="dxa"/>
        </w:tblCellMar>
      </w:tblPr>
      <w:tblGrid>
        <w:gridCol w:w="4321"/>
        <w:gridCol w:w="146"/>
        <w:gridCol w:w="211"/>
        <w:gridCol w:w="736"/>
        <w:gridCol w:w="166"/>
        <w:gridCol w:w="146"/>
        <w:gridCol w:w="211"/>
        <w:gridCol w:w="781"/>
        <w:gridCol w:w="211"/>
      </w:tblGrid>
      <w:tr>
        <w:trPr/>
        <w:tc>
          <w:tcPr>
            <w:tcW w:w="4321"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736" w:type="dxa"/>
            <w:tcBorders/>
            <w:shd w:fill="auto" w:val="clear"/>
            <w:vAlign w:val="center"/>
          </w:tcPr>
          <w:p>
            <w:pPr>
              <w:pStyle w:val="TableContents"/>
              <w:spacing w:before="0" w:after="283"/>
              <w:rPr>
                <w:sz w:val="4"/>
                <w:szCs w:val="4"/>
              </w:rPr>
            </w:pPr>
            <w:r>
              <w:rPr>
                <w:sz w:val="4"/>
                <w:szCs w:val="4"/>
              </w:rPr>
            </w:r>
          </w:p>
        </w:tc>
        <w:tc>
          <w:tcPr>
            <w:tcW w:w="16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781"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r>
      <w:tr>
        <w:trPr/>
        <w:tc>
          <w:tcPr>
            <w:tcW w:w="4321" w:type="dxa"/>
            <w:tcBorders/>
            <w:shd w:fill="auto" w:val="clear"/>
            <w:vAlign w:val="center"/>
          </w:tcPr>
          <w:p>
            <w:pPr>
              <w:pStyle w:val="TableContents"/>
              <w:spacing w:lineRule="auto" w:line="252" w:before="0" w:after="0"/>
              <w:ind w:left="0" w:right="0" w:hanging="0"/>
              <w:jc w:val="center"/>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2251" w:type="dxa"/>
            <w:gridSpan w:val="6"/>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center"/>
              <w:rPr>
                <w:rFonts w:ascii="Times New Roman" w:hAnsi="Times New Roman"/>
                <w:b/>
                <w:sz w:val="16"/>
              </w:rPr>
            </w:pPr>
            <w:r>
              <w:rPr>
                <w:rFonts w:ascii="Times New Roman" w:hAnsi="Times New Roman"/>
                <w:b/>
                <w:sz w:val="16"/>
              </w:rPr>
              <w:t>Three Months Ended</w:t>
              <w:br/>
              <w:t>March 31,</w:t>
            </w:r>
          </w:p>
        </w:tc>
        <w:tc>
          <w:tcPr>
            <w:tcW w:w="211"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center"/>
              <w:rPr/>
            </w:pPr>
            <w:r>
              <w:rPr/>
              <w:t> </w:t>
            </w:r>
          </w:p>
        </w:tc>
      </w:tr>
      <w:tr>
        <w:trPr/>
        <w:tc>
          <w:tcPr>
            <w:tcW w:w="4321" w:type="dxa"/>
            <w:tcBorders/>
            <w:shd w:fill="auto" w:val="clear"/>
            <w:vAlign w:val="center"/>
          </w:tcPr>
          <w:p>
            <w:pPr>
              <w:pStyle w:val="TableContents"/>
              <w:spacing w:lineRule="auto" w:line="252" w:before="0" w:after="0"/>
              <w:ind w:left="0" w:right="0" w:hanging="0"/>
              <w:jc w:val="center"/>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947" w:type="dxa"/>
            <w:gridSpan w:val="2"/>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center"/>
              <w:rPr>
                <w:rFonts w:ascii="Times New Roman" w:hAnsi="Times New Roman"/>
                <w:b/>
                <w:sz w:val="16"/>
              </w:rPr>
            </w:pPr>
            <w:r>
              <w:rPr>
                <w:rFonts w:ascii="Times New Roman" w:hAnsi="Times New Roman"/>
                <w:b/>
                <w:sz w:val="16"/>
              </w:rPr>
              <w:t>2022</w:t>
            </w:r>
          </w:p>
        </w:tc>
        <w:tc>
          <w:tcPr>
            <w:tcW w:w="166"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center"/>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992" w:type="dxa"/>
            <w:gridSpan w:val="2"/>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center"/>
              <w:rPr>
                <w:rFonts w:ascii="Times New Roman" w:hAnsi="Times New Roman"/>
                <w:b/>
                <w:sz w:val="16"/>
              </w:rPr>
            </w:pPr>
            <w:r>
              <w:rPr>
                <w:rFonts w:ascii="Times New Roman" w:hAnsi="Times New Roman"/>
                <w:b/>
                <w:sz w:val="16"/>
              </w:rPr>
              <w:t>2021</w:t>
            </w:r>
          </w:p>
        </w:tc>
        <w:tc>
          <w:tcPr>
            <w:tcW w:w="211"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center"/>
              <w:rPr/>
            </w:pPr>
            <w:r>
              <w:rPr/>
              <w:t> </w:t>
            </w:r>
          </w:p>
        </w:tc>
      </w:tr>
      <w:tr>
        <w:trPr/>
        <w:tc>
          <w:tcPr>
            <w:tcW w:w="4321" w:type="dxa"/>
            <w:tcBorders/>
            <w:shd w:fill="auto" w:val="clear"/>
            <w:vAlign w:val="center"/>
          </w:tcPr>
          <w:p>
            <w:pPr>
              <w:pStyle w:val="TableContents"/>
              <w:spacing w:lineRule="auto" w:line="252" w:before="0" w:after="0"/>
              <w:ind w:left="0" w:right="0" w:hanging="0"/>
              <w:jc w:val="left"/>
              <w:rPr>
                <w:rFonts w:ascii="Times New Roman" w:hAnsi="Times New Roman"/>
                <w:b w:val="false"/>
                <w:sz w:val="20"/>
              </w:rPr>
            </w:pPr>
            <w:r>
              <w:rPr>
                <w:rFonts w:ascii="Times New Roman" w:hAnsi="Times New Roman"/>
                <w:b w:val="false"/>
                <w:sz w:val="20"/>
              </w:rPr>
              <w:t>Net cash used in operating activities</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211" w:type="dxa"/>
            <w:tcBorders/>
            <w:shd w:fill="auto" w:val="clear"/>
            <w:vAlign w:val="center"/>
          </w:tcPr>
          <w:p>
            <w:pPr>
              <w:pStyle w:val="TableContents"/>
              <w:spacing w:lineRule="auto" w:line="252" w:before="0" w:after="0"/>
              <w:ind w:left="0" w:right="0" w:hanging="0"/>
              <w:jc w:val="left"/>
              <w:rPr>
                <w:rFonts w:ascii="Times New Roman" w:hAnsi="Times New Roman"/>
                <w:b w:val="false"/>
                <w:sz w:val="20"/>
              </w:rPr>
            </w:pPr>
            <w:r>
              <w:rPr>
                <w:rFonts w:ascii="Times New Roman" w:hAnsi="Times New Roman"/>
                <w:b w:val="false"/>
                <w:sz w:val="20"/>
              </w:rPr>
              <w:t>$</w:t>
            </w:r>
          </w:p>
        </w:tc>
        <w:tc>
          <w:tcPr>
            <w:tcW w:w="736" w:type="dxa"/>
            <w:tcBorders/>
            <w:shd w:fill="auto" w:val="clear"/>
            <w:vAlign w:val="center"/>
          </w:tcPr>
          <w:p>
            <w:pPr>
              <w:pStyle w:val="TableContents"/>
              <w:spacing w:lineRule="auto" w:line="252" w:before="0" w:after="0"/>
              <w:ind w:left="0" w:right="0" w:hanging="0"/>
              <w:jc w:val="right"/>
              <w:rPr>
                <w:rFonts w:ascii="Times New Roman" w:hAnsi="Times New Roman"/>
                <w:b w:val="false"/>
                <w:sz w:val="20"/>
              </w:rPr>
            </w:pPr>
            <w:r>
              <w:rPr>
                <w:rFonts w:ascii="Times New Roman" w:hAnsi="Times New Roman"/>
                <w:b w:val="false"/>
                <w:sz w:val="20"/>
              </w:rPr>
              <w:t>(21,563</w:t>
            </w:r>
          </w:p>
        </w:tc>
        <w:tc>
          <w:tcPr>
            <w:tcW w:w="166" w:type="dxa"/>
            <w:tcBorders/>
            <w:shd w:fill="auto" w:val="clear"/>
            <w:vAlign w:val="center"/>
          </w:tcPr>
          <w:p>
            <w:pPr>
              <w:pStyle w:val="TableContents"/>
              <w:spacing w:lineRule="auto" w:line="252" w:before="0" w:after="0"/>
              <w:ind w:left="0" w:right="0" w:hanging="0"/>
              <w:jc w:val="left"/>
              <w:rPr>
                <w:rFonts w:ascii="Times New Roman" w:hAnsi="Times New Roman"/>
                <w:b w:val="false"/>
                <w:sz w:val="20"/>
              </w:rPr>
            </w:pPr>
            <w:r>
              <w:rPr>
                <w:rFonts w:ascii="Times New Roman" w:hAnsi="Times New Roman"/>
                <w:b w:val="false"/>
                <w:sz w:val="20"/>
              </w:rPr>
              <w:t>)</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211" w:type="dxa"/>
            <w:tcBorders/>
            <w:shd w:fill="auto" w:val="clear"/>
            <w:vAlign w:val="center"/>
          </w:tcPr>
          <w:p>
            <w:pPr>
              <w:pStyle w:val="TableContents"/>
              <w:spacing w:lineRule="auto" w:line="252" w:before="0" w:after="0"/>
              <w:ind w:left="0" w:right="0" w:hanging="0"/>
              <w:jc w:val="left"/>
              <w:rPr>
                <w:rFonts w:ascii="Times New Roman" w:hAnsi="Times New Roman"/>
                <w:b w:val="false"/>
                <w:sz w:val="20"/>
              </w:rPr>
            </w:pPr>
            <w:r>
              <w:rPr>
                <w:rFonts w:ascii="Times New Roman" w:hAnsi="Times New Roman"/>
                <w:b w:val="false"/>
                <w:sz w:val="20"/>
              </w:rPr>
              <w:t>$</w:t>
            </w:r>
          </w:p>
        </w:tc>
        <w:tc>
          <w:tcPr>
            <w:tcW w:w="781" w:type="dxa"/>
            <w:tcBorders/>
            <w:shd w:fill="auto" w:val="clear"/>
            <w:vAlign w:val="center"/>
          </w:tcPr>
          <w:p>
            <w:pPr>
              <w:pStyle w:val="TableContents"/>
              <w:spacing w:lineRule="auto" w:line="252" w:before="0" w:after="0"/>
              <w:ind w:left="0" w:right="0" w:hanging="0"/>
              <w:jc w:val="right"/>
              <w:rPr>
                <w:rFonts w:ascii="Times New Roman" w:hAnsi="Times New Roman"/>
                <w:b w:val="false"/>
                <w:sz w:val="20"/>
              </w:rPr>
            </w:pPr>
            <w:r>
              <w:rPr>
                <w:rFonts w:ascii="Times New Roman" w:hAnsi="Times New Roman"/>
                <w:b w:val="false"/>
                <w:sz w:val="20"/>
              </w:rPr>
              <w:t>(9,743</w:t>
            </w:r>
          </w:p>
        </w:tc>
        <w:tc>
          <w:tcPr>
            <w:tcW w:w="211" w:type="dxa"/>
            <w:tcBorders/>
            <w:shd w:fill="auto" w:val="clear"/>
            <w:vAlign w:val="center"/>
          </w:tcPr>
          <w:p>
            <w:pPr>
              <w:pStyle w:val="TableContents"/>
              <w:spacing w:lineRule="auto" w:line="252" w:before="0" w:after="0"/>
              <w:ind w:left="0" w:right="0" w:hanging="0"/>
              <w:jc w:val="left"/>
              <w:rPr>
                <w:rFonts w:ascii="Times New Roman" w:hAnsi="Times New Roman"/>
                <w:b w:val="false"/>
                <w:sz w:val="20"/>
              </w:rPr>
            </w:pPr>
            <w:r>
              <w:rPr>
                <w:rFonts w:ascii="Times New Roman" w:hAnsi="Times New Roman"/>
                <w:b w:val="false"/>
                <w:sz w:val="20"/>
              </w:rPr>
              <w:t>)</w:t>
            </w:r>
          </w:p>
        </w:tc>
      </w:tr>
      <w:tr>
        <w:trPr/>
        <w:tc>
          <w:tcPr>
            <w:tcW w:w="4321" w:type="dxa"/>
            <w:tcBorders/>
            <w:shd w:fill="auto" w:val="clear"/>
            <w:vAlign w:val="center"/>
          </w:tcPr>
          <w:p>
            <w:pPr>
              <w:pStyle w:val="TableContents"/>
              <w:spacing w:lineRule="auto" w:line="252" w:before="0" w:after="0"/>
              <w:ind w:left="0" w:right="0" w:hanging="0"/>
              <w:jc w:val="left"/>
              <w:rPr>
                <w:rFonts w:ascii="Times New Roman" w:hAnsi="Times New Roman"/>
                <w:b w:val="false"/>
                <w:sz w:val="20"/>
              </w:rPr>
            </w:pPr>
            <w:r>
              <w:rPr>
                <w:rFonts w:ascii="Times New Roman" w:hAnsi="Times New Roman"/>
                <w:b w:val="false"/>
                <w:sz w:val="20"/>
              </w:rPr>
              <w:t>Net cash used in investing activities</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211" w:type="dxa"/>
            <w:tcBorders/>
            <w:shd w:fill="auto" w:val="clear"/>
            <w:vAlign w:val="center"/>
          </w:tcPr>
          <w:p>
            <w:pPr>
              <w:pStyle w:val="TableContents"/>
              <w:spacing w:lineRule="auto" w:line="252" w:before="0" w:after="0"/>
              <w:ind w:left="0" w:right="0" w:hanging="0"/>
              <w:jc w:val="left"/>
              <w:rPr/>
            </w:pPr>
            <w:r>
              <w:rPr/>
              <w:t> </w:t>
            </w:r>
          </w:p>
        </w:tc>
        <w:tc>
          <w:tcPr>
            <w:tcW w:w="736" w:type="dxa"/>
            <w:tcBorders/>
            <w:shd w:fill="auto" w:val="clear"/>
            <w:vAlign w:val="center"/>
          </w:tcPr>
          <w:p>
            <w:pPr>
              <w:pStyle w:val="TableContents"/>
              <w:spacing w:lineRule="auto" w:line="252" w:before="0" w:after="0"/>
              <w:ind w:left="0" w:right="0" w:hanging="0"/>
              <w:jc w:val="right"/>
              <w:rPr>
                <w:rFonts w:ascii="Times New Roman" w:hAnsi="Times New Roman"/>
                <w:b w:val="false"/>
                <w:sz w:val="20"/>
              </w:rPr>
            </w:pPr>
            <w:r>
              <w:rPr>
                <w:rFonts w:ascii="Times New Roman" w:hAnsi="Times New Roman"/>
                <w:b w:val="false"/>
                <w:sz w:val="20"/>
              </w:rPr>
              <w:t>(15</w:t>
            </w:r>
          </w:p>
        </w:tc>
        <w:tc>
          <w:tcPr>
            <w:tcW w:w="166" w:type="dxa"/>
            <w:tcBorders/>
            <w:shd w:fill="auto" w:val="clear"/>
            <w:vAlign w:val="center"/>
          </w:tcPr>
          <w:p>
            <w:pPr>
              <w:pStyle w:val="TableContents"/>
              <w:spacing w:lineRule="auto" w:line="252" w:before="0" w:after="0"/>
              <w:ind w:left="0" w:right="0" w:hanging="0"/>
              <w:jc w:val="left"/>
              <w:rPr>
                <w:rFonts w:ascii="Times New Roman" w:hAnsi="Times New Roman"/>
                <w:b w:val="false"/>
                <w:sz w:val="20"/>
              </w:rPr>
            </w:pPr>
            <w:r>
              <w:rPr>
                <w:rFonts w:ascii="Times New Roman" w:hAnsi="Times New Roman"/>
                <w:b w:val="false"/>
                <w:sz w:val="20"/>
              </w:rPr>
              <w:t>)</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211" w:type="dxa"/>
            <w:tcBorders/>
            <w:shd w:fill="auto" w:val="clear"/>
            <w:vAlign w:val="center"/>
          </w:tcPr>
          <w:p>
            <w:pPr>
              <w:pStyle w:val="TableContents"/>
              <w:spacing w:lineRule="auto" w:line="252" w:before="0" w:after="0"/>
              <w:ind w:left="0" w:right="0" w:hanging="0"/>
              <w:jc w:val="left"/>
              <w:rPr/>
            </w:pPr>
            <w:r>
              <w:rPr/>
              <w:t> </w:t>
            </w:r>
          </w:p>
        </w:tc>
        <w:tc>
          <w:tcPr>
            <w:tcW w:w="781" w:type="dxa"/>
            <w:tcBorders/>
            <w:shd w:fill="auto" w:val="clear"/>
            <w:vAlign w:val="center"/>
          </w:tcPr>
          <w:p>
            <w:pPr>
              <w:pStyle w:val="TableContents"/>
              <w:spacing w:lineRule="auto" w:line="252" w:before="0" w:after="0"/>
              <w:ind w:left="0" w:right="0" w:hanging="0"/>
              <w:jc w:val="right"/>
              <w:rPr>
                <w:rFonts w:ascii="Times New Roman" w:hAnsi="Times New Roman"/>
                <w:b w:val="false"/>
                <w:sz w:val="20"/>
              </w:rPr>
            </w:pPr>
            <w:r>
              <w:rPr>
                <w:rFonts w:ascii="Times New Roman" w:hAnsi="Times New Roman"/>
                <w:b w:val="false"/>
                <w:sz w:val="20"/>
              </w:rPr>
              <w:t>(8,000</w:t>
            </w:r>
          </w:p>
        </w:tc>
        <w:tc>
          <w:tcPr>
            <w:tcW w:w="211" w:type="dxa"/>
            <w:tcBorders/>
            <w:shd w:fill="auto" w:val="clear"/>
            <w:vAlign w:val="center"/>
          </w:tcPr>
          <w:p>
            <w:pPr>
              <w:pStyle w:val="TableContents"/>
              <w:spacing w:lineRule="auto" w:line="252" w:before="0" w:after="0"/>
              <w:ind w:left="0" w:right="0" w:hanging="0"/>
              <w:jc w:val="left"/>
              <w:rPr>
                <w:rFonts w:ascii="Times New Roman" w:hAnsi="Times New Roman"/>
                <w:b w:val="false"/>
                <w:sz w:val="20"/>
              </w:rPr>
            </w:pPr>
            <w:r>
              <w:rPr>
                <w:rFonts w:ascii="Times New Roman" w:hAnsi="Times New Roman"/>
                <w:b w:val="false"/>
                <w:sz w:val="20"/>
              </w:rPr>
              <w:t>)</w:t>
            </w:r>
          </w:p>
        </w:tc>
      </w:tr>
      <w:tr>
        <w:trPr/>
        <w:tc>
          <w:tcPr>
            <w:tcW w:w="4321" w:type="dxa"/>
            <w:tcBorders/>
            <w:shd w:fill="auto" w:val="clear"/>
            <w:vAlign w:val="center"/>
          </w:tcPr>
          <w:p>
            <w:pPr>
              <w:pStyle w:val="TableContents"/>
              <w:spacing w:lineRule="auto" w:line="252" w:before="0" w:after="0"/>
              <w:ind w:left="0" w:right="0" w:hanging="0"/>
              <w:jc w:val="left"/>
              <w:rPr>
                <w:rFonts w:ascii="Times New Roman" w:hAnsi="Times New Roman"/>
                <w:b w:val="false"/>
                <w:sz w:val="20"/>
              </w:rPr>
            </w:pPr>
            <w:r>
              <w:rPr>
                <w:rFonts w:ascii="Times New Roman" w:hAnsi="Times New Roman"/>
                <w:b w:val="false"/>
                <w:sz w:val="20"/>
              </w:rPr>
              <w:t>Net cash provided by financing activities</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211"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c>
          <w:tcPr>
            <w:tcW w:w="736"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right"/>
              <w:rPr/>
            </w:pPr>
            <w:r>
              <w:rPr/>
              <w:t>—</w:t>
            </w:r>
          </w:p>
        </w:tc>
        <w:tc>
          <w:tcPr>
            <w:tcW w:w="166"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211"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c>
          <w:tcPr>
            <w:tcW w:w="781"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right"/>
              <w:rPr>
                <w:rFonts w:ascii="Times New Roman" w:hAnsi="Times New Roman"/>
                <w:b w:val="false"/>
                <w:sz w:val="20"/>
              </w:rPr>
            </w:pPr>
            <w:r>
              <w:rPr>
                <w:rFonts w:ascii="Times New Roman" w:hAnsi="Times New Roman"/>
                <w:b w:val="false"/>
                <w:sz w:val="20"/>
              </w:rPr>
              <w:t>128,885</w:t>
            </w:r>
          </w:p>
        </w:tc>
        <w:tc>
          <w:tcPr>
            <w:tcW w:w="211"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r>
      <w:tr>
        <w:trPr/>
        <w:tc>
          <w:tcPr>
            <w:tcW w:w="4321" w:type="dxa"/>
            <w:tcBorders/>
            <w:shd w:fill="auto" w:val="clear"/>
            <w:vAlign w:val="center"/>
          </w:tcPr>
          <w:p>
            <w:pPr>
              <w:pStyle w:val="TableContents"/>
              <w:spacing w:lineRule="auto" w:line="252" w:before="0" w:after="0"/>
              <w:ind w:left="0" w:right="0" w:hanging="0"/>
              <w:jc w:val="left"/>
              <w:rPr>
                <w:rFonts w:ascii="Times New Roman" w:hAnsi="Times New Roman"/>
                <w:b w:val="false"/>
                <w:sz w:val="20"/>
              </w:rPr>
            </w:pPr>
            <w:r>
              <w:rPr>
                <w:rFonts w:ascii="Times New Roman" w:hAnsi="Times New Roman"/>
                <w:b w:val="false"/>
                <w:sz w:val="20"/>
              </w:rPr>
              <w:t>Net (decrease) increase in cash and cash equivalents</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211" w:type="dxa"/>
            <w:tcBorders>
              <w:bottom w:val="double" w:sz="6"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rFonts w:ascii="Times New Roman" w:hAnsi="Times New Roman"/>
                <w:b w:val="false"/>
                <w:sz w:val="20"/>
              </w:rPr>
            </w:pPr>
            <w:r>
              <w:rPr>
                <w:rFonts w:ascii="Times New Roman" w:hAnsi="Times New Roman"/>
                <w:b w:val="false"/>
                <w:sz w:val="20"/>
              </w:rPr>
              <w:t>$</w:t>
            </w:r>
          </w:p>
        </w:tc>
        <w:tc>
          <w:tcPr>
            <w:tcW w:w="736" w:type="dxa"/>
            <w:tcBorders>
              <w:bottom w:val="double" w:sz="6" w:space="0" w:color="000000"/>
            </w:tcBorders>
            <w:shd w:fill="auto" w:val="clear"/>
            <w:tcMar>
              <w:top w:w="0" w:type="dxa"/>
              <w:left w:w="0" w:type="dxa"/>
              <w:right w:w="0" w:type="dxa"/>
            </w:tcMar>
            <w:vAlign w:val="center"/>
          </w:tcPr>
          <w:p>
            <w:pPr>
              <w:pStyle w:val="TableContents"/>
              <w:spacing w:lineRule="auto" w:line="252" w:before="0" w:after="0"/>
              <w:ind w:left="0" w:right="0" w:hanging="0"/>
              <w:jc w:val="right"/>
              <w:rPr>
                <w:rFonts w:ascii="Times New Roman" w:hAnsi="Times New Roman"/>
                <w:b w:val="false"/>
                <w:sz w:val="20"/>
              </w:rPr>
            </w:pPr>
            <w:r>
              <w:rPr>
                <w:rFonts w:ascii="Times New Roman" w:hAnsi="Times New Roman"/>
                <w:b w:val="false"/>
                <w:sz w:val="20"/>
              </w:rPr>
              <w:t>(21,578</w:t>
            </w:r>
          </w:p>
        </w:tc>
        <w:tc>
          <w:tcPr>
            <w:tcW w:w="166" w:type="dxa"/>
            <w:tcBorders>
              <w:bottom w:val="double" w:sz="6"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rFonts w:ascii="Times New Roman" w:hAnsi="Times New Roman"/>
                <w:b w:val="false"/>
                <w:sz w:val="20"/>
              </w:rPr>
            </w:pPr>
            <w:r>
              <w:rPr>
                <w:rFonts w:ascii="Times New Roman" w:hAnsi="Times New Roman"/>
                <w:b w:val="false"/>
                <w:sz w:val="20"/>
              </w:rPr>
              <w:t>)</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211" w:type="dxa"/>
            <w:tcBorders>
              <w:bottom w:val="double" w:sz="6"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rFonts w:ascii="Times New Roman" w:hAnsi="Times New Roman"/>
                <w:b w:val="false"/>
                <w:sz w:val="20"/>
              </w:rPr>
            </w:pPr>
            <w:r>
              <w:rPr>
                <w:rFonts w:ascii="Times New Roman" w:hAnsi="Times New Roman"/>
                <w:b w:val="false"/>
                <w:sz w:val="20"/>
              </w:rPr>
              <w:t>$</w:t>
            </w:r>
          </w:p>
        </w:tc>
        <w:tc>
          <w:tcPr>
            <w:tcW w:w="781" w:type="dxa"/>
            <w:tcBorders>
              <w:bottom w:val="double" w:sz="6" w:space="0" w:color="000000"/>
            </w:tcBorders>
            <w:shd w:fill="auto" w:val="clear"/>
            <w:tcMar>
              <w:top w:w="0" w:type="dxa"/>
              <w:left w:w="0" w:type="dxa"/>
              <w:right w:w="0" w:type="dxa"/>
            </w:tcMar>
            <w:vAlign w:val="center"/>
          </w:tcPr>
          <w:p>
            <w:pPr>
              <w:pStyle w:val="TableContents"/>
              <w:spacing w:lineRule="auto" w:line="252" w:before="0" w:after="0"/>
              <w:ind w:left="0" w:right="0" w:hanging="0"/>
              <w:jc w:val="right"/>
              <w:rPr>
                <w:rFonts w:ascii="Times New Roman" w:hAnsi="Times New Roman"/>
                <w:b w:val="false"/>
                <w:sz w:val="20"/>
              </w:rPr>
            </w:pPr>
            <w:r>
              <w:rPr>
                <w:rFonts w:ascii="Times New Roman" w:hAnsi="Times New Roman"/>
                <w:b w:val="false"/>
                <w:sz w:val="20"/>
              </w:rPr>
              <w:t>111,142</w:t>
            </w:r>
          </w:p>
        </w:tc>
        <w:tc>
          <w:tcPr>
            <w:tcW w:w="211" w:type="dxa"/>
            <w:tcBorders>
              <w:bottom w:val="double" w:sz="6"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r>
    </w:tbl>
    <w:p>
      <w:pPr>
        <w:pStyle w:val="TextBody"/>
        <w:spacing w:lineRule="auto" w:line="273" w:before="360" w:after="0"/>
        <w:jc w:val="left"/>
        <w:rPr>
          <w:rFonts w:ascii="Times New Roman" w:hAnsi="Times New Roman"/>
          <w:sz w:val="20"/>
        </w:rPr>
      </w:pPr>
      <w:r>
        <w:rPr>
          <w:rFonts w:ascii="Times New Roman" w:hAnsi="Times New Roman"/>
          <w:b w:val="false"/>
          <w:i/>
          <w:sz w:val="20"/>
        </w:rPr>
        <w:t>Operating activities</w:t>
      </w:r>
      <w:r>
        <w:rPr>
          <w:rFonts w:ascii="Times New Roman" w:hAnsi="Times New Roman"/>
          <w:sz w:val="20"/>
        </w:rPr>
        <w:t xml:space="preserve"> </w:t>
      </w:r>
    </w:p>
    <w:p>
      <w:pPr>
        <w:pStyle w:val="TextBody"/>
        <w:spacing w:lineRule="auto" w:line="273" w:before="120" w:after="0"/>
        <w:jc w:val="left"/>
        <w:rPr>
          <w:rFonts w:ascii="Times New Roman" w:hAnsi="Times New Roman"/>
          <w:sz w:val="20"/>
        </w:rPr>
      </w:pPr>
      <w:r>
        <w:rPr>
          <w:rFonts w:ascii="Times New Roman" w:hAnsi="Times New Roman"/>
          <w:b w:val="false"/>
          <w:sz w:val="20"/>
        </w:rPr>
        <w:t>Net cash used in operating activities for the three months ended March 31, 2022 was $21.6 million, consisting of our net loss of $27.7 million, net decrease of approximately $0.1 million in net operating assets and liabilities, partially offset by non-cash charges of $6.3 million, which is comprised of stock-based compensation expense of $6.2 million. Changes in operating assets and liabilities were primarily related to a decrease in accounts payable of $1.0 million. This was partially offset by an increase in accrued expenses and other current liabilities of $0.6 million and a decrease in prepaid expenses and other current assets of $0.4 million.</w:t>
      </w:r>
      <w:r>
        <w:rPr>
          <w:rFonts w:ascii="Times New Roman" w:hAnsi="Times New Roman"/>
          <w:sz w:val="20"/>
        </w:rPr>
        <w:t xml:space="preserve"> </w:t>
      </w:r>
    </w:p>
    <w:p>
      <w:pPr>
        <w:pStyle w:val="TextBody"/>
        <w:spacing w:lineRule="auto" w:line="273" w:before="120" w:after="0"/>
        <w:jc w:val="left"/>
        <w:rPr>
          <w:rFonts w:ascii="Times New Roman" w:hAnsi="Times New Roman"/>
          <w:b w:val="false"/>
          <w:sz w:val="20"/>
        </w:rPr>
      </w:pPr>
      <w:r>
        <w:rPr>
          <w:rFonts w:ascii="Times New Roman" w:hAnsi="Times New Roman"/>
          <w:b w:val="false"/>
          <w:sz w:val="20"/>
        </w:rPr>
        <w:t>Net cash used in operating activities for the three months ended March 31, 2021 was $9.8 million, consisting of our net loss of $16.1 million, net decrease of $2.2 million in net operating assets and liabilities, partially offset by non-cash charges of $0.6 million. Our non-cash charges primarily consisted of $0.5 million in share-based compensation expense. Changes in operating assets and liabilities were primarily related to a net increase in prepaid expenses and other current assets of $2.5 million, which primarily included a $3.0 million prepayment of the Viracta license milestone.</w:t>
      </w:r>
    </w:p>
    <w:p>
      <w:pPr>
        <w:pStyle w:val="TextBody"/>
        <w:spacing w:lineRule="auto" w:line="273" w:before="360" w:after="0"/>
        <w:jc w:val="left"/>
        <w:rPr>
          <w:rFonts w:ascii="Times New Roman" w:hAnsi="Times New Roman"/>
          <w:sz w:val="20"/>
        </w:rPr>
      </w:pPr>
      <w:r>
        <w:rPr>
          <w:rFonts w:ascii="Times New Roman" w:hAnsi="Times New Roman"/>
          <w:b w:val="false"/>
          <w:i/>
          <w:sz w:val="20"/>
        </w:rPr>
        <w:t>Investing activities</w:t>
      </w:r>
      <w:r>
        <w:rPr>
          <w:rFonts w:ascii="Times New Roman" w:hAnsi="Times New Roman"/>
          <w:sz w:val="20"/>
        </w:rPr>
        <w:t xml:space="preserve"> </w:t>
      </w:r>
    </w:p>
    <w:p>
      <w:pPr>
        <w:pStyle w:val="TextBody"/>
        <w:spacing w:lineRule="auto" w:line="273" w:before="120" w:after="0"/>
        <w:jc w:val="left"/>
        <w:rPr>
          <w:rFonts w:ascii="Times New Roman" w:hAnsi="Times New Roman"/>
          <w:b w:val="false"/>
          <w:sz w:val="20"/>
        </w:rPr>
      </w:pPr>
      <w:r>
        <w:rPr>
          <w:rFonts w:ascii="Times New Roman" w:hAnsi="Times New Roman"/>
          <w:b w:val="false"/>
          <w:sz w:val="20"/>
        </w:rPr>
        <w:t>For the three months ended March 31, 2022, we had $15,000 cash used in investing activities that was related to property and equipment expenditures.</w:t>
      </w:r>
    </w:p>
    <w:p>
      <w:pPr>
        <w:pStyle w:val="TextBody"/>
        <w:spacing w:lineRule="auto" w:line="273" w:before="120" w:after="0"/>
        <w:jc w:val="left"/>
        <w:rPr>
          <w:rFonts w:ascii="Times New Roman" w:hAnsi="Times New Roman"/>
          <w:b w:val="false"/>
          <w:sz w:val="20"/>
        </w:rPr>
      </w:pPr>
      <w:r>
        <w:rPr>
          <w:rFonts w:ascii="Times New Roman" w:hAnsi="Times New Roman"/>
          <w:b w:val="false"/>
          <w:sz w:val="20"/>
        </w:rPr>
        <w:t>For the three months ended March 31, 2021, we had $8.0 million cash used in investing activities that was related to the payment under the MRKDG License Agreement.</w:t>
      </w:r>
    </w:p>
    <w:p>
      <w:pPr>
        <w:pStyle w:val="TextBody"/>
        <w:spacing w:lineRule="auto" w:line="273" w:before="360" w:after="0"/>
        <w:jc w:val="left"/>
        <w:rPr>
          <w:rFonts w:ascii="Times New Roman" w:hAnsi="Times New Roman"/>
          <w:sz w:val="20"/>
        </w:rPr>
      </w:pPr>
      <w:r>
        <w:rPr>
          <w:rFonts w:ascii="Times New Roman" w:hAnsi="Times New Roman"/>
          <w:b w:val="false"/>
          <w:i/>
          <w:sz w:val="20"/>
        </w:rPr>
        <w:t>Financing activities</w:t>
      </w:r>
      <w:r>
        <w:rPr>
          <w:rFonts w:ascii="Times New Roman" w:hAnsi="Times New Roman"/>
          <w:sz w:val="20"/>
        </w:rPr>
        <w:t xml:space="preserve"> </w:t>
      </w:r>
    </w:p>
    <w:p>
      <w:pPr>
        <w:pStyle w:val="TextBody"/>
        <w:spacing w:lineRule="auto" w:line="273" w:before="120" w:after="0"/>
        <w:jc w:val="left"/>
        <w:rPr>
          <w:rFonts w:ascii="Times New Roman" w:hAnsi="Times New Roman"/>
          <w:sz w:val="20"/>
        </w:rPr>
      </w:pPr>
      <w:r>
        <w:rPr>
          <w:rFonts w:ascii="Times New Roman" w:hAnsi="Times New Roman"/>
          <w:b w:val="false"/>
          <w:sz w:val="20"/>
        </w:rPr>
        <w:t>For the three months ended March 31, 2022, there was no cash used in or provided by financing activities.</w:t>
      </w:r>
      <w:r>
        <w:rPr>
          <w:rFonts w:ascii="Times New Roman" w:hAnsi="Times New Roman"/>
          <w:sz w:val="20"/>
        </w:rPr>
        <w:t xml:space="preserve"> </w:t>
      </w:r>
    </w:p>
    <w:p>
      <w:pPr>
        <w:pStyle w:val="TextBody"/>
        <w:spacing w:lineRule="auto" w:line="273" w:before="120" w:after="0"/>
        <w:jc w:val="left"/>
        <w:rPr>
          <w:rFonts w:ascii="Times New Roman" w:hAnsi="Times New Roman"/>
          <w:b w:val="false"/>
          <w:sz w:val="20"/>
        </w:rPr>
      </w:pPr>
      <w:r>
        <w:rPr>
          <w:rFonts w:ascii="Times New Roman" w:hAnsi="Times New Roman"/>
          <w:b w:val="false"/>
          <w:sz w:val="20"/>
        </w:rPr>
        <w:t>Net cash provided by financing activities for the three months ended March 31, 2021 was $129.8 million related to the net proceeds from the sale and issuance of Series B redeemable convertible preferred shares, partially offset by $0.9 million in payments of financing issuance costs in connection with a potential initial public offering.</w:t>
      </w:r>
    </w:p>
    <w:p>
      <w:pPr>
        <w:pStyle w:val="TextBody"/>
        <w:spacing w:lineRule="auto" w:line="273" w:before="360" w:after="0"/>
        <w:jc w:val="left"/>
        <w:rPr>
          <w:rFonts w:ascii="Times New Roman" w:hAnsi="Times New Roman"/>
          <w:sz w:val="20"/>
        </w:rPr>
      </w:pPr>
      <w:r>
        <w:rPr>
          <w:rFonts w:ascii="Times New Roman" w:hAnsi="Times New Roman"/>
          <w:b/>
          <w:sz w:val="20"/>
        </w:rPr>
        <w:t>Funding requirements</w:t>
      </w:r>
      <w:r>
        <w:rPr>
          <w:rFonts w:ascii="Times New Roman" w:hAnsi="Times New Roman"/>
          <w:sz w:val="20"/>
        </w:rPr>
        <w:t xml:space="preserve"> </w:t>
      </w:r>
    </w:p>
    <w:p>
      <w:pPr>
        <w:pStyle w:val="TextBody"/>
        <w:spacing w:lineRule="auto" w:line="273" w:before="120" w:after="0"/>
        <w:jc w:val="left"/>
        <w:rPr>
          <w:rFonts w:ascii="Times New Roman" w:hAnsi="Times New Roman"/>
          <w:sz w:val="20"/>
        </w:rPr>
      </w:pPr>
      <w:r>
        <w:rPr>
          <w:rFonts w:ascii="Times New Roman" w:hAnsi="Times New Roman"/>
          <w:b w:val="false"/>
          <w:sz w:val="20"/>
        </w:rPr>
        <w:t>Since our inception, we have incurred significant operating losses. We expect to continue to incur significant expenses and increasing operating losses for the foreseeable future in connection with our ongoing activities.</w:t>
      </w:r>
      <w:r>
        <w:rPr>
          <w:rFonts w:ascii="Times New Roman" w:hAnsi="Times New Roman"/>
          <w:sz w:val="20"/>
        </w:rPr>
        <w:t xml:space="preserve"> </w:t>
      </w:r>
    </w:p>
    <w:p>
      <w:pPr>
        <w:pStyle w:val="TextBody"/>
        <w:spacing w:lineRule="auto" w:line="273" w:before="240" w:after="0"/>
        <w:jc w:val="left"/>
        <w:rPr>
          <w:rFonts w:ascii="Times New Roman" w:hAnsi="Times New Roman"/>
          <w:b w:val="false"/>
          <w:sz w:val="20"/>
        </w:rPr>
      </w:pPr>
      <w:r>
        <w:rPr>
          <w:rFonts w:ascii="Times New Roman" w:hAnsi="Times New Roman"/>
          <w:b w:val="false"/>
          <w:sz w:val="20"/>
        </w:rPr>
        <w:t>We believe our existing cash and cash equivalents, will enable us to fund our operating expenses and capital expenditure requirements into 2024. We have based this estimate on assumptions that may prove to be imprecise, and we could use our available capital resources sooner than we currently expect.</w:t>
      </w:r>
    </w:p>
    <w:p>
      <w:pPr>
        <w:pStyle w:val="TextBody"/>
        <w:spacing w:lineRule="auto" w:line="273" w:before="240" w:after="0"/>
        <w:jc w:val="left"/>
        <w:rPr>
          <w:rFonts w:ascii="Times New Roman" w:hAnsi="Times New Roman"/>
          <w:sz w:val="20"/>
        </w:rPr>
      </w:pPr>
      <w:r>
        <w:rPr>
          <w:rFonts w:ascii="Times New Roman" w:hAnsi="Times New Roman"/>
          <w:b w:val="false"/>
          <w:sz w:val="20"/>
        </w:rPr>
        <w:t>As a result of anticipated expenditures, we will need to obtain substantial additional financing in connection with our continuing operations. Until such time, if ever, as we cannot generate substantial revenue from product sales, we expect to finance our cash needs through a combination of equity offerings, debt financings, collaborations, strategic alliances and marketing, distribution or licensing arrangements. Adequate additional funds may not be available to us on acceptable terms, or at all. If we are unable to raise capital when needed or on attractive terms, we may be required to delay, limit, reduce or terminate our research, product development programs or any future commercialization efforts or grant rights to develop and market product candidates that we would otherwise prefer to develop and market ourselves.</w:t>
      </w:r>
      <w:r>
        <w:rPr>
          <w:rFonts w:ascii="Times New Roman" w:hAnsi="Times New Roman"/>
          <w:sz w:val="20"/>
        </w:rPr>
        <w:t xml:space="preserve"> </w:t>
      </w:r>
    </w:p>
    <w:p>
      <w:pPr>
        <w:pStyle w:val="TextBody"/>
        <w:spacing w:lineRule="auto" w:line="273" w:before="240" w:after="0"/>
        <w:jc w:val="left"/>
        <w:rPr>
          <w:rFonts w:ascii="Times New Roman" w:hAnsi="Times New Roman"/>
          <w:sz w:val="20"/>
        </w:rPr>
      </w:pPr>
      <w:r>
        <w:rPr>
          <w:rFonts w:ascii="Times New Roman" w:hAnsi="Times New Roman"/>
          <w:b w:val="false"/>
          <w:sz w:val="20"/>
        </w:rPr>
        <w:t>To the extent that we raise additional capital through the sale of equity or convertible debt securities, your ownership interest will be diluted, and the terms of these securities may include liquidation or other preferences that adversely affect your rights as a common stockholder. Debt financing and preferred equity financing, if available, may involve agreements that include covenants</w:t>
      </w:r>
      <w:r>
        <w:rPr>
          <w:rFonts w:ascii="Times New Roman" w:hAnsi="Times New Roman"/>
          <w:sz w:val="20"/>
        </w:rPr>
        <w:t xml:space="preserve"> </w:t>
      </w:r>
    </w:p>
    <w:p>
      <w:pPr>
        <w:pStyle w:val="TextBody"/>
        <w:spacing w:lineRule="auto" w:line="273" w:before="0" w:after="0"/>
        <w:jc w:val="center"/>
        <w:rPr>
          <w:rFonts w:ascii="Times New Roman" w:hAnsi="Times New Roman"/>
          <w:b w:val="false"/>
          <w:sz w:val="20"/>
        </w:rPr>
      </w:pPr>
      <w:r>
        <w:rPr>
          <w:rFonts w:ascii="Times New Roman" w:hAnsi="Times New Roman"/>
          <w:b w:val="false"/>
          <w:sz w:val="20"/>
        </w:rPr>
        <w:t>26</w:t>
      </w:r>
    </w:p>
    <w:p>
      <w:pPr>
        <w:pStyle w:val="HorizontalLine"/>
        <w:rPr/>
      </w:pPr>
      <w:r>
        <w:rPr/>
      </w:r>
    </w:p>
    <w:p>
      <w:pPr>
        <w:pStyle w:val="TextBody"/>
        <w:spacing w:lineRule="auto" w:line="273" w:before="0" w:after="0"/>
        <w:jc w:val="left"/>
        <w:rPr/>
      </w:pPr>
      <w:r>
        <w:rPr/>
        <w:t> </w:t>
      </w:r>
    </w:p>
    <w:p>
      <w:pPr>
        <w:pStyle w:val="TextBody"/>
        <w:spacing w:lineRule="auto" w:line="273" w:before="240" w:after="0"/>
        <w:jc w:val="left"/>
        <w:rPr>
          <w:rFonts w:ascii="Times New Roman" w:hAnsi="Times New Roman"/>
          <w:sz w:val="20"/>
        </w:rPr>
      </w:pPr>
      <w:r>
        <w:rPr>
          <w:rFonts w:ascii="Times New Roman" w:hAnsi="Times New Roman"/>
          <w:b w:val="false"/>
          <w:sz w:val="20"/>
        </w:rPr>
        <w:t>limiting or restricting our ability to take specific actions, such as incurring additional debt, making acquisitions or capital expenditures or declaring dividends.</w:t>
      </w:r>
      <w:r>
        <w:rPr>
          <w:rFonts w:ascii="Times New Roman" w:hAnsi="Times New Roman"/>
          <w:sz w:val="20"/>
        </w:rPr>
        <w:t xml:space="preserve"> </w:t>
      </w:r>
    </w:p>
    <w:p>
      <w:pPr>
        <w:pStyle w:val="TextBody"/>
        <w:spacing w:lineRule="auto" w:line="273" w:before="240" w:after="0"/>
        <w:jc w:val="left"/>
        <w:rPr>
          <w:rFonts w:ascii="Times New Roman" w:hAnsi="Times New Roman"/>
          <w:sz w:val="20"/>
        </w:rPr>
      </w:pPr>
      <w:r>
        <w:rPr>
          <w:rFonts w:ascii="Times New Roman" w:hAnsi="Times New Roman"/>
          <w:b w:val="false"/>
          <w:sz w:val="20"/>
        </w:rPr>
        <w:t>If we raise additional funds through collaborations, strategic alliances or marketing, distribution or licensing arrangements with third parties, we may have to relinquish valuable rights to our technologies, future revenue streams, research programs or product candidates or grant licenses on terms that may not be favorable to us.</w:t>
      </w:r>
      <w:r>
        <w:rPr>
          <w:rFonts w:ascii="Times New Roman" w:hAnsi="Times New Roman"/>
          <w:sz w:val="20"/>
        </w:rPr>
        <w:t xml:space="preserve"> </w:t>
      </w:r>
    </w:p>
    <w:p>
      <w:pPr>
        <w:pStyle w:val="TextBody"/>
        <w:spacing w:lineRule="auto" w:line="273" w:before="240" w:after="0"/>
        <w:jc w:val="left"/>
        <w:rPr>
          <w:rFonts w:ascii="Times New Roman" w:hAnsi="Times New Roman"/>
          <w:sz w:val="20"/>
        </w:rPr>
      </w:pPr>
      <w:r>
        <w:rPr>
          <w:rFonts w:ascii="Times New Roman" w:hAnsi="Times New Roman"/>
          <w:b w:val="false"/>
          <w:sz w:val="20"/>
        </w:rPr>
        <w:t>Our ability to raise additional funds may be adversely impacted by potential worsening global economic conditions and disruptions to and volatility in the credit and financial markets in the United States and worldwide resulting from the ongoing COVID-19 pandemic or otherwise. Because of the numerous risks and uncertainties associated with product development, we cannot predict the timing or amount of increased expenses and cannot assure you that we will ever be profitable or generate positive cash flow from operating activities.</w:t>
      </w:r>
      <w:r>
        <w:rPr>
          <w:rFonts w:ascii="Times New Roman" w:hAnsi="Times New Roman"/>
          <w:sz w:val="20"/>
        </w:rPr>
        <w:t xml:space="preserve"> </w:t>
      </w:r>
    </w:p>
    <w:p>
      <w:pPr>
        <w:pStyle w:val="TextBody"/>
        <w:spacing w:lineRule="auto" w:line="273" w:before="360" w:after="0"/>
        <w:jc w:val="left"/>
        <w:rPr>
          <w:rFonts w:ascii="Times New Roman" w:hAnsi="Times New Roman"/>
          <w:sz w:val="20"/>
        </w:rPr>
      </w:pPr>
      <w:r>
        <w:rPr>
          <w:rFonts w:ascii="Times New Roman" w:hAnsi="Times New Roman"/>
          <w:b/>
          <w:sz w:val="20"/>
        </w:rPr>
        <w:t>Off-balance sheet arrangements</w:t>
      </w:r>
      <w:r>
        <w:rPr>
          <w:rFonts w:ascii="Times New Roman" w:hAnsi="Times New Roman"/>
          <w:sz w:val="20"/>
        </w:rPr>
        <w:t xml:space="preserve"> </w:t>
      </w:r>
    </w:p>
    <w:p>
      <w:pPr>
        <w:pStyle w:val="TextBody"/>
        <w:spacing w:lineRule="auto" w:line="273" w:before="120" w:after="0"/>
        <w:jc w:val="left"/>
        <w:rPr>
          <w:rFonts w:ascii="Times New Roman" w:hAnsi="Times New Roman"/>
          <w:b w:val="false"/>
          <w:sz w:val="20"/>
        </w:rPr>
      </w:pPr>
      <w:r>
        <w:rPr>
          <w:rFonts w:ascii="Times New Roman" w:hAnsi="Times New Roman"/>
          <w:b w:val="false"/>
          <w:sz w:val="20"/>
        </w:rPr>
        <w:t>We did not during the periods presented, and we do not currently have, any off-balance sheet arrangements, as defined in the rules and regulations of the SEC.</w:t>
      </w:r>
    </w:p>
    <w:p>
      <w:pPr>
        <w:pStyle w:val="TextBody"/>
        <w:spacing w:lineRule="auto" w:line="273" w:before="360" w:after="0"/>
        <w:jc w:val="left"/>
        <w:rPr>
          <w:rFonts w:ascii="Times New Roman" w:hAnsi="Times New Roman"/>
          <w:sz w:val="20"/>
        </w:rPr>
      </w:pPr>
      <w:r>
        <w:rPr>
          <w:rFonts w:ascii="Times New Roman" w:hAnsi="Times New Roman"/>
          <w:b/>
          <w:sz w:val="20"/>
        </w:rPr>
        <w:t>Critical accounting policies and use of estimates</w:t>
      </w:r>
      <w:r>
        <w:rPr>
          <w:rFonts w:ascii="Times New Roman" w:hAnsi="Times New Roman"/>
          <w:sz w:val="20"/>
        </w:rPr>
        <w:t xml:space="preserve"> </w:t>
      </w:r>
    </w:p>
    <w:p>
      <w:pPr>
        <w:pStyle w:val="TextBody"/>
        <w:spacing w:lineRule="auto" w:line="273" w:before="120" w:after="0"/>
        <w:jc w:val="left"/>
        <w:rPr>
          <w:rFonts w:ascii="Times New Roman" w:hAnsi="Times New Roman"/>
          <w:sz w:val="20"/>
        </w:rPr>
      </w:pPr>
      <w:r>
        <w:rPr>
          <w:rFonts w:ascii="Times New Roman" w:hAnsi="Times New Roman"/>
          <w:b w:val="false"/>
          <w:sz w:val="20"/>
        </w:rPr>
        <w:t>Our critical accounting policies are disclosed in our audited consolidated financial statements for the year ended December 31, 2021, and the related notes, included in our Annual Report on Form 10-K filed with the SEC on March 7, 2022.</w:t>
      </w:r>
      <w:r>
        <w:rPr>
          <w:rFonts w:ascii="Times New Roman" w:hAnsi="Times New Roman"/>
          <w:sz w:val="20"/>
        </w:rPr>
        <w:t xml:space="preserve"> </w:t>
      </w:r>
    </w:p>
    <w:p>
      <w:pPr>
        <w:pStyle w:val="TextBody"/>
        <w:spacing w:lineRule="auto" w:line="273" w:before="360" w:after="0"/>
        <w:jc w:val="left"/>
        <w:rPr>
          <w:rFonts w:ascii="Times New Roman" w:hAnsi="Times New Roman"/>
          <w:sz w:val="20"/>
        </w:rPr>
      </w:pPr>
      <w:r>
        <w:rPr>
          <w:rFonts w:ascii="Times New Roman" w:hAnsi="Times New Roman"/>
          <w:b/>
          <w:sz w:val="20"/>
        </w:rPr>
        <w:t>New accounting pronouncements</w:t>
      </w:r>
      <w:r>
        <w:rPr>
          <w:rFonts w:ascii="Times New Roman" w:hAnsi="Times New Roman"/>
          <w:sz w:val="20"/>
        </w:rPr>
        <w:t xml:space="preserve"> </w:t>
      </w:r>
    </w:p>
    <w:p>
      <w:pPr>
        <w:pStyle w:val="TextBody"/>
        <w:spacing w:lineRule="auto" w:line="273" w:before="120" w:after="0"/>
        <w:jc w:val="left"/>
        <w:rPr>
          <w:rFonts w:ascii="Times New Roman" w:hAnsi="Times New Roman"/>
          <w:sz w:val="20"/>
        </w:rPr>
      </w:pPr>
      <w:r>
        <w:rPr>
          <w:rFonts w:ascii="Times New Roman" w:hAnsi="Times New Roman"/>
          <w:b w:val="false"/>
          <w:sz w:val="20"/>
        </w:rPr>
        <w:t>Refer to Note 2 of the notes to our unaudited condensed consolidated financial statements included elsewhere in this Quarterly Report on Form 10-Q for a summary of recently issued and adopted accounting pronouncements.</w:t>
      </w:r>
      <w:r>
        <w:rPr>
          <w:rFonts w:ascii="Times New Roman" w:hAnsi="Times New Roman"/>
          <w:sz w:val="20"/>
        </w:rPr>
        <w:t xml:space="preserve"> </w:t>
      </w:r>
    </w:p>
    <w:p>
      <w:pPr>
        <w:pStyle w:val="TextBody"/>
        <w:spacing w:lineRule="auto" w:line="273" w:before="360" w:after="0"/>
        <w:jc w:val="left"/>
        <w:rPr>
          <w:rFonts w:ascii="Times New Roman" w:hAnsi="Times New Roman"/>
          <w:sz w:val="20"/>
        </w:rPr>
      </w:pPr>
      <w:r>
        <w:rPr>
          <w:rFonts w:ascii="Times New Roman" w:hAnsi="Times New Roman"/>
          <w:b/>
          <w:sz w:val="20"/>
        </w:rPr>
        <w:t>Emerging Growth Company Status</w:t>
      </w:r>
      <w:r>
        <w:rPr>
          <w:rFonts w:ascii="Times New Roman" w:hAnsi="Times New Roman"/>
          <w:sz w:val="20"/>
        </w:rPr>
        <w:t xml:space="preserve"> </w:t>
      </w:r>
    </w:p>
    <w:p>
      <w:pPr>
        <w:pStyle w:val="TextBody"/>
        <w:spacing w:lineRule="auto" w:line="273" w:before="120" w:after="0"/>
        <w:jc w:val="left"/>
        <w:rPr>
          <w:rFonts w:ascii="Times New Roman" w:hAnsi="Times New Roman"/>
          <w:sz w:val="20"/>
        </w:rPr>
      </w:pPr>
      <w:r>
        <w:rPr>
          <w:rFonts w:ascii="Times New Roman" w:hAnsi="Times New Roman"/>
          <w:b w:val="false"/>
          <w:sz w:val="20"/>
        </w:rPr>
        <w:t>As an emerging growth company, or EGC, under the Jumpstart Our Business Startups Act of 2012, or JOBS Act, we can take advantage of an extended transition period for complying with new or revised accounting standards. This provision allows an EGC to delay the adoption of some accounting standards until those standards would otherwise apply to private companies. We have elected to use this extended transition period for complying with new or revised accounting standards that have different effective dates for public and private companies until the earlier of the date we (i) are no longer an emerging growth company or (ii) affirmatively and irrevocably opt out of the extended transition period provided in the JOBS Act.</w:t>
      </w:r>
      <w:r>
        <w:rPr>
          <w:rFonts w:ascii="Times New Roman" w:hAnsi="Times New Roman"/>
          <w:sz w:val="20"/>
        </w:rPr>
        <w:t xml:space="preserve"> </w:t>
      </w:r>
    </w:p>
    <w:p>
      <w:pPr>
        <w:pStyle w:val="TextBody"/>
        <w:spacing w:lineRule="auto" w:line="273" w:before="0" w:after="0"/>
        <w:jc w:val="center"/>
        <w:rPr>
          <w:rFonts w:ascii="Times New Roman" w:hAnsi="Times New Roman"/>
          <w:b w:val="false"/>
          <w:sz w:val="20"/>
        </w:rPr>
      </w:pPr>
      <w:r>
        <w:rPr>
          <w:rFonts w:ascii="Times New Roman" w:hAnsi="Times New Roman"/>
          <w:b w:val="false"/>
          <w:sz w:val="20"/>
        </w:rPr>
        <w:t>27</w:t>
      </w:r>
    </w:p>
    <w:p>
      <w:pPr>
        <w:pStyle w:val="HorizontalLine"/>
        <w:rPr/>
      </w:pPr>
      <w:r>
        <w:rPr/>
      </w:r>
    </w:p>
    <w:p>
      <w:pPr>
        <w:pStyle w:val="TextBody"/>
        <w:spacing w:lineRule="auto" w:line="273" w:before="0" w:after="0"/>
        <w:jc w:val="left"/>
        <w:rPr/>
      </w:pPr>
      <w:r>
        <w:rPr/>
        <w:t> </w:t>
      </w:r>
    </w:p>
    <w:p>
      <w:pPr>
        <w:pStyle w:val="TextBody"/>
        <w:spacing w:lineRule="auto" w:line="273" w:before="360" w:after="0"/>
        <w:jc w:val="left"/>
        <w:rPr>
          <w:rFonts w:ascii="Times New Roman" w:hAnsi="Times New Roman"/>
          <w:sz w:val="20"/>
        </w:rPr>
      </w:pPr>
      <w:bookmarkStart w:id="10" w:name="tx180355_10"/>
      <w:bookmarkEnd w:id="10"/>
      <w:r>
        <w:rPr>
          <w:rFonts w:ascii="Times New Roman" w:hAnsi="Times New Roman"/>
          <w:b/>
          <w:sz w:val="20"/>
        </w:rPr>
        <w:t>Item 3. Quantitative and Qualitative Disclosures About Market Risk.</w:t>
      </w:r>
      <w:r>
        <w:rPr>
          <w:rFonts w:ascii="Times New Roman" w:hAnsi="Times New Roman"/>
          <w:sz w:val="20"/>
        </w:rPr>
        <w:t xml:space="preserve"> </w:t>
      </w:r>
    </w:p>
    <w:p>
      <w:pPr>
        <w:pStyle w:val="TextBody"/>
        <w:spacing w:lineRule="auto" w:line="273" w:before="120" w:after="0"/>
        <w:jc w:val="left"/>
        <w:rPr>
          <w:rFonts w:ascii="Times New Roman" w:hAnsi="Times New Roman"/>
          <w:sz w:val="20"/>
        </w:rPr>
      </w:pPr>
      <w:r>
        <w:rPr>
          <w:rFonts w:ascii="Times New Roman" w:hAnsi="Times New Roman"/>
          <w:b w:val="false"/>
          <w:sz w:val="20"/>
        </w:rPr>
        <w:t>We are a smaller reporting company as defined by Rule 12b-2 of the Exchange Act and are not required to provide the information required under this item.</w:t>
      </w:r>
      <w:r>
        <w:rPr>
          <w:rFonts w:ascii="Times New Roman" w:hAnsi="Times New Roman"/>
          <w:sz w:val="20"/>
        </w:rPr>
        <w:t xml:space="preserve"> </w:t>
      </w:r>
    </w:p>
    <w:p>
      <w:pPr>
        <w:pStyle w:val="TextBody"/>
        <w:spacing w:lineRule="auto" w:line="273" w:before="360" w:after="0"/>
        <w:jc w:val="left"/>
        <w:rPr>
          <w:rFonts w:ascii="Times New Roman" w:hAnsi="Times New Roman"/>
          <w:sz w:val="20"/>
        </w:rPr>
      </w:pPr>
      <w:bookmarkStart w:id="11" w:name="tx180355_11"/>
      <w:bookmarkEnd w:id="11"/>
      <w:r>
        <w:rPr>
          <w:rFonts w:ascii="Times New Roman" w:hAnsi="Times New Roman"/>
          <w:b/>
          <w:sz w:val="20"/>
        </w:rPr>
        <w:t>Item 4. Controls and Procedures.</w:t>
      </w:r>
      <w:r>
        <w:rPr>
          <w:rFonts w:ascii="Times New Roman" w:hAnsi="Times New Roman"/>
          <w:sz w:val="20"/>
        </w:rPr>
        <w:t xml:space="preserve"> </w:t>
      </w:r>
    </w:p>
    <w:p>
      <w:pPr>
        <w:pStyle w:val="TextBody"/>
        <w:spacing w:lineRule="auto" w:line="273" w:before="120" w:after="0"/>
        <w:jc w:val="left"/>
        <w:rPr>
          <w:rFonts w:ascii="Times New Roman" w:hAnsi="Times New Roman"/>
          <w:sz w:val="20"/>
        </w:rPr>
      </w:pPr>
      <w:r>
        <w:rPr>
          <w:rFonts w:ascii="Times New Roman" w:hAnsi="Times New Roman"/>
          <w:b/>
          <w:sz w:val="20"/>
        </w:rPr>
        <w:t>Evaluation of Disclosure Controls and Procedures</w:t>
      </w:r>
      <w:r>
        <w:rPr>
          <w:rFonts w:ascii="Times New Roman" w:hAnsi="Times New Roman"/>
          <w:sz w:val="20"/>
        </w:rPr>
        <w:t xml:space="preserve"> </w:t>
      </w:r>
    </w:p>
    <w:p>
      <w:pPr>
        <w:pStyle w:val="TextBody"/>
        <w:spacing w:lineRule="auto" w:line="273" w:before="120" w:after="0"/>
        <w:jc w:val="left"/>
        <w:rPr>
          <w:rFonts w:ascii="Times New Roman" w:hAnsi="Times New Roman"/>
          <w:sz w:val="20"/>
        </w:rPr>
      </w:pPr>
      <w:r>
        <w:rPr>
          <w:rFonts w:ascii="Times New Roman" w:hAnsi="Times New Roman"/>
          <w:b w:val="false"/>
          <w:sz w:val="20"/>
        </w:rPr>
        <w:t>As of March 31, 2022, management, with the participation of our Principal Executive Officer and Principal Financial and Accounting Officer, performed an evaluation of the effectiveness of our disclosure controls and procedures as defined in Rules 13a-15(e) and 15d-15(e) of the Securities Exchange Act of 1934, as amended, or the Exchange Act. Our disclosure controls and procedures are designed to ensure that information required to be disclosed in the reports we file or submit under the Exchange Act is recorded, processed, summarized, and reported within the time periods specified in the SEC’s rules and forms, and that such information is accumulated and communicated to our management, including the Principal Executive Officer and the Principal Financial and Accounting Officer, to allow timely decisions regarding required disclosures. Any controls and procedures, no matter how well designed and operated, can provide only reasonable assurance of achieving the desired control objective and management necessarily applies its judgment in evaluating the cost-benefit relationship of possible controls and procedures. Based on this evaluation, our Principal Executive Officer and Principal Financial and Accounting Officer concluded that, as of March 31, 2022, our disclosure controls and procedures were effective at a reasonable assurance level.</w:t>
      </w:r>
      <w:r>
        <w:rPr>
          <w:rFonts w:ascii="Times New Roman" w:hAnsi="Times New Roman"/>
          <w:sz w:val="20"/>
        </w:rPr>
        <w:t xml:space="preserve"> </w:t>
      </w:r>
    </w:p>
    <w:p>
      <w:pPr>
        <w:pStyle w:val="TextBody"/>
        <w:spacing w:lineRule="auto" w:line="273" w:before="360" w:after="0"/>
        <w:jc w:val="left"/>
        <w:rPr>
          <w:rFonts w:ascii="Times New Roman" w:hAnsi="Times New Roman"/>
          <w:sz w:val="20"/>
        </w:rPr>
      </w:pPr>
      <w:r>
        <w:rPr>
          <w:rFonts w:ascii="Times New Roman" w:hAnsi="Times New Roman"/>
          <w:b/>
          <w:sz w:val="20"/>
        </w:rPr>
        <w:t>Changes in Internal Control over Financial Reporting</w:t>
      </w:r>
      <w:r>
        <w:rPr>
          <w:rFonts w:ascii="Times New Roman" w:hAnsi="Times New Roman"/>
          <w:sz w:val="20"/>
        </w:rPr>
        <w:t xml:space="preserve"> </w:t>
      </w:r>
    </w:p>
    <w:p>
      <w:pPr>
        <w:pStyle w:val="TextBody"/>
        <w:spacing w:lineRule="auto" w:line="273" w:before="120" w:after="0"/>
        <w:jc w:val="left"/>
        <w:rPr>
          <w:rFonts w:ascii="Times New Roman" w:hAnsi="Times New Roman"/>
          <w:sz w:val="20"/>
        </w:rPr>
      </w:pPr>
      <w:r>
        <w:rPr>
          <w:rFonts w:ascii="Times New Roman" w:hAnsi="Times New Roman"/>
          <w:b w:val="false"/>
          <w:sz w:val="20"/>
        </w:rPr>
        <w:t>There were no changes in our internal control over financial reporting that occurred during the quarter ended March 31, 2022 that have materially affected, or are reasonably likely to materially affect, our internal control over financial reporting.</w:t>
      </w:r>
      <w:r>
        <w:rPr>
          <w:rFonts w:ascii="Times New Roman" w:hAnsi="Times New Roman"/>
          <w:sz w:val="20"/>
        </w:rPr>
        <w:t xml:space="preserve"> </w:t>
      </w:r>
    </w:p>
    <w:p>
      <w:pPr>
        <w:pStyle w:val="TextBody"/>
        <w:spacing w:lineRule="auto" w:line="273" w:before="360" w:after="0"/>
        <w:jc w:val="left"/>
        <w:rPr/>
      </w:pPr>
      <w:r>
        <w:rPr/>
        <w:t> </w:t>
      </w:r>
    </w:p>
    <w:p>
      <w:pPr>
        <w:pStyle w:val="TextBody"/>
        <w:spacing w:lineRule="auto" w:line="273" w:before="0" w:after="0"/>
        <w:jc w:val="center"/>
        <w:rPr>
          <w:rFonts w:ascii="Times New Roman" w:hAnsi="Times New Roman"/>
          <w:b w:val="false"/>
          <w:sz w:val="20"/>
        </w:rPr>
      </w:pPr>
      <w:r>
        <w:rPr>
          <w:rFonts w:ascii="Times New Roman" w:hAnsi="Times New Roman"/>
          <w:b w:val="false"/>
          <w:sz w:val="20"/>
        </w:rPr>
        <w:t>28</w:t>
      </w:r>
    </w:p>
    <w:p>
      <w:pPr>
        <w:pStyle w:val="HorizontalLine"/>
        <w:rPr/>
      </w:pPr>
      <w:r>
        <w:rPr/>
      </w:r>
    </w:p>
    <w:p>
      <w:pPr>
        <w:pStyle w:val="TextBody"/>
        <w:spacing w:lineRule="auto" w:line="273" w:before="0" w:after="0"/>
        <w:jc w:val="left"/>
        <w:rPr/>
      </w:pPr>
      <w:r>
        <w:rPr/>
        <w:t> </w:t>
      </w:r>
    </w:p>
    <w:p>
      <w:pPr>
        <w:pStyle w:val="TextBody"/>
        <w:spacing w:lineRule="auto" w:line="273" w:before="0" w:after="0"/>
        <w:jc w:val="center"/>
        <w:rPr>
          <w:rFonts w:ascii="Times New Roman" w:hAnsi="Times New Roman"/>
          <w:sz w:val="20"/>
        </w:rPr>
      </w:pPr>
      <w:bookmarkStart w:id="12" w:name="tx180355_12"/>
      <w:bookmarkEnd w:id="12"/>
      <w:r>
        <w:rPr>
          <w:rFonts w:ascii="Times New Roman" w:hAnsi="Times New Roman"/>
          <w:b/>
          <w:caps/>
          <w:sz w:val="20"/>
        </w:rPr>
        <w:t>PART II-OTHER INFORMATION</w:t>
      </w:r>
      <w:r>
        <w:rPr>
          <w:rFonts w:ascii="Times New Roman" w:hAnsi="Times New Roman"/>
          <w:caps/>
          <w:sz w:val="20"/>
        </w:rPr>
        <w:t xml:space="preserve"> </w:t>
      </w:r>
    </w:p>
    <w:p>
      <w:pPr>
        <w:pStyle w:val="TextBody"/>
        <w:spacing w:lineRule="auto" w:line="273" w:before="240" w:after="0"/>
        <w:jc w:val="left"/>
        <w:rPr>
          <w:rFonts w:ascii="Times New Roman" w:hAnsi="Times New Roman"/>
          <w:sz w:val="20"/>
        </w:rPr>
      </w:pPr>
      <w:bookmarkStart w:id="13" w:name="tx180355_13"/>
      <w:bookmarkEnd w:id="13"/>
      <w:r>
        <w:rPr>
          <w:rFonts w:ascii="Times New Roman" w:hAnsi="Times New Roman"/>
          <w:b/>
          <w:sz w:val="20"/>
        </w:rPr>
        <w:t>Item 1. Legal Proceedings.</w:t>
      </w:r>
      <w:r>
        <w:rPr>
          <w:rFonts w:ascii="Times New Roman" w:hAnsi="Times New Roman"/>
          <w:sz w:val="20"/>
        </w:rPr>
        <w:t xml:space="preserve"> </w:t>
      </w:r>
    </w:p>
    <w:p>
      <w:pPr>
        <w:pStyle w:val="TextBody"/>
        <w:spacing w:lineRule="auto" w:line="273" w:before="120" w:after="0"/>
        <w:jc w:val="left"/>
        <w:rPr>
          <w:rFonts w:ascii="Times New Roman" w:hAnsi="Times New Roman"/>
          <w:sz w:val="20"/>
        </w:rPr>
      </w:pPr>
      <w:r>
        <w:rPr>
          <w:rFonts w:ascii="Times New Roman" w:hAnsi="Times New Roman"/>
          <w:b w:val="false"/>
          <w:sz w:val="20"/>
        </w:rPr>
        <w:t>From time to time, we may be involved in legal proceedings arising in the ordinary course of our business. We are not presently a party to any legal proceedings that, in the opinion of management, would have a material adverse effect on our business. Regardless of outcome, litigation can have an adverse impact on us due to defense and settlement costs, diversion of management resources, negative publicity and reputational harm, and other factors.</w:t>
      </w:r>
      <w:r>
        <w:rPr>
          <w:rFonts w:ascii="Times New Roman" w:hAnsi="Times New Roman"/>
          <w:sz w:val="20"/>
        </w:rPr>
        <w:t xml:space="preserve"> </w:t>
      </w:r>
    </w:p>
    <w:p>
      <w:pPr>
        <w:pStyle w:val="TextBody"/>
        <w:spacing w:lineRule="auto" w:line="273" w:before="360" w:after="0"/>
        <w:jc w:val="left"/>
        <w:rPr>
          <w:rFonts w:ascii="Times New Roman" w:hAnsi="Times New Roman"/>
          <w:sz w:val="20"/>
        </w:rPr>
      </w:pPr>
      <w:bookmarkStart w:id="14" w:name="tx180355_14"/>
      <w:bookmarkEnd w:id="14"/>
      <w:r>
        <w:rPr>
          <w:rFonts w:ascii="Times New Roman" w:hAnsi="Times New Roman"/>
          <w:b/>
          <w:sz w:val="20"/>
        </w:rPr>
        <w:t>Item 1A. Risk Factors.</w:t>
      </w:r>
      <w:r>
        <w:rPr>
          <w:rFonts w:ascii="Times New Roman" w:hAnsi="Times New Roman"/>
          <w:sz w:val="20"/>
        </w:rPr>
        <w:t xml:space="preserve"> </w:t>
      </w:r>
    </w:p>
    <w:p>
      <w:pPr>
        <w:pStyle w:val="TextBody"/>
        <w:spacing w:lineRule="auto" w:line="273" w:before="120" w:after="0"/>
        <w:jc w:val="left"/>
        <w:rPr>
          <w:rFonts w:ascii="Times New Roman" w:hAnsi="Times New Roman"/>
          <w:sz w:val="20"/>
        </w:rPr>
      </w:pPr>
      <w:r>
        <w:rPr>
          <w:rFonts w:ascii="Times New Roman" w:hAnsi="Times New Roman"/>
          <w:b w:val="false"/>
          <w:i/>
          <w:sz w:val="20"/>
        </w:rPr>
        <w:t>Investing in our common stock involves a high degree of risk. Before making your decision to invest in shares of our common stock, you should carefully consider the risks and uncertainties described below, together with the other information contained in this quarterly report, including our financial statements and the related notes and “Management’s Discussion and Analysis of Financial Condition and Results of Operations.” The risks and uncertainties described below are not the only ones we face. Additional risks and uncertainties that we are unaware of, or that we currently believe are not material, may also become important factors that affect us. We cannot assure you that any of the events discussed below will not occur. These events could have a material and adverse impact on our business, financial condition, results of operations and prospects. If that were to happen, the trading price of our common stock could decline, and you could lose all or part of your investment.</w:t>
      </w:r>
      <w:r>
        <w:rPr>
          <w:rFonts w:ascii="Times New Roman" w:hAnsi="Times New Roman"/>
          <w:sz w:val="20"/>
        </w:rPr>
        <w:t xml:space="preserve"> </w:t>
      </w:r>
    </w:p>
    <w:p>
      <w:pPr>
        <w:pStyle w:val="TextBody"/>
        <w:spacing w:lineRule="auto" w:line="273" w:before="360" w:after="0"/>
        <w:jc w:val="left"/>
        <w:rPr>
          <w:rFonts w:ascii="Times New Roman" w:hAnsi="Times New Roman"/>
          <w:sz w:val="20"/>
        </w:rPr>
      </w:pPr>
      <w:r>
        <w:rPr>
          <w:rFonts w:ascii="Times New Roman" w:hAnsi="Times New Roman"/>
          <w:b/>
          <w:sz w:val="20"/>
        </w:rPr>
        <w:t>Summary of Risk Factors</w:t>
      </w:r>
      <w:r>
        <w:rPr>
          <w:rFonts w:ascii="Times New Roman" w:hAnsi="Times New Roman"/>
          <w:sz w:val="20"/>
        </w:rPr>
        <w:t xml:space="preserve"> </w:t>
      </w:r>
    </w:p>
    <w:p>
      <w:pPr>
        <w:pStyle w:val="TextBody"/>
        <w:spacing w:lineRule="auto" w:line="273" w:before="120" w:after="0"/>
        <w:jc w:val="left"/>
        <w:rPr>
          <w:rFonts w:ascii="Times New Roman" w:hAnsi="Times New Roman"/>
          <w:sz w:val="20"/>
        </w:rPr>
      </w:pPr>
      <w:r>
        <w:rPr>
          <w:rFonts w:ascii="Times New Roman" w:hAnsi="Times New Roman"/>
          <w:b w:val="false"/>
          <w:sz w:val="20"/>
        </w:rPr>
        <w:t>Our business is subject to several risks and uncertainties, including those immediately following this summary. Some of these risks are:</w:t>
      </w:r>
      <w:r>
        <w:rPr>
          <w:rFonts w:ascii="Times New Roman" w:hAnsi="Times New Roman"/>
          <w:sz w:val="20"/>
        </w:rPr>
        <w:t xml:space="preserve"> </w:t>
      </w:r>
    </w:p>
    <w:p>
      <w:pPr>
        <w:pStyle w:val="TextBody"/>
        <w:spacing w:lineRule="auto" w:line="273" w:before="120" w:after="0"/>
        <w:jc w:val="left"/>
        <w:rPr/>
      </w:pPr>
      <w:r>
        <w:rPr/>
        <w:t>•</w:t>
      </w:r>
    </w:p>
    <w:p>
      <w:pPr>
        <w:pStyle w:val="TextBody"/>
        <w:spacing w:lineRule="auto" w:line="273" w:before="120" w:after="0"/>
        <w:jc w:val="left"/>
        <w:rPr>
          <w:rFonts w:ascii="Times New Roman" w:hAnsi="Times New Roman"/>
          <w:b w:val="false"/>
          <w:sz w:val="20"/>
        </w:rPr>
      </w:pPr>
      <w:r>
        <w:rPr>
          <w:rFonts w:ascii="Times New Roman" w:hAnsi="Times New Roman"/>
          <w:b w:val="false"/>
          <w:sz w:val="20"/>
        </w:rPr>
        <w:t xml:space="preserve">We have a limited operating history, have not completed any clinical trials beyond Phase 1, have no products approved for commercial sale and have not generated any revenue, which may make it difficult for investors to evaluate our current business and likelihood of success and viability. </w:t>
      </w:r>
    </w:p>
    <w:p>
      <w:pPr>
        <w:pStyle w:val="TextBody"/>
        <w:spacing w:lineRule="auto" w:line="273" w:before="120" w:after="0"/>
        <w:jc w:val="left"/>
        <w:rPr/>
      </w:pPr>
      <w:r>
        <w:rPr/>
        <w:t>•</w:t>
      </w:r>
    </w:p>
    <w:p>
      <w:pPr>
        <w:pStyle w:val="TextBody"/>
        <w:spacing w:lineRule="auto" w:line="273" w:before="120" w:after="0"/>
        <w:jc w:val="left"/>
        <w:rPr>
          <w:rFonts w:ascii="Times New Roman" w:hAnsi="Times New Roman"/>
          <w:b w:val="false"/>
          <w:sz w:val="20"/>
        </w:rPr>
      </w:pPr>
      <w:r>
        <w:rPr>
          <w:rFonts w:ascii="Times New Roman" w:hAnsi="Times New Roman"/>
          <w:b w:val="false"/>
          <w:sz w:val="20"/>
        </w:rPr>
        <w:t>We have incurred significant net losses since our inception and have not generated any revenue. We expect to incur continued losses for the foreseeable future and may never achieve or maintain profitability.</w:t>
      </w:r>
    </w:p>
    <w:p>
      <w:pPr>
        <w:pStyle w:val="TextBody"/>
        <w:spacing w:lineRule="auto" w:line="273" w:before="120" w:after="0"/>
        <w:jc w:val="left"/>
        <w:rPr/>
      </w:pPr>
      <w:r>
        <w:rPr/>
        <w:t>•</w:t>
      </w:r>
    </w:p>
    <w:p>
      <w:pPr>
        <w:pStyle w:val="TextBody"/>
        <w:spacing w:lineRule="auto" w:line="273" w:before="120" w:after="0"/>
        <w:jc w:val="left"/>
        <w:rPr>
          <w:rFonts w:ascii="Times New Roman" w:hAnsi="Times New Roman"/>
          <w:b w:val="false"/>
          <w:sz w:val="20"/>
        </w:rPr>
      </w:pPr>
      <w:r>
        <w:rPr>
          <w:rFonts w:ascii="Times New Roman" w:hAnsi="Times New Roman"/>
          <w:b w:val="false"/>
          <w:sz w:val="20"/>
        </w:rPr>
        <w:t xml:space="preserve">We are substantially dependent on the success of our lead product candidate, tovorafenib (DAY101), which is currently in clinical development and which has not completed a pivotal trial. </w:t>
      </w:r>
    </w:p>
    <w:p>
      <w:pPr>
        <w:pStyle w:val="TextBody"/>
        <w:spacing w:lineRule="auto" w:line="273" w:before="120" w:after="0"/>
        <w:jc w:val="left"/>
        <w:rPr/>
      </w:pPr>
      <w:r>
        <w:rPr/>
        <w:t>•</w:t>
      </w:r>
    </w:p>
    <w:p>
      <w:pPr>
        <w:pStyle w:val="TextBody"/>
        <w:spacing w:lineRule="auto" w:line="273" w:before="120" w:after="0"/>
        <w:jc w:val="left"/>
        <w:rPr>
          <w:rFonts w:ascii="Times New Roman" w:hAnsi="Times New Roman"/>
          <w:b w:val="false"/>
          <w:sz w:val="20"/>
        </w:rPr>
      </w:pPr>
      <w:r>
        <w:rPr>
          <w:rFonts w:ascii="Times New Roman" w:hAnsi="Times New Roman"/>
          <w:b w:val="false"/>
          <w:sz w:val="20"/>
        </w:rPr>
        <w:t xml:space="preserve">Our ability to generate revenue and achieve profitability depends significantly on our ability to achieve several objectives relating to the discovery or identification, development and commercialization of our product candidates. </w:t>
      </w:r>
    </w:p>
    <w:p>
      <w:pPr>
        <w:pStyle w:val="TextBody"/>
        <w:spacing w:lineRule="auto" w:line="273" w:before="120" w:after="0"/>
        <w:jc w:val="left"/>
        <w:rPr/>
      </w:pPr>
      <w:r>
        <w:rPr/>
        <w:t>•</w:t>
      </w:r>
    </w:p>
    <w:p>
      <w:pPr>
        <w:pStyle w:val="TextBody"/>
        <w:spacing w:lineRule="auto" w:line="273" w:before="120" w:after="0"/>
        <w:jc w:val="left"/>
        <w:rPr>
          <w:rFonts w:ascii="Times New Roman" w:hAnsi="Times New Roman"/>
          <w:b w:val="false"/>
          <w:sz w:val="20"/>
        </w:rPr>
      </w:pPr>
      <w:r>
        <w:rPr>
          <w:rFonts w:ascii="Times New Roman" w:hAnsi="Times New Roman"/>
          <w:b w:val="false"/>
          <w:sz w:val="20"/>
        </w:rPr>
        <w:t xml:space="preserve">We will require substantial additional capital to finance our operations and achieve our goals. If we are unable to raise capital when needed or on terms acceptable to us, we may be forced to delay, reduce or eliminate our research or product development programs, any future commercialization efforts or other operations. </w:t>
      </w:r>
    </w:p>
    <w:p>
      <w:pPr>
        <w:pStyle w:val="TextBody"/>
        <w:spacing w:lineRule="auto" w:line="273" w:before="120" w:after="0"/>
        <w:jc w:val="left"/>
        <w:rPr/>
      </w:pPr>
      <w:r>
        <w:rPr/>
        <w:t>•</w:t>
      </w:r>
    </w:p>
    <w:p>
      <w:pPr>
        <w:pStyle w:val="TextBody"/>
        <w:spacing w:lineRule="auto" w:line="273" w:before="120" w:after="0"/>
        <w:jc w:val="left"/>
        <w:rPr>
          <w:rFonts w:ascii="Times New Roman" w:hAnsi="Times New Roman"/>
          <w:b w:val="false"/>
          <w:sz w:val="20"/>
        </w:rPr>
      </w:pPr>
      <w:r>
        <w:rPr>
          <w:rFonts w:ascii="Times New Roman" w:hAnsi="Times New Roman"/>
          <w:b w:val="false"/>
          <w:sz w:val="20"/>
        </w:rPr>
        <w:t xml:space="preserve">Clinical trials are very expensive, time-consuming and difficult to design and implement, and involve uncertain outcomes. Furthermore, results of earlier preclinical studies and clinical trials may not be predictive of results of future preclinical studies or clinical trials. Our product candidates may not have favorable results in later clinical trials, if any, or receive regulatory approval. </w:t>
      </w:r>
    </w:p>
    <w:p>
      <w:pPr>
        <w:pStyle w:val="TextBody"/>
        <w:spacing w:lineRule="auto" w:line="273" w:before="120" w:after="0"/>
        <w:jc w:val="left"/>
        <w:rPr/>
      </w:pPr>
      <w:r>
        <w:rPr/>
        <w:t>•</w:t>
      </w:r>
    </w:p>
    <w:p>
      <w:pPr>
        <w:pStyle w:val="TextBody"/>
        <w:spacing w:lineRule="auto" w:line="273" w:before="120" w:after="0"/>
        <w:jc w:val="left"/>
        <w:rPr>
          <w:rFonts w:ascii="Times New Roman" w:hAnsi="Times New Roman"/>
          <w:b w:val="false"/>
          <w:sz w:val="20"/>
        </w:rPr>
      </w:pPr>
      <w:r>
        <w:rPr>
          <w:rFonts w:ascii="Times New Roman" w:hAnsi="Times New Roman"/>
          <w:b w:val="false"/>
          <w:sz w:val="20"/>
        </w:rPr>
        <w:t xml:space="preserve">We rely on data from an investigator-initiated trial Phase 1 clinical trial in our regulatory filings and we do not control the trial operations or reporting of the results. </w:t>
      </w:r>
    </w:p>
    <w:p>
      <w:pPr>
        <w:pStyle w:val="TextBody"/>
        <w:spacing w:lineRule="auto" w:line="273" w:before="120" w:after="0"/>
        <w:jc w:val="left"/>
        <w:rPr/>
      </w:pPr>
      <w:r>
        <w:rPr/>
        <w:t>•</w:t>
      </w:r>
    </w:p>
    <w:p>
      <w:pPr>
        <w:pStyle w:val="TextBody"/>
        <w:spacing w:lineRule="auto" w:line="273" w:before="120" w:after="0"/>
        <w:jc w:val="left"/>
        <w:rPr>
          <w:rFonts w:ascii="Times New Roman" w:hAnsi="Times New Roman"/>
          <w:b w:val="false"/>
          <w:sz w:val="20"/>
        </w:rPr>
      </w:pPr>
      <w:r>
        <w:rPr>
          <w:rFonts w:ascii="Times New Roman" w:hAnsi="Times New Roman"/>
          <w:b w:val="false"/>
          <w:sz w:val="20"/>
        </w:rPr>
        <w:t xml:space="preserve">If we fail to demonstrate safety and efficacy to our stakeholders, our reputation may be harmed and our business will suffer. </w:t>
      </w:r>
    </w:p>
    <w:p>
      <w:pPr>
        <w:pStyle w:val="TextBody"/>
        <w:spacing w:lineRule="auto" w:line="273" w:before="120" w:after="0"/>
        <w:jc w:val="left"/>
        <w:rPr/>
      </w:pPr>
      <w:r>
        <w:rPr/>
        <w:t>•</w:t>
      </w:r>
    </w:p>
    <w:p>
      <w:pPr>
        <w:pStyle w:val="TextBody"/>
        <w:spacing w:lineRule="auto" w:line="273" w:before="120" w:after="0"/>
        <w:jc w:val="left"/>
        <w:rPr>
          <w:rFonts w:ascii="Times New Roman" w:hAnsi="Times New Roman"/>
          <w:b w:val="false"/>
          <w:sz w:val="20"/>
        </w:rPr>
      </w:pPr>
      <w:r>
        <w:rPr>
          <w:rFonts w:ascii="Times New Roman" w:hAnsi="Times New Roman"/>
          <w:b w:val="false"/>
          <w:sz w:val="20"/>
        </w:rPr>
        <w:t xml:space="preserve">The COVID-19 pandemic could adversely impact our business, including our clinical trials and clinical trial operations. </w:t>
      </w:r>
    </w:p>
    <w:p>
      <w:pPr>
        <w:pStyle w:val="TextBody"/>
        <w:spacing w:lineRule="auto" w:line="273" w:before="120" w:after="0"/>
        <w:jc w:val="left"/>
        <w:rPr/>
      </w:pPr>
      <w:r>
        <w:rPr/>
        <w:t>•</w:t>
      </w:r>
    </w:p>
    <w:p>
      <w:pPr>
        <w:pStyle w:val="TextBody"/>
        <w:spacing w:lineRule="auto" w:line="273" w:before="120" w:after="0"/>
        <w:jc w:val="left"/>
        <w:rPr>
          <w:rFonts w:ascii="Times New Roman" w:hAnsi="Times New Roman"/>
          <w:b w:val="false"/>
          <w:sz w:val="20"/>
        </w:rPr>
      </w:pPr>
      <w:r>
        <w:rPr>
          <w:rFonts w:ascii="Times New Roman" w:hAnsi="Times New Roman"/>
          <w:b w:val="false"/>
          <w:sz w:val="20"/>
        </w:rPr>
        <w:t xml:space="preserve">The development and commercialization of pharmaceutical products are subject to extensive regulation, and we may not obtain regulatory approvals for tovorafenib (DAY101), pimasertib or any future product candidates, on a timely basis or at all. </w:t>
      </w:r>
    </w:p>
    <w:p>
      <w:pPr>
        <w:pStyle w:val="TextBody"/>
        <w:spacing w:lineRule="auto" w:line="273" w:before="120" w:after="0"/>
        <w:jc w:val="left"/>
        <w:rPr/>
      </w:pPr>
      <w:r>
        <w:rPr/>
        <w:t>•</w:t>
      </w:r>
    </w:p>
    <w:p>
      <w:pPr>
        <w:pStyle w:val="TextBody"/>
        <w:spacing w:lineRule="auto" w:line="273" w:before="120" w:after="0"/>
        <w:jc w:val="left"/>
        <w:rPr>
          <w:rFonts w:ascii="Times New Roman" w:hAnsi="Times New Roman"/>
          <w:b w:val="false"/>
          <w:sz w:val="20"/>
        </w:rPr>
      </w:pPr>
      <w:r>
        <w:rPr>
          <w:rFonts w:ascii="Times New Roman" w:hAnsi="Times New Roman"/>
          <w:b w:val="false"/>
          <w:sz w:val="20"/>
        </w:rPr>
        <w:t xml:space="preserve">The manufacture of our product candidates is complex. Our third-party manufacturers may encounter difficulties in production, which could delay or entirely halt their ability to supply our product candidates for clinical trials or, if approved, for commercial sale. </w:t>
      </w:r>
    </w:p>
    <w:p>
      <w:pPr>
        <w:pStyle w:val="TextBody"/>
        <w:spacing w:lineRule="auto" w:line="273" w:before="120" w:after="0"/>
        <w:jc w:val="left"/>
        <w:rPr/>
      </w:pPr>
      <w:r>
        <w:rPr/>
        <w:t>•</w:t>
      </w:r>
    </w:p>
    <w:p>
      <w:pPr>
        <w:pStyle w:val="TextBody"/>
        <w:spacing w:lineRule="auto" w:line="273" w:before="120" w:after="0"/>
        <w:jc w:val="left"/>
        <w:rPr>
          <w:rFonts w:ascii="Times New Roman" w:hAnsi="Times New Roman"/>
          <w:b w:val="false"/>
          <w:sz w:val="20"/>
        </w:rPr>
      </w:pPr>
      <w:r>
        <w:rPr>
          <w:rFonts w:ascii="Times New Roman" w:hAnsi="Times New Roman"/>
          <w:b w:val="false"/>
          <w:sz w:val="20"/>
        </w:rPr>
        <w:t xml:space="preserve">Our future success depends on our ability to retain our executive officers and key employees and to attract, retain and motivate qualified personnel and manage our human capital. </w:t>
      </w:r>
    </w:p>
    <w:p>
      <w:pPr>
        <w:pStyle w:val="TextBody"/>
        <w:spacing w:lineRule="auto" w:line="273" w:before="120" w:after="0"/>
        <w:jc w:val="left"/>
        <w:rPr/>
      </w:pPr>
      <w:r>
        <w:rPr/>
        <w:t>•</w:t>
      </w:r>
    </w:p>
    <w:p>
      <w:pPr>
        <w:pStyle w:val="TextBody"/>
        <w:spacing w:lineRule="auto" w:line="273" w:before="120" w:after="283"/>
        <w:jc w:val="left"/>
        <w:rPr>
          <w:rFonts w:ascii="Times New Roman" w:hAnsi="Times New Roman"/>
          <w:b w:val="false"/>
          <w:sz w:val="20"/>
        </w:rPr>
      </w:pPr>
      <w:r>
        <w:rPr>
          <w:rFonts w:ascii="Times New Roman" w:hAnsi="Times New Roman"/>
          <w:b w:val="false"/>
          <w:sz w:val="20"/>
        </w:rPr>
        <w:t>We will need to grow the size and capabilities of our organization, and we may experience difficulties in managing this growth.</w:t>
      </w:r>
    </w:p>
    <w:p>
      <w:pPr>
        <w:pStyle w:val="TextBody"/>
        <w:spacing w:lineRule="auto" w:line="273" w:before="0" w:after="0"/>
        <w:jc w:val="center"/>
        <w:rPr>
          <w:rFonts w:ascii="Times New Roman" w:hAnsi="Times New Roman"/>
          <w:b w:val="false"/>
          <w:sz w:val="20"/>
        </w:rPr>
      </w:pPr>
      <w:r>
        <w:rPr>
          <w:rFonts w:ascii="Times New Roman" w:hAnsi="Times New Roman"/>
          <w:b w:val="false"/>
          <w:sz w:val="20"/>
        </w:rPr>
        <w:t>29</w:t>
      </w:r>
    </w:p>
    <w:p>
      <w:pPr>
        <w:pStyle w:val="HorizontalLine"/>
        <w:rPr/>
      </w:pPr>
      <w:r>
        <w:rPr/>
      </w:r>
    </w:p>
    <w:p>
      <w:pPr>
        <w:pStyle w:val="TextBody"/>
        <w:spacing w:lineRule="auto" w:line="273" w:before="0" w:after="0"/>
        <w:jc w:val="left"/>
        <w:rPr/>
      </w:pPr>
      <w:r>
        <w:rPr/>
        <w:t> </w:t>
      </w:r>
    </w:p>
    <w:p>
      <w:pPr>
        <w:pStyle w:val="TextBody"/>
        <w:spacing w:lineRule="auto" w:line="273" w:before="120" w:after="0"/>
        <w:jc w:val="left"/>
        <w:rPr/>
      </w:pPr>
      <w:r>
        <w:rPr/>
        <w:t>•</w:t>
      </w:r>
    </w:p>
    <w:p>
      <w:pPr>
        <w:pStyle w:val="TextBody"/>
        <w:spacing w:lineRule="auto" w:line="273" w:before="120" w:after="283"/>
        <w:jc w:val="left"/>
        <w:rPr>
          <w:rFonts w:ascii="Times New Roman" w:hAnsi="Times New Roman"/>
          <w:b w:val="false"/>
          <w:sz w:val="20"/>
        </w:rPr>
      </w:pPr>
      <w:r>
        <w:rPr>
          <w:rFonts w:ascii="Times New Roman" w:hAnsi="Times New Roman"/>
          <w:b w:val="false"/>
          <w:sz w:val="20"/>
        </w:rPr>
        <w:t>If we are unable to obtain and maintain patent protection or other necessary rights for our products and technology, or if the scope of the patent protection obtained is not sufficiently broad or our rights under licensed patents are not sufficiently broad, our competitors could develop and commercialize products and technology similar or identical to ours, and our ability to successfully commercialize our products and technology may be adversely affected.</w:t>
      </w:r>
    </w:p>
    <w:p>
      <w:pPr>
        <w:pStyle w:val="TextBody"/>
        <w:spacing w:lineRule="auto" w:line="273" w:before="360" w:after="0"/>
        <w:jc w:val="left"/>
        <w:rPr>
          <w:rFonts w:ascii="Times New Roman" w:hAnsi="Times New Roman"/>
          <w:sz w:val="20"/>
        </w:rPr>
      </w:pPr>
      <w:r>
        <w:rPr>
          <w:rFonts w:ascii="Times New Roman" w:hAnsi="Times New Roman"/>
          <w:b/>
          <w:sz w:val="20"/>
        </w:rPr>
        <w:t>Risks related to our financial position and need for additional capital</w:t>
      </w:r>
      <w:r>
        <w:rPr>
          <w:rFonts w:ascii="Times New Roman" w:hAnsi="Times New Roman"/>
          <w:sz w:val="20"/>
        </w:rPr>
        <w:t xml:space="preserve"> </w:t>
      </w:r>
    </w:p>
    <w:p>
      <w:pPr>
        <w:pStyle w:val="TextBody"/>
        <w:spacing w:lineRule="auto" w:line="273" w:before="120" w:after="0"/>
        <w:jc w:val="left"/>
        <w:rPr>
          <w:rFonts w:ascii="Times New Roman" w:hAnsi="Times New Roman"/>
          <w:sz w:val="20"/>
        </w:rPr>
      </w:pPr>
      <w:r>
        <w:rPr>
          <w:rFonts w:ascii="Times New Roman" w:hAnsi="Times New Roman"/>
          <w:b/>
          <w:i/>
          <w:sz w:val="20"/>
        </w:rPr>
        <w:t>We have a limited operating history, have not completed any clinical trials beyond Phase 1, have no products approved for commercial sale and have not generated any revenue, which may make it difficult for investors to evaluate our current business and likelihood of success and viability.</w:t>
      </w:r>
      <w:r>
        <w:rPr>
          <w:rFonts w:ascii="Times New Roman" w:hAnsi="Times New Roman"/>
          <w:sz w:val="20"/>
        </w:rPr>
        <w:t xml:space="preserve"> </w:t>
      </w:r>
    </w:p>
    <w:p>
      <w:pPr>
        <w:pStyle w:val="TextBody"/>
        <w:spacing w:lineRule="auto" w:line="273" w:before="120" w:after="0"/>
        <w:jc w:val="left"/>
        <w:rPr>
          <w:rFonts w:ascii="Times New Roman" w:hAnsi="Times New Roman"/>
          <w:sz w:val="20"/>
        </w:rPr>
      </w:pPr>
      <w:r>
        <w:rPr>
          <w:rFonts w:ascii="Times New Roman" w:hAnsi="Times New Roman"/>
          <w:b w:val="false"/>
          <w:sz w:val="20"/>
        </w:rPr>
        <w:t>We are a clinical-stage biopharmaceutical company with a limited operating history upon which you can evaluate our business and prospects. We commenced operations in 2018, have no products approved for commercial sale and have never generated any revenue. Investment in drug development is a highly speculative undertaking and involves a substantial degree of risk. To date, we have devoted substantially all of our resources to identifying, acquiring and developing our product candidates and building our pipeline, organizing and staffing our company, business planning, establishing and maintaining our intellectual property portfolio, establishing arrangements with third parties for the manufacture of our product candidates, raising capital and providing general and administrative support for these operations.</w:t>
      </w:r>
      <w:r>
        <w:rPr>
          <w:rFonts w:ascii="Times New Roman" w:hAnsi="Times New Roman"/>
          <w:sz w:val="20"/>
        </w:rPr>
        <w:t xml:space="preserve"> </w:t>
      </w:r>
    </w:p>
    <w:p>
      <w:pPr>
        <w:pStyle w:val="TextBody"/>
        <w:spacing w:lineRule="auto" w:line="273" w:before="240" w:after="0"/>
        <w:jc w:val="left"/>
        <w:rPr>
          <w:rFonts w:ascii="Times New Roman" w:hAnsi="Times New Roman"/>
          <w:sz w:val="20"/>
        </w:rPr>
      </w:pPr>
      <w:r>
        <w:rPr>
          <w:rFonts w:ascii="Times New Roman" w:hAnsi="Times New Roman"/>
          <w:b w:val="false"/>
          <w:sz w:val="20"/>
        </w:rPr>
        <w:t>Since our inception, we have focused substantially all of our efforts and financial resources on the clinical development of our lead product candidate, tovorafenib (DAY101), initially for relapsed or progressive low-grade gliomas, or pLGGs, and our other current product candidate, pimasertib, an orally available small molecule inhibitor of MEK kinase, which we intend to use in combination with tovorafenib (DAY101) for the treatment of RAS and RAF-dependent tumors. To date, we have financed our operations primarily through the sale and issuance of redeemable convertible preferred shares, convertible notes, and the completion of our initial public offering, or IPO.</w:t>
      </w:r>
      <w:r>
        <w:rPr>
          <w:rFonts w:ascii="Times New Roman" w:hAnsi="Times New Roman"/>
          <w:sz w:val="20"/>
        </w:rPr>
        <w:t xml:space="preserve"> </w:t>
      </w:r>
    </w:p>
    <w:p>
      <w:pPr>
        <w:pStyle w:val="TextBody"/>
        <w:spacing w:lineRule="auto" w:line="273" w:before="240" w:after="0"/>
        <w:jc w:val="left"/>
        <w:rPr>
          <w:rFonts w:ascii="Times New Roman" w:hAnsi="Times New Roman"/>
          <w:sz w:val="20"/>
        </w:rPr>
      </w:pPr>
      <w:r>
        <w:rPr>
          <w:rFonts w:ascii="Times New Roman" w:hAnsi="Times New Roman"/>
          <w:b w:val="false"/>
          <w:sz w:val="20"/>
        </w:rPr>
        <w:t>We have not yet demonstrated an ability to successfully complete any clinical trials beyond Phase 1, obtain marketing approvals, manufacture a commercial-scale product or arrange for a third party to do so on our behalf, or conduct sales and marketing activities necessary for successful product commercialization. As a result, it may be more difficult for you to accurately predict our likelihood of success and viability than it could be if we had a longer operating history.</w:t>
      </w:r>
      <w:r>
        <w:rPr>
          <w:rFonts w:ascii="Times New Roman" w:hAnsi="Times New Roman"/>
          <w:sz w:val="20"/>
        </w:rPr>
        <w:t xml:space="preserve"> </w:t>
      </w:r>
    </w:p>
    <w:p>
      <w:pPr>
        <w:pStyle w:val="TextBody"/>
        <w:spacing w:lineRule="auto" w:line="273" w:before="240" w:after="0"/>
        <w:jc w:val="left"/>
        <w:rPr>
          <w:rFonts w:ascii="Times New Roman" w:hAnsi="Times New Roman"/>
          <w:sz w:val="20"/>
        </w:rPr>
      </w:pPr>
      <w:r>
        <w:rPr>
          <w:rFonts w:ascii="Times New Roman" w:hAnsi="Times New Roman"/>
          <w:b w:val="false"/>
          <w:sz w:val="20"/>
        </w:rPr>
        <w:t>In addition, we may encounter unforeseen expenses, difficulties, complications, delays and other known and unknown factors and risks frequently experienced by clinical-stage biopharmaceutical companies in rapidly evolving fields. We also may need to transition from a company with a research and development focus to a company capable of supporting commercial activities. We have not yet demonstrated an ability to successfully overcome such risks and difficulties, or to make such a transition. If we do not adequately address these risks and difficulties or successfully make such a transition, our business will suffer.</w:t>
      </w:r>
      <w:r>
        <w:rPr>
          <w:rFonts w:ascii="Times New Roman" w:hAnsi="Times New Roman"/>
          <w:sz w:val="20"/>
        </w:rPr>
        <w:t xml:space="preserve"> </w:t>
      </w:r>
    </w:p>
    <w:p>
      <w:pPr>
        <w:pStyle w:val="TextBody"/>
        <w:spacing w:lineRule="auto" w:line="273" w:before="360" w:after="0"/>
        <w:jc w:val="left"/>
        <w:rPr>
          <w:rFonts w:ascii="Times New Roman" w:hAnsi="Times New Roman"/>
          <w:sz w:val="20"/>
        </w:rPr>
      </w:pPr>
      <w:r>
        <w:rPr>
          <w:rFonts w:ascii="Times New Roman" w:hAnsi="Times New Roman"/>
          <w:b/>
          <w:i/>
          <w:sz w:val="20"/>
        </w:rPr>
        <w:t>We have incurred significant net losses since our inception and have not generated any revenue. We expect to incur continued losses for the foreseeable future and may never achieve or maintain profitability.</w:t>
      </w:r>
      <w:r>
        <w:rPr>
          <w:rFonts w:ascii="Times New Roman" w:hAnsi="Times New Roman"/>
          <w:sz w:val="20"/>
        </w:rPr>
        <w:t xml:space="preserve"> </w:t>
      </w:r>
    </w:p>
    <w:p>
      <w:pPr>
        <w:pStyle w:val="TextBody"/>
        <w:spacing w:lineRule="auto" w:line="273" w:before="120" w:after="0"/>
        <w:jc w:val="left"/>
        <w:rPr>
          <w:rFonts w:ascii="Times New Roman" w:hAnsi="Times New Roman"/>
          <w:sz w:val="20"/>
        </w:rPr>
      </w:pPr>
      <w:r>
        <w:rPr>
          <w:rFonts w:ascii="Times New Roman" w:hAnsi="Times New Roman"/>
          <w:b w:val="false"/>
          <w:sz w:val="20"/>
        </w:rPr>
        <w:t>We have incurred significant net losses in each reporting period since our inception, have not generated any revenue to date and have financed our operations principally through private placements of our redeemable convertible preferred shares, our convertible notes and the completion of our IPO. For the three months ended March 31, 2022 and 2021, we reported a net loss of $27.7 million and $16.1 million, respectively. We had an accumulated deficit of $155.2 million as of March 31, 2022. We expect to incur increasing levels of operating losses for the foreseeable future, particularly as we advance tovorafenib (DAY101) and pimasertib through clinical development. Our prior losses, combined with expected future losses, have had, and will continue to have, an adverse effect on our stockholders’ equity and working capital. We expect our research and development expenses to significantly increase in connection with our additional planned clinical trials for our lead product candidate and other product candidates, including our ongoing pivotal Phase 2 clinical trial for tovorafenib (DAY101) (FIREFLY-1), our planned Phase 3 clinical trial of tovorafenib (DAY101) as a potential frontline therapy in pLGG, our planned Phase 2 clinical trial of tovorafenib (DAY101) in adult RAS/RAF-altered solid tumors and our Phase 1b/2 trial for tovorafenib (DAY101) and pimasertib, and development of and subsequent Investigational New Drug Applications, or INDs, for any future product candidates we may choose to pursue. In addition, if we obtain marketing approval for tovorafenib (DAY101), pimasertib, or another product candidate, we will incur significant sales, marketing and outsourced manufacturing expenses in connection with the commercialization of tovorafenib (DAY101), pimasertib, or such other product candidate, respectively. We have also incurred, and will continue to incur, additional costs associated with operating as a public company.</w:t>
      </w:r>
      <w:r>
        <w:rPr>
          <w:rFonts w:ascii="Times New Roman" w:hAnsi="Times New Roman"/>
          <w:sz w:val="20"/>
        </w:rPr>
        <w:t xml:space="preserve"> </w:t>
      </w:r>
    </w:p>
    <w:p>
      <w:pPr>
        <w:pStyle w:val="TextBody"/>
        <w:spacing w:lineRule="auto" w:line="273" w:before="0" w:after="0"/>
        <w:jc w:val="center"/>
        <w:rPr>
          <w:rFonts w:ascii="Times New Roman" w:hAnsi="Times New Roman"/>
          <w:b w:val="false"/>
          <w:sz w:val="20"/>
        </w:rPr>
      </w:pPr>
      <w:r>
        <w:rPr>
          <w:rFonts w:ascii="Times New Roman" w:hAnsi="Times New Roman"/>
          <w:b w:val="false"/>
          <w:sz w:val="20"/>
        </w:rPr>
        <w:t>30</w:t>
      </w:r>
    </w:p>
    <w:p>
      <w:pPr>
        <w:pStyle w:val="HorizontalLine"/>
        <w:rPr/>
      </w:pPr>
      <w:r>
        <w:rPr/>
      </w:r>
    </w:p>
    <w:p>
      <w:pPr>
        <w:pStyle w:val="TextBody"/>
        <w:spacing w:lineRule="auto" w:line="273" w:before="0" w:after="0"/>
        <w:jc w:val="left"/>
        <w:rPr/>
      </w:pPr>
      <w:r>
        <w:rPr/>
        <w:t> </w:t>
      </w:r>
    </w:p>
    <w:p>
      <w:pPr>
        <w:pStyle w:val="TextBody"/>
        <w:spacing w:lineRule="auto" w:line="273" w:before="240" w:after="0"/>
        <w:jc w:val="left"/>
        <w:rPr>
          <w:rFonts w:ascii="Times New Roman" w:hAnsi="Times New Roman"/>
          <w:sz w:val="20"/>
        </w:rPr>
      </w:pPr>
      <w:r>
        <w:rPr>
          <w:rFonts w:ascii="Times New Roman" w:hAnsi="Times New Roman"/>
          <w:b w:val="false"/>
          <w:sz w:val="20"/>
        </w:rPr>
        <w:t>As a result, we expect to continue to incur significant and increasing net losses for the foreseeable future. Because of the numerous risks and uncertainties associated with developing pharmaceutical products, we are unable to predict the extent of any future losses or when we will become profitable, if at all. Even if we do become profitable, we may not be able to sustain or increase our profitability on a quarterly or annual basis. In addition, we expect our financial condition and operating results to fluctuate significantly from quarter-to-quarter and year-to-year due to a variety of factors, many of which are beyond our control. Accordingly, you should not rely upon the results of any quarterly or annual periods as indications of future operating performance.</w:t>
      </w:r>
      <w:r>
        <w:rPr>
          <w:rFonts w:ascii="Times New Roman" w:hAnsi="Times New Roman"/>
          <w:sz w:val="20"/>
        </w:rPr>
        <w:t xml:space="preserve"> </w:t>
      </w:r>
    </w:p>
    <w:p>
      <w:pPr>
        <w:pStyle w:val="TextBody"/>
        <w:spacing w:lineRule="auto" w:line="273" w:before="360" w:after="0"/>
        <w:jc w:val="left"/>
        <w:rPr>
          <w:rFonts w:ascii="Times New Roman" w:hAnsi="Times New Roman"/>
          <w:sz w:val="20"/>
        </w:rPr>
      </w:pPr>
      <w:r>
        <w:rPr>
          <w:rFonts w:ascii="Times New Roman" w:hAnsi="Times New Roman"/>
          <w:b/>
          <w:i/>
          <w:sz w:val="20"/>
        </w:rPr>
        <w:t>We are substantially dependent on the success of our lead product candidate, tovorafenib (DAY101), which is currently in clinical development and which has not completed a pivotal trial.</w:t>
      </w:r>
      <w:r>
        <w:rPr>
          <w:rFonts w:ascii="Times New Roman" w:hAnsi="Times New Roman"/>
          <w:sz w:val="20"/>
        </w:rPr>
        <w:t xml:space="preserve"> </w:t>
      </w:r>
    </w:p>
    <w:p>
      <w:pPr>
        <w:pStyle w:val="TextBody"/>
        <w:spacing w:lineRule="auto" w:line="273" w:before="120" w:after="0"/>
        <w:jc w:val="left"/>
        <w:rPr>
          <w:rFonts w:ascii="Times New Roman" w:hAnsi="Times New Roman"/>
          <w:sz w:val="20"/>
        </w:rPr>
      </w:pPr>
      <w:r>
        <w:rPr>
          <w:rFonts w:ascii="Times New Roman" w:hAnsi="Times New Roman"/>
          <w:b w:val="false"/>
          <w:sz w:val="20"/>
        </w:rPr>
        <w:t>Our future success is highly dependent on our ability to timely complete successful clinical trials, obtain regulatory approval for, and then successfully commercialize, our product candidates. We are early in our development efforts and our lead product candidate, tovorafenib (DAY101), is currently in a pivotal Phase 2 clinical trial. Our other current product candidate, pimasertib, is in an earlier stage of development. We currently have no products that are approved for sale in any jurisdiction. There can be no assurance that tovorafenib (DAY101), pimasertib or any future product candidates we develop, if any, will achieve success in their clinical trials or obtain regulatory approval.</w:t>
      </w:r>
      <w:r>
        <w:rPr>
          <w:rFonts w:ascii="Times New Roman" w:hAnsi="Times New Roman"/>
          <w:sz w:val="20"/>
        </w:rPr>
        <w:t xml:space="preserve"> </w:t>
      </w:r>
    </w:p>
    <w:p>
      <w:pPr>
        <w:pStyle w:val="TextBody"/>
        <w:spacing w:lineRule="auto" w:line="273" w:before="240" w:after="0"/>
        <w:jc w:val="left"/>
        <w:rPr>
          <w:rFonts w:ascii="Times New Roman" w:hAnsi="Times New Roman"/>
          <w:sz w:val="20"/>
        </w:rPr>
      </w:pPr>
      <w:r>
        <w:rPr>
          <w:rFonts w:ascii="Times New Roman" w:hAnsi="Times New Roman"/>
          <w:b w:val="false"/>
          <w:sz w:val="20"/>
        </w:rPr>
        <w:t>Our ability to generate product revenue, which we do not expect will occur for many years, if ever, will depend heavily on the successful development and eventual commercialization of our lead product candidate, tovorafenib (DAY101). The success of tovorafenib (DAY101), will depend on several factors, including the following:</w:t>
      </w:r>
      <w:r>
        <w:rPr>
          <w:rFonts w:ascii="Times New Roman" w:hAnsi="Times New Roman"/>
          <w:sz w:val="20"/>
        </w:rPr>
        <w:t xml:space="preserve"> </w:t>
      </w:r>
    </w:p>
    <w:p>
      <w:pPr>
        <w:pStyle w:val="TextBody"/>
        <w:spacing w:lineRule="auto" w:line="273" w:before="120" w:after="0"/>
        <w:jc w:val="left"/>
        <w:rPr/>
      </w:pPr>
      <w:r>
        <w:rPr/>
        <w:t>•</w:t>
      </w:r>
    </w:p>
    <w:p>
      <w:pPr>
        <w:pStyle w:val="TextBody"/>
        <w:spacing w:lineRule="auto" w:line="273" w:before="120" w:after="0"/>
        <w:jc w:val="left"/>
        <w:rPr>
          <w:rFonts w:ascii="Times New Roman" w:hAnsi="Times New Roman"/>
          <w:b w:val="false"/>
          <w:sz w:val="20"/>
        </w:rPr>
      </w:pPr>
      <w:r>
        <w:rPr>
          <w:rFonts w:ascii="Times New Roman" w:hAnsi="Times New Roman"/>
          <w:b w:val="false"/>
          <w:sz w:val="20"/>
        </w:rPr>
        <w:t xml:space="preserve">successful and timely completion of current and future clinical trials resulting in attractive, competitive target product profiles; </w:t>
      </w:r>
    </w:p>
    <w:p>
      <w:pPr>
        <w:pStyle w:val="TextBody"/>
        <w:spacing w:lineRule="auto" w:line="273" w:before="120" w:after="0"/>
        <w:jc w:val="left"/>
        <w:rPr/>
      </w:pPr>
      <w:r>
        <w:rPr/>
        <w:t>•</w:t>
      </w:r>
    </w:p>
    <w:p>
      <w:pPr>
        <w:pStyle w:val="TextBody"/>
        <w:spacing w:lineRule="auto" w:line="273" w:before="120" w:after="0"/>
        <w:jc w:val="left"/>
        <w:rPr>
          <w:rFonts w:ascii="Times New Roman" w:hAnsi="Times New Roman"/>
          <w:b w:val="false"/>
          <w:sz w:val="20"/>
        </w:rPr>
      </w:pPr>
      <w:r>
        <w:rPr>
          <w:rFonts w:ascii="Times New Roman" w:hAnsi="Times New Roman"/>
          <w:b w:val="false"/>
          <w:sz w:val="20"/>
        </w:rPr>
        <w:t xml:space="preserve">acceptance of NDAs by the U.S. Food and Drug Administration, or FDA or other similar clinical trial applications from foreign regulatory authorities for our future clinical trials for our pipeline product candidates; </w:t>
      </w:r>
    </w:p>
    <w:p>
      <w:pPr>
        <w:pStyle w:val="TextBody"/>
        <w:spacing w:lineRule="auto" w:line="273" w:before="120" w:after="0"/>
        <w:jc w:val="left"/>
        <w:rPr/>
      </w:pPr>
      <w:r>
        <w:rPr/>
        <w:t>•</w:t>
      </w:r>
    </w:p>
    <w:p>
      <w:pPr>
        <w:pStyle w:val="TextBody"/>
        <w:spacing w:lineRule="auto" w:line="273" w:before="120" w:after="0"/>
        <w:jc w:val="left"/>
        <w:rPr>
          <w:rFonts w:ascii="Times New Roman" w:hAnsi="Times New Roman"/>
          <w:b w:val="false"/>
          <w:sz w:val="20"/>
        </w:rPr>
      </w:pPr>
      <w:r>
        <w:rPr>
          <w:rFonts w:ascii="Times New Roman" w:hAnsi="Times New Roman"/>
          <w:b w:val="false"/>
          <w:sz w:val="20"/>
        </w:rPr>
        <w:t xml:space="preserve">timely and successful enrollment of patients in, and completion of, clinical trials with favorable results; </w:t>
      </w:r>
    </w:p>
    <w:p>
      <w:pPr>
        <w:pStyle w:val="TextBody"/>
        <w:spacing w:lineRule="auto" w:line="273" w:before="120" w:after="0"/>
        <w:jc w:val="left"/>
        <w:rPr/>
      </w:pPr>
      <w:r>
        <w:rPr/>
        <w:t>•</w:t>
      </w:r>
    </w:p>
    <w:p>
      <w:pPr>
        <w:pStyle w:val="TextBody"/>
        <w:spacing w:lineRule="auto" w:line="273" w:before="120" w:after="0"/>
        <w:jc w:val="left"/>
        <w:rPr>
          <w:rFonts w:ascii="Times New Roman" w:hAnsi="Times New Roman"/>
          <w:b w:val="false"/>
          <w:sz w:val="20"/>
        </w:rPr>
      </w:pPr>
      <w:r>
        <w:rPr>
          <w:rFonts w:ascii="Times New Roman" w:hAnsi="Times New Roman"/>
          <w:b w:val="false"/>
          <w:sz w:val="20"/>
        </w:rPr>
        <w:t xml:space="preserve">demonstration of safety, efficacy and acceptable risk-benefit profiles of our product candidates to the satisfaction of the FDA and foreign regulatory agencies and attractive to physicians, patients, advocates, payors and caregivers; </w:t>
      </w:r>
    </w:p>
    <w:p>
      <w:pPr>
        <w:pStyle w:val="TextBody"/>
        <w:spacing w:lineRule="auto" w:line="273" w:before="120" w:after="0"/>
        <w:jc w:val="left"/>
        <w:rPr/>
      </w:pPr>
      <w:r>
        <w:rPr/>
        <w:t>•</w:t>
      </w:r>
    </w:p>
    <w:p>
      <w:pPr>
        <w:pStyle w:val="TextBody"/>
        <w:spacing w:lineRule="auto" w:line="273" w:before="120" w:after="0"/>
        <w:jc w:val="left"/>
        <w:rPr>
          <w:rFonts w:ascii="Times New Roman" w:hAnsi="Times New Roman"/>
          <w:b w:val="false"/>
          <w:sz w:val="20"/>
        </w:rPr>
      </w:pPr>
      <w:r>
        <w:rPr>
          <w:rFonts w:ascii="Times New Roman" w:hAnsi="Times New Roman"/>
          <w:b w:val="false"/>
          <w:sz w:val="20"/>
        </w:rPr>
        <w:t xml:space="preserve">our ability, or that of our collaborators, to develop and obtain clearance or approval of companion diagnostics, on a timely basis, or at all, and an adequate supply of these companion diagnostics and access to these companion diagnostics that outpaces demand; </w:t>
      </w:r>
    </w:p>
    <w:p>
      <w:pPr>
        <w:pStyle w:val="TextBody"/>
        <w:spacing w:lineRule="auto" w:line="273" w:before="120" w:after="0"/>
        <w:jc w:val="left"/>
        <w:rPr/>
      </w:pPr>
      <w:r>
        <w:rPr/>
        <w:t>•</w:t>
      </w:r>
    </w:p>
    <w:p>
      <w:pPr>
        <w:pStyle w:val="TextBody"/>
        <w:spacing w:lineRule="auto" w:line="273" w:before="120" w:after="0"/>
        <w:jc w:val="left"/>
        <w:rPr>
          <w:rFonts w:ascii="Times New Roman" w:hAnsi="Times New Roman"/>
          <w:b w:val="false"/>
          <w:sz w:val="20"/>
        </w:rPr>
      </w:pPr>
      <w:r>
        <w:rPr>
          <w:rFonts w:ascii="Times New Roman" w:hAnsi="Times New Roman"/>
          <w:b w:val="false"/>
          <w:sz w:val="20"/>
        </w:rPr>
        <w:t xml:space="preserve">receipt and related terms of marketing approvals from applicable regulatory authorities, including the completion of any required post-marketing studies or trials and available funding to perform any post-marketing commitments; </w:t>
      </w:r>
    </w:p>
    <w:p>
      <w:pPr>
        <w:pStyle w:val="TextBody"/>
        <w:spacing w:lineRule="auto" w:line="273" w:before="120" w:after="0"/>
        <w:jc w:val="left"/>
        <w:rPr/>
      </w:pPr>
      <w:r>
        <w:rPr/>
        <w:t>•</w:t>
      </w:r>
    </w:p>
    <w:p>
      <w:pPr>
        <w:pStyle w:val="TextBody"/>
        <w:spacing w:lineRule="auto" w:line="273" w:before="120" w:after="0"/>
        <w:jc w:val="left"/>
        <w:rPr>
          <w:rFonts w:ascii="Times New Roman" w:hAnsi="Times New Roman"/>
          <w:b w:val="false"/>
          <w:sz w:val="20"/>
        </w:rPr>
      </w:pPr>
      <w:r>
        <w:rPr>
          <w:rFonts w:ascii="Times New Roman" w:hAnsi="Times New Roman"/>
          <w:b w:val="false"/>
          <w:sz w:val="20"/>
        </w:rPr>
        <w:t xml:space="preserve">raising additional funds necessary to complete clinical development of and commercialize our product candidates; </w:t>
      </w:r>
    </w:p>
    <w:p>
      <w:pPr>
        <w:pStyle w:val="TextBody"/>
        <w:spacing w:lineRule="auto" w:line="273" w:before="120" w:after="0"/>
        <w:jc w:val="left"/>
        <w:rPr/>
      </w:pPr>
      <w:r>
        <w:rPr/>
        <w:t>•</w:t>
      </w:r>
    </w:p>
    <w:p>
      <w:pPr>
        <w:pStyle w:val="TextBody"/>
        <w:spacing w:lineRule="auto" w:line="273" w:before="120" w:after="0"/>
        <w:jc w:val="left"/>
        <w:rPr>
          <w:rFonts w:ascii="Times New Roman" w:hAnsi="Times New Roman"/>
          <w:b w:val="false"/>
          <w:sz w:val="20"/>
        </w:rPr>
      </w:pPr>
      <w:r>
        <w:rPr>
          <w:rFonts w:ascii="Times New Roman" w:hAnsi="Times New Roman"/>
          <w:b w:val="false"/>
          <w:sz w:val="20"/>
        </w:rPr>
        <w:t xml:space="preserve">obtaining and maintaining patent, trade secret and other intellectual property protection and regulatory exclusivity for our product candidates; </w:t>
      </w:r>
    </w:p>
    <w:p>
      <w:pPr>
        <w:pStyle w:val="TextBody"/>
        <w:spacing w:lineRule="auto" w:line="273" w:before="120" w:after="0"/>
        <w:jc w:val="left"/>
        <w:rPr/>
      </w:pPr>
      <w:r>
        <w:rPr/>
        <w:t>•</w:t>
      </w:r>
    </w:p>
    <w:p>
      <w:pPr>
        <w:pStyle w:val="TextBody"/>
        <w:spacing w:lineRule="auto" w:line="273" w:before="120" w:after="0"/>
        <w:jc w:val="left"/>
        <w:rPr>
          <w:rFonts w:ascii="Times New Roman" w:hAnsi="Times New Roman"/>
          <w:b w:val="false"/>
          <w:sz w:val="20"/>
        </w:rPr>
      </w:pPr>
      <w:r>
        <w:rPr>
          <w:rFonts w:ascii="Times New Roman" w:hAnsi="Times New Roman"/>
          <w:b w:val="false"/>
          <w:sz w:val="20"/>
        </w:rPr>
        <w:t xml:space="preserve">making arrangements with third-party manufacturers, or establishing manufacturing capabilities, for both clinical and commercial supplies of our product candidates and ensuring a resilient, effective supply chain that produces supply that outpaces demand; </w:t>
      </w:r>
    </w:p>
    <w:p>
      <w:pPr>
        <w:pStyle w:val="TextBody"/>
        <w:spacing w:lineRule="auto" w:line="273" w:before="120" w:after="0"/>
        <w:jc w:val="left"/>
        <w:rPr/>
      </w:pPr>
      <w:r>
        <w:rPr/>
        <w:t>•</w:t>
      </w:r>
    </w:p>
    <w:p>
      <w:pPr>
        <w:pStyle w:val="TextBody"/>
        <w:spacing w:lineRule="auto" w:line="273" w:before="120" w:after="0"/>
        <w:jc w:val="left"/>
        <w:rPr>
          <w:rFonts w:ascii="Times New Roman" w:hAnsi="Times New Roman"/>
          <w:b w:val="false"/>
          <w:sz w:val="20"/>
        </w:rPr>
      </w:pPr>
      <w:r>
        <w:rPr>
          <w:rFonts w:ascii="Times New Roman" w:hAnsi="Times New Roman"/>
          <w:b w:val="false"/>
          <w:sz w:val="20"/>
        </w:rPr>
        <w:t xml:space="preserve">developing and implementing marketing and reimbursement strategies, as well as adequate demand forecasts for supply and sales planning; </w:t>
      </w:r>
    </w:p>
    <w:p>
      <w:pPr>
        <w:pStyle w:val="TextBody"/>
        <w:spacing w:lineRule="auto" w:line="273" w:before="120" w:after="0"/>
        <w:jc w:val="left"/>
        <w:rPr/>
      </w:pPr>
      <w:r>
        <w:rPr/>
        <w:t>•</w:t>
      </w:r>
    </w:p>
    <w:p>
      <w:pPr>
        <w:pStyle w:val="TextBody"/>
        <w:spacing w:lineRule="auto" w:line="273" w:before="120" w:after="0"/>
        <w:jc w:val="left"/>
        <w:rPr>
          <w:rFonts w:ascii="Times New Roman" w:hAnsi="Times New Roman"/>
          <w:b w:val="false"/>
          <w:sz w:val="20"/>
        </w:rPr>
      </w:pPr>
      <w:r>
        <w:rPr>
          <w:rFonts w:ascii="Times New Roman" w:hAnsi="Times New Roman"/>
          <w:b w:val="false"/>
          <w:sz w:val="20"/>
        </w:rPr>
        <w:t xml:space="preserve">establishing sales, marketing and distribution capabilities and launching commercial sales of our products, if and when approved, whether alone or in collaboration with others in a market where promotional sales approaches are rapidly moving to digital platforms and rep access to major institutions remains uncertain; </w:t>
      </w:r>
    </w:p>
    <w:p>
      <w:pPr>
        <w:pStyle w:val="TextBody"/>
        <w:spacing w:lineRule="auto" w:line="273" w:before="120" w:after="0"/>
        <w:jc w:val="left"/>
        <w:rPr/>
      </w:pPr>
      <w:r>
        <w:rPr/>
        <w:t>•</w:t>
      </w:r>
    </w:p>
    <w:p>
      <w:pPr>
        <w:pStyle w:val="TextBody"/>
        <w:spacing w:lineRule="auto" w:line="273" w:before="120" w:after="0"/>
        <w:jc w:val="left"/>
        <w:rPr>
          <w:rFonts w:ascii="Times New Roman" w:hAnsi="Times New Roman"/>
          <w:b w:val="false"/>
          <w:sz w:val="20"/>
        </w:rPr>
      </w:pPr>
      <w:r>
        <w:rPr>
          <w:rFonts w:ascii="Times New Roman" w:hAnsi="Times New Roman"/>
          <w:b w:val="false"/>
          <w:sz w:val="20"/>
        </w:rPr>
        <w:t xml:space="preserve">acceptance of our products, if and when approved, by patients, the medical community and third-party payors underpinned by adequate health economic data and a meaningful value proposition; </w:t>
      </w:r>
    </w:p>
    <w:p>
      <w:pPr>
        <w:pStyle w:val="TextBody"/>
        <w:spacing w:lineRule="auto" w:line="273" w:before="120" w:after="0"/>
        <w:jc w:val="left"/>
        <w:rPr/>
      </w:pPr>
      <w:r>
        <w:rPr/>
        <w:t>•</w:t>
      </w:r>
    </w:p>
    <w:p>
      <w:pPr>
        <w:pStyle w:val="TextBody"/>
        <w:spacing w:lineRule="auto" w:line="273" w:before="120" w:after="0"/>
        <w:jc w:val="left"/>
        <w:rPr>
          <w:rFonts w:ascii="Times New Roman" w:hAnsi="Times New Roman"/>
          <w:b w:val="false"/>
          <w:sz w:val="20"/>
        </w:rPr>
      </w:pPr>
      <w:r>
        <w:rPr>
          <w:rFonts w:ascii="Times New Roman" w:hAnsi="Times New Roman"/>
          <w:b w:val="false"/>
          <w:sz w:val="20"/>
        </w:rPr>
        <w:t xml:space="preserve">effectively competing with other therapies, including those that have not yet entered the market; </w:t>
      </w:r>
    </w:p>
    <w:p>
      <w:pPr>
        <w:pStyle w:val="TextBody"/>
        <w:spacing w:lineRule="auto" w:line="273" w:before="120" w:after="0"/>
        <w:jc w:val="left"/>
        <w:rPr/>
      </w:pPr>
      <w:r>
        <w:rPr/>
        <w:t>•</w:t>
      </w:r>
    </w:p>
    <w:p>
      <w:pPr>
        <w:pStyle w:val="TextBody"/>
        <w:spacing w:lineRule="auto" w:line="273" w:before="120" w:after="0"/>
        <w:jc w:val="left"/>
        <w:rPr>
          <w:rFonts w:ascii="Times New Roman" w:hAnsi="Times New Roman"/>
          <w:b w:val="false"/>
          <w:sz w:val="20"/>
        </w:rPr>
      </w:pPr>
      <w:r>
        <w:rPr>
          <w:rFonts w:ascii="Times New Roman" w:hAnsi="Times New Roman"/>
          <w:b w:val="false"/>
          <w:sz w:val="20"/>
        </w:rPr>
        <w:t xml:space="preserve">obtaining and maintaining third-party payor coverage and adequate reimbursement in both public and private payor spaces across multiple countries; </w:t>
      </w:r>
    </w:p>
    <w:p>
      <w:pPr>
        <w:pStyle w:val="TextBody"/>
        <w:spacing w:lineRule="auto" w:line="273" w:before="120" w:after="0"/>
        <w:jc w:val="left"/>
        <w:rPr/>
      </w:pPr>
      <w:r>
        <w:rPr/>
        <w:t>•</w:t>
      </w:r>
    </w:p>
    <w:p>
      <w:pPr>
        <w:pStyle w:val="TextBody"/>
        <w:spacing w:lineRule="auto" w:line="273" w:before="120" w:after="0"/>
        <w:jc w:val="left"/>
        <w:rPr>
          <w:rFonts w:ascii="Times New Roman" w:hAnsi="Times New Roman"/>
          <w:b w:val="false"/>
          <w:sz w:val="20"/>
        </w:rPr>
      </w:pPr>
      <w:r>
        <w:rPr>
          <w:rFonts w:ascii="Times New Roman" w:hAnsi="Times New Roman"/>
          <w:b w:val="false"/>
          <w:sz w:val="20"/>
        </w:rPr>
        <w:t xml:space="preserve">obtaining appropriate support from patient advocacy organizations; </w:t>
      </w:r>
    </w:p>
    <w:p>
      <w:pPr>
        <w:pStyle w:val="TextBody"/>
        <w:spacing w:lineRule="auto" w:line="273" w:before="120" w:after="0"/>
        <w:jc w:val="left"/>
        <w:rPr/>
      </w:pPr>
      <w:r>
        <w:rPr/>
        <w:t>•</w:t>
      </w:r>
    </w:p>
    <w:p>
      <w:pPr>
        <w:pStyle w:val="TextBody"/>
        <w:spacing w:lineRule="auto" w:line="273" w:before="120" w:after="283"/>
        <w:jc w:val="left"/>
        <w:rPr>
          <w:rFonts w:ascii="Times New Roman" w:hAnsi="Times New Roman"/>
          <w:b w:val="false"/>
          <w:sz w:val="20"/>
        </w:rPr>
      </w:pPr>
      <w:r>
        <w:rPr>
          <w:rFonts w:ascii="Times New Roman" w:hAnsi="Times New Roman"/>
          <w:b w:val="false"/>
          <w:sz w:val="20"/>
        </w:rPr>
        <w:t xml:space="preserve">effectively shaping the market in the early years following launch to help providers understand a new way of thinking about treating these patients; </w:t>
      </w:r>
    </w:p>
    <w:p>
      <w:pPr>
        <w:pStyle w:val="TextBody"/>
        <w:spacing w:lineRule="auto" w:line="273" w:before="0" w:after="0"/>
        <w:jc w:val="center"/>
        <w:rPr>
          <w:rFonts w:ascii="Times New Roman" w:hAnsi="Times New Roman"/>
          <w:b w:val="false"/>
          <w:sz w:val="20"/>
        </w:rPr>
      </w:pPr>
      <w:r>
        <w:rPr>
          <w:rFonts w:ascii="Times New Roman" w:hAnsi="Times New Roman"/>
          <w:b w:val="false"/>
          <w:sz w:val="20"/>
        </w:rPr>
        <w:t>31</w:t>
      </w:r>
    </w:p>
    <w:p>
      <w:pPr>
        <w:pStyle w:val="HorizontalLine"/>
        <w:rPr/>
      </w:pPr>
      <w:r>
        <w:rPr/>
      </w:r>
    </w:p>
    <w:p>
      <w:pPr>
        <w:pStyle w:val="TextBody"/>
        <w:spacing w:lineRule="auto" w:line="273" w:before="0" w:after="0"/>
        <w:jc w:val="left"/>
        <w:rPr/>
      </w:pPr>
      <w:r>
        <w:rPr/>
        <w:t> </w:t>
      </w:r>
    </w:p>
    <w:p>
      <w:pPr>
        <w:pStyle w:val="TextBody"/>
        <w:spacing w:lineRule="auto" w:line="273" w:before="120" w:after="0"/>
        <w:jc w:val="left"/>
        <w:rPr/>
      </w:pPr>
      <w:r>
        <w:rPr/>
        <w:t>•</w:t>
      </w:r>
    </w:p>
    <w:p>
      <w:pPr>
        <w:pStyle w:val="TextBody"/>
        <w:spacing w:lineRule="auto" w:line="273" w:before="120" w:after="0"/>
        <w:jc w:val="left"/>
        <w:rPr>
          <w:rFonts w:ascii="Times New Roman" w:hAnsi="Times New Roman"/>
          <w:b w:val="false"/>
          <w:sz w:val="20"/>
        </w:rPr>
      </w:pPr>
      <w:r>
        <w:rPr>
          <w:rFonts w:ascii="Times New Roman" w:hAnsi="Times New Roman"/>
          <w:b w:val="false"/>
          <w:sz w:val="20"/>
        </w:rPr>
        <w:t xml:space="preserve">addressing any delays in our ongoing and planned clinical trials resulting from factors related to any major natural disaster or significant political event, including the COVID-19 pandemic and the recent and developing armed conflict in Ukraine; </w:t>
      </w:r>
    </w:p>
    <w:p>
      <w:pPr>
        <w:pStyle w:val="TextBody"/>
        <w:spacing w:lineRule="auto" w:line="273" w:before="120" w:after="0"/>
        <w:jc w:val="left"/>
        <w:rPr/>
      </w:pPr>
      <w:r>
        <w:rPr/>
        <w:t>•</w:t>
      </w:r>
    </w:p>
    <w:p>
      <w:pPr>
        <w:pStyle w:val="TextBody"/>
        <w:spacing w:lineRule="auto" w:line="273" w:before="120" w:after="0"/>
        <w:jc w:val="left"/>
        <w:rPr>
          <w:rFonts w:ascii="Times New Roman" w:hAnsi="Times New Roman"/>
          <w:b w:val="false"/>
          <w:sz w:val="20"/>
        </w:rPr>
      </w:pPr>
      <w:r>
        <w:rPr>
          <w:rFonts w:ascii="Times New Roman" w:hAnsi="Times New Roman"/>
          <w:b w:val="false"/>
          <w:sz w:val="20"/>
        </w:rPr>
        <w:t xml:space="preserve">protecting and enforcing our rights in our intellectual property portfolio; and </w:t>
      </w:r>
    </w:p>
    <w:p>
      <w:pPr>
        <w:pStyle w:val="TextBody"/>
        <w:spacing w:lineRule="auto" w:line="273" w:before="120" w:after="0"/>
        <w:jc w:val="left"/>
        <w:rPr/>
      </w:pPr>
      <w:r>
        <w:rPr/>
        <w:t>•</w:t>
      </w:r>
    </w:p>
    <w:p>
      <w:pPr>
        <w:pStyle w:val="TextBody"/>
        <w:spacing w:lineRule="auto" w:line="273" w:before="120" w:after="283"/>
        <w:jc w:val="left"/>
        <w:rPr>
          <w:rFonts w:ascii="Times New Roman" w:hAnsi="Times New Roman"/>
          <w:b w:val="false"/>
          <w:sz w:val="20"/>
        </w:rPr>
      </w:pPr>
      <w:r>
        <w:rPr>
          <w:rFonts w:ascii="Times New Roman" w:hAnsi="Times New Roman"/>
          <w:b w:val="false"/>
          <w:sz w:val="20"/>
        </w:rPr>
        <w:t xml:space="preserve">maintaining a continued acceptable safety profile of the products following approval. </w:t>
      </w:r>
    </w:p>
    <w:p>
      <w:pPr>
        <w:pStyle w:val="TextBody"/>
        <w:spacing w:lineRule="auto" w:line="273" w:before="360" w:after="0"/>
        <w:jc w:val="left"/>
        <w:rPr>
          <w:rFonts w:ascii="Times New Roman" w:hAnsi="Times New Roman"/>
          <w:b w:val="false"/>
          <w:sz w:val="20"/>
        </w:rPr>
      </w:pPr>
      <w:r>
        <w:rPr>
          <w:rFonts w:ascii="Times New Roman" w:hAnsi="Times New Roman"/>
          <w:b w:val="false"/>
          <w:sz w:val="20"/>
        </w:rPr>
        <w:t>Many of these factors are beyond our control, and it is possible that none of our product candidates will ever obtain regulatory approval even if we expend substantial time and resources seeking such approval. If we do not achieve one or more of these factors in a timely manner or at all, we could experience significant delays or an inability to successfully commercialize our product candidates, which would materially harm our business. For example, our business could be harmed if results of our ongoing clinical trial for tovorafenib (DAY101) and Phase 1b/2 trial of tovorafenib (DAY101) as a monotherapy and in combination with pimasertib do not meet the clinical endpoints.</w:t>
      </w:r>
    </w:p>
    <w:p>
      <w:pPr>
        <w:pStyle w:val="TextBody"/>
        <w:spacing w:lineRule="auto" w:line="273" w:before="360" w:after="0"/>
        <w:jc w:val="left"/>
        <w:rPr>
          <w:rFonts w:ascii="Times New Roman" w:hAnsi="Times New Roman"/>
          <w:sz w:val="20"/>
        </w:rPr>
      </w:pPr>
      <w:r>
        <w:rPr>
          <w:rFonts w:ascii="Times New Roman" w:hAnsi="Times New Roman"/>
          <w:b/>
          <w:i/>
          <w:sz w:val="20"/>
        </w:rPr>
        <w:t>Our ability to generate revenue and achieve profitability depends significantly on our ability to achieve several objectives relating to the discovery or identification, development and commercialization of our product candidates.</w:t>
      </w:r>
      <w:r>
        <w:rPr>
          <w:rFonts w:ascii="Times New Roman" w:hAnsi="Times New Roman"/>
          <w:sz w:val="20"/>
        </w:rPr>
        <w:t xml:space="preserve"> </w:t>
      </w:r>
    </w:p>
    <w:p>
      <w:pPr>
        <w:pStyle w:val="TextBody"/>
        <w:spacing w:lineRule="auto" w:line="273" w:before="120" w:after="0"/>
        <w:jc w:val="left"/>
        <w:rPr>
          <w:rFonts w:ascii="Times New Roman" w:hAnsi="Times New Roman"/>
          <w:sz w:val="20"/>
        </w:rPr>
      </w:pPr>
      <w:r>
        <w:rPr>
          <w:rFonts w:ascii="Times New Roman" w:hAnsi="Times New Roman"/>
          <w:b w:val="false"/>
          <w:sz w:val="20"/>
        </w:rPr>
        <w:t>Our business depends entirely on the successful discovery or identification, development and commercialization of product candidates. We have no products approved for commercial sale and do not anticipate generating any revenue from product sales for the next several years, if ever. We do not expect to generate significant revenue unless and until we obtain marketing approval for, and begin to sell, tovorafenib (DAY101), pimasertib, or another product candidate. Our ability to generate revenue and achieve profitability depends on several factors, including, but not limited to, our ability to:</w:t>
      </w:r>
      <w:r>
        <w:rPr>
          <w:rFonts w:ascii="Times New Roman" w:hAnsi="Times New Roman"/>
          <w:sz w:val="20"/>
        </w:rPr>
        <w:t xml:space="preserve"> </w:t>
      </w:r>
    </w:p>
    <w:p>
      <w:pPr>
        <w:pStyle w:val="TextBody"/>
        <w:spacing w:lineRule="auto" w:line="273" w:before="120" w:after="0"/>
        <w:jc w:val="left"/>
        <w:rPr/>
      </w:pPr>
      <w:r>
        <w:rPr/>
        <w:t>•</w:t>
      </w:r>
    </w:p>
    <w:p>
      <w:pPr>
        <w:pStyle w:val="TextBody"/>
        <w:spacing w:lineRule="auto" w:line="273" w:before="120" w:after="0"/>
        <w:jc w:val="left"/>
        <w:rPr>
          <w:rFonts w:ascii="Times New Roman" w:hAnsi="Times New Roman"/>
          <w:b w:val="false"/>
          <w:sz w:val="20"/>
        </w:rPr>
      </w:pPr>
      <w:r>
        <w:rPr>
          <w:rFonts w:ascii="Times New Roman" w:hAnsi="Times New Roman"/>
          <w:b w:val="false"/>
          <w:sz w:val="20"/>
        </w:rPr>
        <w:t xml:space="preserve">complete a successful pivotal Phase 2 trial with tovorafenib (DAY101) that achieves a competitive, clinically meaningful and generally well-tolerated target product profile; </w:t>
      </w:r>
    </w:p>
    <w:p>
      <w:pPr>
        <w:pStyle w:val="TextBody"/>
        <w:spacing w:lineRule="auto" w:line="273" w:before="120" w:after="0"/>
        <w:jc w:val="left"/>
        <w:rPr/>
      </w:pPr>
      <w:r>
        <w:rPr/>
        <w:t>•</w:t>
      </w:r>
    </w:p>
    <w:p>
      <w:pPr>
        <w:pStyle w:val="TextBody"/>
        <w:spacing w:lineRule="auto" w:line="273" w:before="120" w:after="0"/>
        <w:jc w:val="left"/>
        <w:rPr>
          <w:rFonts w:ascii="Times New Roman" w:hAnsi="Times New Roman"/>
          <w:b w:val="false"/>
          <w:sz w:val="20"/>
        </w:rPr>
      </w:pPr>
      <w:r>
        <w:rPr>
          <w:rFonts w:ascii="Times New Roman" w:hAnsi="Times New Roman"/>
          <w:b w:val="false"/>
          <w:sz w:val="20"/>
        </w:rPr>
        <w:t xml:space="preserve">complete a successful Phase 1b/2 trial of tovorafenib (DAY101) as monotherapy and in combination with pimasertib in patients 12 years and older with tumors having activated RAF signaling; </w:t>
      </w:r>
    </w:p>
    <w:p>
      <w:pPr>
        <w:pStyle w:val="TextBody"/>
        <w:spacing w:lineRule="auto" w:line="273" w:before="120" w:after="0"/>
        <w:jc w:val="left"/>
        <w:rPr/>
      </w:pPr>
      <w:r>
        <w:rPr/>
        <w:t>•</w:t>
      </w:r>
    </w:p>
    <w:p>
      <w:pPr>
        <w:pStyle w:val="TextBody"/>
        <w:spacing w:lineRule="auto" w:line="273" w:before="120" w:after="0"/>
        <w:jc w:val="left"/>
        <w:rPr>
          <w:rFonts w:ascii="Times New Roman" w:hAnsi="Times New Roman"/>
          <w:b w:val="false"/>
          <w:sz w:val="20"/>
        </w:rPr>
      </w:pPr>
      <w:r>
        <w:rPr>
          <w:rFonts w:ascii="Times New Roman" w:hAnsi="Times New Roman"/>
          <w:b w:val="false"/>
          <w:sz w:val="20"/>
        </w:rPr>
        <w:t xml:space="preserve">initiate and successfully complete all safety, pharmacokinetic and other studies required to obtain U.S. and foreign marketing approval for tovorafenib (DAY101) as a treatment for patients with pLGGs; </w:t>
      </w:r>
    </w:p>
    <w:p>
      <w:pPr>
        <w:pStyle w:val="TextBody"/>
        <w:spacing w:lineRule="auto" w:line="273" w:before="120" w:after="0"/>
        <w:jc w:val="left"/>
        <w:rPr/>
      </w:pPr>
      <w:r>
        <w:rPr/>
        <w:t>•</w:t>
      </w:r>
    </w:p>
    <w:p>
      <w:pPr>
        <w:pStyle w:val="TextBody"/>
        <w:spacing w:lineRule="auto" w:line="273" w:before="120" w:after="0"/>
        <w:jc w:val="left"/>
        <w:rPr>
          <w:rFonts w:ascii="Times New Roman" w:hAnsi="Times New Roman"/>
          <w:b w:val="false"/>
          <w:sz w:val="20"/>
        </w:rPr>
      </w:pPr>
      <w:r>
        <w:rPr>
          <w:rFonts w:ascii="Times New Roman" w:hAnsi="Times New Roman"/>
          <w:b w:val="false"/>
          <w:sz w:val="20"/>
        </w:rPr>
        <w:t xml:space="preserve">initiate and complete successful later-stage clinical trials that meet their clinical endpoints, including our planned front-line trial of tovorafenib (DAY101) in patients with pLGG; </w:t>
      </w:r>
    </w:p>
    <w:p>
      <w:pPr>
        <w:pStyle w:val="TextBody"/>
        <w:spacing w:lineRule="auto" w:line="273" w:before="120" w:after="0"/>
        <w:jc w:val="left"/>
        <w:rPr/>
      </w:pPr>
      <w:r>
        <w:rPr/>
        <w:t>•</w:t>
      </w:r>
    </w:p>
    <w:p>
      <w:pPr>
        <w:pStyle w:val="TextBody"/>
        <w:spacing w:lineRule="auto" w:line="273" w:before="120" w:after="0"/>
        <w:jc w:val="left"/>
        <w:rPr>
          <w:rFonts w:ascii="Times New Roman" w:hAnsi="Times New Roman"/>
          <w:b w:val="false"/>
          <w:sz w:val="20"/>
        </w:rPr>
      </w:pPr>
      <w:r>
        <w:rPr>
          <w:rFonts w:ascii="Times New Roman" w:hAnsi="Times New Roman"/>
          <w:b w:val="false"/>
          <w:sz w:val="20"/>
        </w:rPr>
        <w:t xml:space="preserve">obtain favorable results from our clinical trials and apply for and obtain marketing approval for tovorafenib (DAY101) and pimasertib from applicable regulatory authorities, including NDAs, from the FDA, and maintaining such approvals; </w:t>
      </w:r>
    </w:p>
    <w:p>
      <w:pPr>
        <w:pStyle w:val="TextBody"/>
        <w:spacing w:lineRule="auto" w:line="273" w:before="120" w:after="0"/>
        <w:jc w:val="left"/>
        <w:rPr/>
      </w:pPr>
      <w:r>
        <w:rPr/>
        <w:t>•</w:t>
      </w:r>
    </w:p>
    <w:p>
      <w:pPr>
        <w:pStyle w:val="TextBody"/>
        <w:spacing w:lineRule="auto" w:line="273" w:before="120" w:after="0"/>
        <w:jc w:val="left"/>
        <w:rPr>
          <w:rFonts w:ascii="Times New Roman" w:hAnsi="Times New Roman"/>
          <w:b w:val="false"/>
          <w:sz w:val="20"/>
        </w:rPr>
      </w:pPr>
      <w:r>
        <w:rPr>
          <w:rFonts w:ascii="Times New Roman" w:hAnsi="Times New Roman"/>
          <w:b w:val="false"/>
          <w:sz w:val="20"/>
        </w:rPr>
        <w:t xml:space="preserve">establish licenses, collaborations or strategic partnerships that may increase the value of our programs; </w:t>
      </w:r>
    </w:p>
    <w:p>
      <w:pPr>
        <w:pStyle w:val="TextBody"/>
        <w:spacing w:lineRule="auto" w:line="273" w:before="120" w:after="0"/>
        <w:jc w:val="left"/>
        <w:rPr/>
      </w:pPr>
      <w:r>
        <w:rPr/>
        <w:t>•</w:t>
      </w:r>
    </w:p>
    <w:p>
      <w:pPr>
        <w:pStyle w:val="TextBody"/>
        <w:spacing w:lineRule="auto" w:line="273" w:before="120" w:after="0"/>
        <w:jc w:val="left"/>
        <w:rPr>
          <w:rFonts w:ascii="Times New Roman" w:hAnsi="Times New Roman"/>
          <w:b w:val="false"/>
          <w:sz w:val="20"/>
        </w:rPr>
      </w:pPr>
      <w:r>
        <w:rPr>
          <w:rFonts w:ascii="Times New Roman" w:hAnsi="Times New Roman"/>
          <w:b w:val="false"/>
          <w:sz w:val="20"/>
        </w:rPr>
        <w:t xml:space="preserve">establish and maintain viable supply and manufacturing relationships with third parties that can provide adequate, in both amount and quality, products and services to support clinical development and meet the market demand for our product candidates, if approved; </w:t>
      </w:r>
    </w:p>
    <w:p>
      <w:pPr>
        <w:pStyle w:val="TextBody"/>
        <w:spacing w:lineRule="auto" w:line="273" w:before="120" w:after="0"/>
        <w:jc w:val="left"/>
        <w:rPr/>
      </w:pPr>
      <w:r>
        <w:rPr/>
        <w:t>•</w:t>
      </w:r>
    </w:p>
    <w:p>
      <w:pPr>
        <w:pStyle w:val="TextBody"/>
        <w:spacing w:lineRule="auto" w:line="273" w:before="120" w:after="0"/>
        <w:jc w:val="left"/>
        <w:rPr>
          <w:rFonts w:ascii="Times New Roman" w:hAnsi="Times New Roman"/>
          <w:b w:val="false"/>
          <w:sz w:val="20"/>
        </w:rPr>
      </w:pPr>
      <w:r>
        <w:rPr>
          <w:rFonts w:ascii="Times New Roman" w:hAnsi="Times New Roman"/>
          <w:b w:val="false"/>
          <w:sz w:val="20"/>
        </w:rPr>
        <w:t xml:space="preserve">successfully commercialize tovorafenib (DAY101), pimasertib, and any future product candidates we may develop, if approved, by building a sales force or entering into collaborations with third parties; </w:t>
      </w:r>
    </w:p>
    <w:p>
      <w:pPr>
        <w:pStyle w:val="TextBody"/>
        <w:spacing w:lineRule="auto" w:line="273" w:before="120" w:after="0"/>
        <w:jc w:val="left"/>
        <w:rPr/>
      </w:pPr>
      <w:r>
        <w:rPr/>
        <w:t>•</w:t>
      </w:r>
    </w:p>
    <w:p>
      <w:pPr>
        <w:pStyle w:val="TextBody"/>
        <w:spacing w:lineRule="auto" w:line="273" w:before="120" w:after="0"/>
        <w:jc w:val="left"/>
        <w:rPr>
          <w:rFonts w:ascii="Times New Roman" w:hAnsi="Times New Roman"/>
          <w:b w:val="false"/>
          <w:sz w:val="20"/>
        </w:rPr>
      </w:pPr>
      <w:r>
        <w:rPr>
          <w:rFonts w:ascii="Times New Roman" w:hAnsi="Times New Roman"/>
          <w:b w:val="false"/>
          <w:sz w:val="20"/>
        </w:rPr>
        <w:t xml:space="preserve">satisfy any required post-marketing approval commitments to applicable regulatory authorities; </w:t>
      </w:r>
    </w:p>
    <w:p>
      <w:pPr>
        <w:pStyle w:val="TextBody"/>
        <w:spacing w:lineRule="auto" w:line="273" w:before="120" w:after="0"/>
        <w:jc w:val="left"/>
        <w:rPr/>
      </w:pPr>
      <w:r>
        <w:rPr/>
        <w:t>•</w:t>
      </w:r>
    </w:p>
    <w:p>
      <w:pPr>
        <w:pStyle w:val="TextBody"/>
        <w:spacing w:lineRule="auto" w:line="273" w:before="120" w:after="0"/>
        <w:jc w:val="left"/>
        <w:rPr>
          <w:rFonts w:ascii="Times New Roman" w:hAnsi="Times New Roman"/>
          <w:b w:val="false"/>
          <w:sz w:val="20"/>
        </w:rPr>
      </w:pPr>
      <w:r>
        <w:rPr>
          <w:rFonts w:ascii="Times New Roman" w:hAnsi="Times New Roman"/>
          <w:b w:val="false"/>
          <w:sz w:val="20"/>
        </w:rPr>
        <w:t xml:space="preserve">maintain a continued acceptable safety profile following any marketing approval of our product candidates; </w:t>
      </w:r>
    </w:p>
    <w:p>
      <w:pPr>
        <w:pStyle w:val="TextBody"/>
        <w:spacing w:lineRule="auto" w:line="273" w:before="120" w:after="0"/>
        <w:jc w:val="left"/>
        <w:rPr/>
      </w:pPr>
      <w:r>
        <w:rPr/>
        <w:t>•</w:t>
      </w:r>
    </w:p>
    <w:p>
      <w:pPr>
        <w:pStyle w:val="TextBody"/>
        <w:spacing w:lineRule="auto" w:line="273" w:before="120" w:after="0"/>
        <w:jc w:val="left"/>
        <w:rPr>
          <w:rFonts w:ascii="Times New Roman" w:hAnsi="Times New Roman"/>
          <w:b w:val="false"/>
          <w:sz w:val="20"/>
        </w:rPr>
      </w:pPr>
      <w:r>
        <w:rPr>
          <w:rFonts w:ascii="Times New Roman" w:hAnsi="Times New Roman"/>
          <w:b w:val="false"/>
          <w:sz w:val="20"/>
        </w:rPr>
        <w:t xml:space="preserve">identify, assess and develop new product candidates; </w:t>
      </w:r>
    </w:p>
    <w:p>
      <w:pPr>
        <w:pStyle w:val="TextBody"/>
        <w:spacing w:lineRule="auto" w:line="273" w:before="120" w:after="0"/>
        <w:jc w:val="left"/>
        <w:rPr/>
      </w:pPr>
      <w:r>
        <w:rPr/>
        <w:t>•</w:t>
      </w:r>
    </w:p>
    <w:p>
      <w:pPr>
        <w:pStyle w:val="TextBody"/>
        <w:spacing w:lineRule="auto" w:line="273" w:before="120" w:after="0"/>
        <w:jc w:val="left"/>
        <w:rPr>
          <w:rFonts w:ascii="Times New Roman" w:hAnsi="Times New Roman"/>
          <w:b w:val="false"/>
          <w:sz w:val="20"/>
        </w:rPr>
      </w:pPr>
      <w:r>
        <w:rPr>
          <w:rFonts w:ascii="Times New Roman" w:hAnsi="Times New Roman"/>
          <w:b w:val="false"/>
          <w:sz w:val="20"/>
        </w:rPr>
        <w:t xml:space="preserve">establish and maintain patent and trade secret protection or regulatory exclusivity for our product candidates; maintain an acceptable safety profile of our products, including pimasertib; </w:t>
      </w:r>
    </w:p>
    <w:p>
      <w:pPr>
        <w:pStyle w:val="TextBody"/>
        <w:spacing w:lineRule="auto" w:line="273" w:before="120" w:after="0"/>
        <w:jc w:val="left"/>
        <w:rPr/>
      </w:pPr>
      <w:r>
        <w:rPr/>
        <w:t>•</w:t>
      </w:r>
    </w:p>
    <w:p>
      <w:pPr>
        <w:pStyle w:val="TextBody"/>
        <w:spacing w:lineRule="auto" w:line="273" w:before="120" w:after="0"/>
        <w:jc w:val="left"/>
        <w:rPr>
          <w:rFonts w:ascii="Times New Roman" w:hAnsi="Times New Roman"/>
          <w:b w:val="false"/>
          <w:sz w:val="20"/>
        </w:rPr>
      </w:pPr>
      <w:r>
        <w:rPr>
          <w:rFonts w:ascii="Times New Roman" w:hAnsi="Times New Roman"/>
          <w:b w:val="false"/>
          <w:sz w:val="20"/>
        </w:rPr>
        <w:t xml:space="preserve">obtain, maintain, protect and defend our intellectual property portfolio; </w:t>
      </w:r>
    </w:p>
    <w:p>
      <w:pPr>
        <w:pStyle w:val="TextBody"/>
        <w:spacing w:lineRule="auto" w:line="273" w:before="120" w:after="0"/>
        <w:jc w:val="left"/>
        <w:rPr/>
      </w:pPr>
      <w:r>
        <w:rPr/>
        <w:t>•</w:t>
      </w:r>
    </w:p>
    <w:p>
      <w:pPr>
        <w:pStyle w:val="TextBody"/>
        <w:spacing w:lineRule="auto" w:line="273" w:before="120" w:after="0"/>
        <w:jc w:val="left"/>
        <w:rPr>
          <w:rFonts w:ascii="Times New Roman" w:hAnsi="Times New Roman"/>
          <w:b w:val="false"/>
          <w:sz w:val="20"/>
        </w:rPr>
      </w:pPr>
      <w:r>
        <w:rPr>
          <w:rFonts w:ascii="Times New Roman" w:hAnsi="Times New Roman"/>
          <w:b w:val="false"/>
          <w:sz w:val="20"/>
        </w:rPr>
        <w:t xml:space="preserve">address any competing therapies and technological and market developments; </w:t>
      </w:r>
    </w:p>
    <w:p>
      <w:pPr>
        <w:pStyle w:val="TextBody"/>
        <w:spacing w:lineRule="auto" w:line="273" w:before="120" w:after="0"/>
        <w:jc w:val="left"/>
        <w:rPr/>
      </w:pPr>
      <w:r>
        <w:rPr/>
        <w:t>•</w:t>
      </w:r>
    </w:p>
    <w:p>
      <w:pPr>
        <w:pStyle w:val="TextBody"/>
        <w:spacing w:lineRule="auto" w:line="273" w:before="120" w:after="0"/>
        <w:jc w:val="left"/>
        <w:rPr>
          <w:rFonts w:ascii="Times New Roman" w:hAnsi="Times New Roman"/>
          <w:b w:val="false"/>
          <w:sz w:val="20"/>
        </w:rPr>
      </w:pPr>
      <w:r>
        <w:rPr>
          <w:rFonts w:ascii="Times New Roman" w:hAnsi="Times New Roman"/>
          <w:b w:val="false"/>
          <w:sz w:val="20"/>
        </w:rPr>
        <w:t xml:space="preserve">achieve market acceptance of tovorafenib (DAY101) or pimasertib and our other successful product candidates, if any, with patients, the medical community and third-party payors; and </w:t>
      </w:r>
    </w:p>
    <w:p>
      <w:pPr>
        <w:pStyle w:val="TextBody"/>
        <w:spacing w:lineRule="auto" w:line="273" w:before="120" w:after="0"/>
        <w:jc w:val="left"/>
        <w:rPr/>
      </w:pPr>
      <w:r>
        <w:rPr/>
        <w:t>•</w:t>
      </w:r>
    </w:p>
    <w:p>
      <w:pPr>
        <w:pStyle w:val="TextBody"/>
        <w:spacing w:lineRule="auto" w:line="273" w:before="120" w:after="283"/>
        <w:jc w:val="left"/>
        <w:rPr>
          <w:rFonts w:ascii="Times New Roman" w:hAnsi="Times New Roman"/>
          <w:b w:val="false"/>
          <w:sz w:val="20"/>
        </w:rPr>
      </w:pPr>
      <w:r>
        <w:rPr>
          <w:rFonts w:ascii="Times New Roman" w:hAnsi="Times New Roman"/>
          <w:b w:val="false"/>
          <w:sz w:val="20"/>
        </w:rPr>
        <w:t xml:space="preserve">attract, hire and retain qualified personnel. </w:t>
      </w:r>
    </w:p>
    <w:p>
      <w:pPr>
        <w:pStyle w:val="TextBody"/>
        <w:spacing w:lineRule="auto" w:line="273" w:before="0" w:after="0"/>
        <w:jc w:val="center"/>
        <w:rPr>
          <w:rFonts w:ascii="Times New Roman" w:hAnsi="Times New Roman"/>
          <w:b w:val="false"/>
          <w:sz w:val="20"/>
        </w:rPr>
      </w:pPr>
      <w:r>
        <w:rPr>
          <w:rFonts w:ascii="Times New Roman" w:hAnsi="Times New Roman"/>
          <w:b w:val="false"/>
          <w:sz w:val="20"/>
        </w:rPr>
        <w:t>32</w:t>
      </w:r>
    </w:p>
    <w:p>
      <w:pPr>
        <w:pStyle w:val="HorizontalLine"/>
        <w:rPr/>
      </w:pPr>
      <w:r>
        <w:rPr/>
      </w:r>
    </w:p>
    <w:p>
      <w:pPr>
        <w:pStyle w:val="TextBody"/>
        <w:spacing w:lineRule="auto" w:line="273" w:before="0" w:after="0"/>
        <w:jc w:val="left"/>
        <w:rPr/>
      </w:pPr>
      <w:r>
        <w:rPr/>
        <w:t> </w:t>
      </w:r>
    </w:p>
    <w:p>
      <w:pPr>
        <w:pStyle w:val="TextBody"/>
        <w:spacing w:lineRule="auto" w:line="273" w:before="240" w:after="0"/>
        <w:jc w:val="left"/>
        <w:rPr>
          <w:rFonts w:ascii="Times New Roman" w:hAnsi="Times New Roman"/>
          <w:sz w:val="20"/>
        </w:rPr>
      </w:pPr>
      <w:r>
        <w:rPr>
          <w:rFonts w:ascii="Times New Roman" w:hAnsi="Times New Roman"/>
          <w:b w:val="false"/>
          <w:sz w:val="20"/>
        </w:rPr>
        <w:t>To become and remain profitable, we must succeed in designing, developing and eventually commercializing products that generate significant revenue. This will require us to be successful in a range of challenging activities, including completing clinical trials for our product candidates, designing and/or acquiring additional product candidates, establishing arrangements with third parties for the manufacture of clinical supplies of our product candidates, obtaining marketing approval for our product candidates and manufacturing, retaining intellectual property or marketing exclusivity, or marketing and selling any products for which we may obtain marketing approval, if any. We are in the earlier stages of most of these activities. We may never succeed in these activities and, even if we do, may never generate revenues that are significant enough to achieve profitability.</w:t>
      </w:r>
      <w:r>
        <w:rPr>
          <w:rFonts w:ascii="Times New Roman" w:hAnsi="Times New Roman"/>
          <w:sz w:val="20"/>
        </w:rPr>
        <w:t xml:space="preserve"> </w:t>
      </w:r>
    </w:p>
    <w:p>
      <w:pPr>
        <w:pStyle w:val="TextBody"/>
        <w:spacing w:lineRule="auto" w:line="273" w:before="240" w:after="0"/>
        <w:jc w:val="left"/>
        <w:rPr>
          <w:rFonts w:ascii="Times New Roman" w:hAnsi="Times New Roman"/>
          <w:sz w:val="20"/>
        </w:rPr>
      </w:pPr>
      <w:r>
        <w:rPr>
          <w:rFonts w:ascii="Times New Roman" w:hAnsi="Times New Roman"/>
          <w:b w:val="false"/>
          <w:sz w:val="20"/>
        </w:rPr>
        <w:t>In cases where we are successful in obtaining regulatory approval to market one or more of our product candidates, our revenue will be dependent, in part, upon the size of the markets in the territories for which we gain regulatory approval, the accepted price for the product, the duration of treatment that physicians believe is appropriate for our product, the speed of physician adoption, the ability to obtain coverage and reimbursement, and whether we own the commercial rights for that territory. If the number of our addressable patients is not as significant as we estimate, the indication approved by regulatory authorities is narrower than we expect, or the treatment population is narrowed by competition, physician choice, payor decisions or treatment guidelines, we may not generate significant revenue from sales of such products, even if approved.</w:t>
      </w:r>
      <w:r>
        <w:rPr>
          <w:rFonts w:ascii="Times New Roman" w:hAnsi="Times New Roman"/>
          <w:sz w:val="20"/>
        </w:rPr>
        <w:t xml:space="preserve"> </w:t>
      </w:r>
    </w:p>
    <w:p>
      <w:pPr>
        <w:pStyle w:val="TextBody"/>
        <w:spacing w:lineRule="auto" w:line="273" w:before="240" w:after="0"/>
        <w:jc w:val="left"/>
        <w:rPr>
          <w:rFonts w:ascii="Times New Roman" w:hAnsi="Times New Roman"/>
          <w:sz w:val="20"/>
        </w:rPr>
      </w:pPr>
      <w:r>
        <w:rPr>
          <w:rFonts w:ascii="Times New Roman" w:hAnsi="Times New Roman"/>
          <w:b w:val="false"/>
          <w:sz w:val="20"/>
        </w:rPr>
        <w:t>If we decide to or are required by the FDA or regulatory authorities in other jurisdictions to perform studies or clinical trials in addition to, those currently expected, or to modify ongoing or planned clinical trials, or if there are any delays in establishing appropriate manufacturing arrangements for, in initiating or completing our current and planned clinical trials for, or in the development of, any of our product candidates, our expenses could increase significantly and profitability could be further delayed.</w:t>
      </w:r>
      <w:r>
        <w:rPr>
          <w:rFonts w:ascii="Times New Roman" w:hAnsi="Times New Roman"/>
          <w:sz w:val="20"/>
        </w:rPr>
        <w:t xml:space="preserve"> </w:t>
      </w:r>
    </w:p>
    <w:p>
      <w:pPr>
        <w:pStyle w:val="TextBody"/>
        <w:spacing w:lineRule="auto" w:line="273" w:before="240" w:after="0"/>
        <w:jc w:val="left"/>
        <w:rPr>
          <w:rFonts w:ascii="Times New Roman" w:hAnsi="Times New Roman"/>
          <w:sz w:val="20"/>
        </w:rPr>
      </w:pPr>
      <w:r>
        <w:rPr>
          <w:rFonts w:ascii="Times New Roman" w:hAnsi="Times New Roman"/>
          <w:b w:val="false"/>
          <w:sz w:val="20"/>
        </w:rPr>
        <w:t>Our failure to become and remain profitable could depress the value of our Company and could impair our ability to raise capital, expand our business, maintain our research and development efforts, diversify our product offerings or even continue our operations. A decline in the value of our Company could also cause you to lose all or part of your investment.</w:t>
      </w:r>
      <w:r>
        <w:rPr>
          <w:rFonts w:ascii="Times New Roman" w:hAnsi="Times New Roman"/>
          <w:sz w:val="20"/>
        </w:rPr>
        <w:t xml:space="preserve"> </w:t>
      </w:r>
    </w:p>
    <w:p>
      <w:pPr>
        <w:pStyle w:val="TextBody"/>
        <w:spacing w:lineRule="auto" w:line="273" w:before="360" w:after="0"/>
        <w:jc w:val="left"/>
        <w:rPr>
          <w:rFonts w:ascii="Times New Roman" w:hAnsi="Times New Roman"/>
          <w:sz w:val="20"/>
        </w:rPr>
      </w:pPr>
      <w:r>
        <w:rPr>
          <w:rFonts w:ascii="Times New Roman" w:hAnsi="Times New Roman"/>
          <w:b/>
          <w:i/>
          <w:sz w:val="20"/>
        </w:rPr>
        <w:t>We will require substantial additional capital to finance our operations and achieve our goals. If we are unable to raise capital when needed or on terms acceptable to us, we may be forced to delay, reduce or eliminate our research or product development programs, any future commercialization efforts or other operations.</w:t>
      </w:r>
      <w:r>
        <w:rPr>
          <w:rFonts w:ascii="Times New Roman" w:hAnsi="Times New Roman"/>
          <w:sz w:val="20"/>
        </w:rPr>
        <w:t xml:space="preserve"> </w:t>
      </w:r>
    </w:p>
    <w:p>
      <w:pPr>
        <w:pStyle w:val="TextBody"/>
        <w:spacing w:lineRule="auto" w:line="273" w:before="120" w:after="0"/>
        <w:jc w:val="left"/>
        <w:rPr>
          <w:rFonts w:ascii="Times New Roman" w:hAnsi="Times New Roman"/>
          <w:sz w:val="20"/>
        </w:rPr>
      </w:pPr>
      <w:r>
        <w:rPr>
          <w:rFonts w:ascii="Times New Roman" w:hAnsi="Times New Roman"/>
          <w:b w:val="false"/>
          <w:sz w:val="20"/>
        </w:rPr>
        <w:t>Developing pharmaceutical products, including conducting preclinical studies and clinical trials, is a very time-consuming, expensive and uncertain process that takes years to complete. Our operations have consumed substantial amounts of cash since inception, and we expect our expenses to increase substantially in connection with our ongoing activities, particularly as we advance our lead product candidate, tovorafenib (DAY101), pimasertib, and any future product candidates through clinical development. We expect increased expenses as we continue our research and development, initiate additional clinical trials, seek to expand our product pipeline, seek marketing approval for our lead programs and future product candidates, if any, and invest in our organization. In addition, if we obtain marketing approval for any of our product candidates, we expect to incur significant commercialization expenses related to product manufacturing, marketing, sales and distribution. Furthermore, we have incurred and will continue to incur additional costs associated with operating as a public company, such as acquiring and retaining experienced personnel, developing new information technology systems, and other costs associated with being a public company. Also, we expect to experience ongoing and additional costs related to preparing and filing patent applications, maintaining our intellectual property and potentially expanding our office facilities. Accordingly, we will need to obtain substantial additional funding in connection with our continuing operations.</w:t>
      </w:r>
      <w:r>
        <w:rPr>
          <w:rFonts w:ascii="Times New Roman" w:hAnsi="Times New Roman"/>
          <w:sz w:val="20"/>
        </w:rPr>
        <w:t xml:space="preserve"> </w:t>
      </w:r>
    </w:p>
    <w:p>
      <w:pPr>
        <w:pStyle w:val="TextBody"/>
        <w:spacing w:lineRule="auto" w:line="273" w:before="240" w:after="0"/>
        <w:jc w:val="left"/>
        <w:rPr>
          <w:rFonts w:ascii="Times New Roman" w:hAnsi="Times New Roman"/>
          <w:b w:val="false"/>
          <w:sz w:val="20"/>
        </w:rPr>
      </w:pPr>
      <w:r>
        <w:rPr>
          <w:rFonts w:ascii="Times New Roman" w:hAnsi="Times New Roman"/>
          <w:b w:val="false"/>
          <w:sz w:val="20"/>
        </w:rPr>
        <w:t>Adequate additional financing may not be available to us on favorable terms, or at all. In addition, we may seek additional capital due to favorable market conditions or strategic considerations even if we believe we have sufficient funds for our current or future operating plans. If we are unable to raise capital when needed or on favorable terms, we could be forced to delay, reduce or eliminate our research and development programs, our commercialization plans or other operations. Our ability to raise capital may be adversely impacted by potential worsening global economic conditions and disruptions to and volatility in the credit and financial markets in the United States and worldwide resulting from the ongoing COVID-19 pandemic, inflation, changes in interest rates, geopolitical instability, including the recent and developing armed conflict in Ukraine, or otherwise.</w:t>
      </w:r>
    </w:p>
    <w:p>
      <w:pPr>
        <w:pStyle w:val="TextBody"/>
        <w:spacing w:lineRule="auto" w:line="273" w:before="240" w:after="0"/>
        <w:jc w:val="left"/>
        <w:rPr>
          <w:rFonts w:ascii="Times New Roman" w:hAnsi="Times New Roman"/>
          <w:sz w:val="20"/>
        </w:rPr>
      </w:pPr>
      <w:r>
        <w:rPr>
          <w:rFonts w:ascii="Times New Roman" w:hAnsi="Times New Roman"/>
          <w:b w:val="false"/>
          <w:sz w:val="20"/>
        </w:rPr>
        <w:t>We had $262.7 million in cash and cash equivalents as of March 31, 2022. We believe that our existing cash, and cash equivalents, will enable us to fund our operating expenses, and capital expenditure requirements into 2024. We have based this estimate on assumptions that may prove to be wrong, and we could use our capital resources sooner than we currently expect. Changes beyond our control may occur that would cause us to use our available capital before that time, including changes in and progress of our drug development activities and changes in regulation. Our future capital requirements will depend on many factors, including:</w:t>
      </w:r>
      <w:r>
        <w:rPr>
          <w:rFonts w:ascii="Times New Roman" w:hAnsi="Times New Roman"/>
          <w:sz w:val="20"/>
        </w:rPr>
        <w:t xml:space="preserve"> </w:t>
      </w:r>
    </w:p>
    <w:p>
      <w:pPr>
        <w:pStyle w:val="TextBody"/>
        <w:spacing w:lineRule="auto" w:line="273" w:before="120" w:after="0"/>
        <w:jc w:val="left"/>
        <w:rPr/>
      </w:pPr>
      <w:r>
        <w:rPr/>
        <w:t>•</w:t>
      </w:r>
    </w:p>
    <w:p>
      <w:pPr>
        <w:pStyle w:val="TextBody"/>
        <w:spacing w:lineRule="auto" w:line="273" w:before="120" w:after="0"/>
        <w:jc w:val="left"/>
        <w:rPr>
          <w:rFonts w:ascii="Times New Roman" w:hAnsi="Times New Roman"/>
          <w:b w:val="false"/>
          <w:sz w:val="20"/>
        </w:rPr>
      </w:pPr>
      <w:r>
        <w:rPr>
          <w:rFonts w:ascii="Times New Roman" w:hAnsi="Times New Roman"/>
          <w:b w:val="false"/>
          <w:sz w:val="20"/>
        </w:rPr>
        <w:t xml:space="preserve">the progress, timing and results of preclinical studies and clinical trials for our current or any future product candidates; </w:t>
      </w:r>
    </w:p>
    <w:p>
      <w:pPr>
        <w:pStyle w:val="TextBody"/>
        <w:spacing w:lineRule="auto" w:line="273" w:before="120" w:after="0"/>
        <w:jc w:val="left"/>
        <w:rPr/>
      </w:pPr>
      <w:r>
        <w:rPr/>
        <w:t>•</w:t>
      </w:r>
    </w:p>
    <w:p>
      <w:pPr>
        <w:pStyle w:val="TextBody"/>
        <w:spacing w:lineRule="auto" w:line="273" w:before="120" w:after="283"/>
        <w:jc w:val="left"/>
        <w:rPr>
          <w:rFonts w:ascii="Times New Roman" w:hAnsi="Times New Roman"/>
          <w:b w:val="false"/>
          <w:sz w:val="20"/>
        </w:rPr>
      </w:pPr>
      <w:r>
        <w:rPr>
          <w:rFonts w:ascii="Times New Roman" w:hAnsi="Times New Roman"/>
          <w:b w:val="false"/>
          <w:sz w:val="20"/>
        </w:rPr>
        <w:t xml:space="preserve">the extent to which we develop, in-license or acquire other pipeline product candidates or technologies; </w:t>
      </w:r>
    </w:p>
    <w:p>
      <w:pPr>
        <w:pStyle w:val="TextBody"/>
        <w:spacing w:lineRule="auto" w:line="273" w:before="0" w:after="0"/>
        <w:jc w:val="center"/>
        <w:rPr>
          <w:rFonts w:ascii="Times New Roman" w:hAnsi="Times New Roman"/>
          <w:b w:val="false"/>
          <w:sz w:val="20"/>
        </w:rPr>
      </w:pPr>
      <w:r>
        <w:rPr>
          <w:rFonts w:ascii="Times New Roman" w:hAnsi="Times New Roman"/>
          <w:b w:val="false"/>
          <w:sz w:val="20"/>
        </w:rPr>
        <w:t>33</w:t>
      </w:r>
    </w:p>
    <w:p>
      <w:pPr>
        <w:pStyle w:val="HorizontalLine"/>
        <w:rPr/>
      </w:pPr>
      <w:r>
        <w:rPr/>
      </w:r>
    </w:p>
    <w:p>
      <w:pPr>
        <w:pStyle w:val="TextBody"/>
        <w:spacing w:lineRule="auto" w:line="273" w:before="0" w:after="0"/>
        <w:jc w:val="left"/>
        <w:rPr/>
      </w:pPr>
      <w:r>
        <w:rPr/>
        <w:t> </w:t>
      </w:r>
    </w:p>
    <w:p>
      <w:pPr>
        <w:pStyle w:val="TextBody"/>
        <w:spacing w:lineRule="auto" w:line="273" w:before="120" w:after="0"/>
        <w:jc w:val="left"/>
        <w:rPr/>
      </w:pPr>
      <w:r>
        <w:rPr/>
        <w:t>•</w:t>
      </w:r>
    </w:p>
    <w:p>
      <w:pPr>
        <w:pStyle w:val="TextBody"/>
        <w:spacing w:lineRule="auto" w:line="273" w:before="120" w:after="0"/>
        <w:jc w:val="left"/>
        <w:rPr>
          <w:rFonts w:ascii="Times New Roman" w:hAnsi="Times New Roman"/>
          <w:b w:val="false"/>
          <w:sz w:val="20"/>
        </w:rPr>
      </w:pPr>
      <w:r>
        <w:rPr>
          <w:rFonts w:ascii="Times New Roman" w:hAnsi="Times New Roman"/>
          <w:b w:val="false"/>
          <w:sz w:val="20"/>
        </w:rPr>
        <w:t xml:space="preserve">the number and development requirements of current or future product candidates that we may pursue, and other indications for our current product candidates that we may pursue; </w:t>
      </w:r>
    </w:p>
    <w:p>
      <w:pPr>
        <w:pStyle w:val="TextBody"/>
        <w:spacing w:lineRule="auto" w:line="273" w:before="120" w:after="0"/>
        <w:jc w:val="left"/>
        <w:rPr/>
      </w:pPr>
      <w:r>
        <w:rPr/>
        <w:t>•</w:t>
      </w:r>
    </w:p>
    <w:p>
      <w:pPr>
        <w:pStyle w:val="TextBody"/>
        <w:spacing w:lineRule="auto" w:line="273" w:before="120" w:after="0"/>
        <w:jc w:val="left"/>
        <w:rPr>
          <w:rFonts w:ascii="Times New Roman" w:hAnsi="Times New Roman"/>
          <w:b w:val="false"/>
          <w:sz w:val="20"/>
        </w:rPr>
      </w:pPr>
      <w:r>
        <w:rPr>
          <w:rFonts w:ascii="Times New Roman" w:hAnsi="Times New Roman"/>
          <w:b w:val="false"/>
          <w:sz w:val="20"/>
        </w:rPr>
        <w:t xml:space="preserve">the costs, timing and outcome of obtaining regulatory approvals of our current or future product candidates and any companion diagnostics we may pursue; </w:t>
      </w:r>
    </w:p>
    <w:p>
      <w:pPr>
        <w:pStyle w:val="TextBody"/>
        <w:spacing w:lineRule="auto" w:line="273" w:before="120" w:after="0"/>
        <w:jc w:val="left"/>
        <w:rPr/>
      </w:pPr>
      <w:r>
        <w:rPr/>
        <w:t>•</w:t>
      </w:r>
    </w:p>
    <w:p>
      <w:pPr>
        <w:pStyle w:val="TextBody"/>
        <w:spacing w:lineRule="auto" w:line="273" w:before="120" w:after="0"/>
        <w:jc w:val="left"/>
        <w:rPr>
          <w:rFonts w:ascii="Times New Roman" w:hAnsi="Times New Roman"/>
          <w:b w:val="false"/>
          <w:sz w:val="20"/>
        </w:rPr>
      </w:pPr>
      <w:r>
        <w:rPr>
          <w:rFonts w:ascii="Times New Roman" w:hAnsi="Times New Roman"/>
          <w:b w:val="false"/>
          <w:sz w:val="20"/>
        </w:rPr>
        <w:t xml:space="preserve">the scope and costs of making arrangements with third-party manufacturers, or establishing manufacturing capabilities, for both clinical and commercial supplies of our current or future product candidates; </w:t>
      </w:r>
    </w:p>
    <w:p>
      <w:pPr>
        <w:pStyle w:val="TextBody"/>
        <w:spacing w:lineRule="auto" w:line="273" w:before="120" w:after="0"/>
        <w:jc w:val="left"/>
        <w:rPr/>
      </w:pPr>
      <w:r>
        <w:rPr/>
        <w:t>•</w:t>
      </w:r>
    </w:p>
    <w:p>
      <w:pPr>
        <w:pStyle w:val="TextBody"/>
        <w:spacing w:lineRule="auto" w:line="273" w:before="120" w:after="0"/>
        <w:jc w:val="left"/>
        <w:rPr>
          <w:rFonts w:ascii="Times New Roman" w:hAnsi="Times New Roman"/>
          <w:b w:val="false"/>
          <w:sz w:val="20"/>
        </w:rPr>
      </w:pPr>
      <w:r>
        <w:rPr>
          <w:rFonts w:ascii="Times New Roman" w:hAnsi="Times New Roman"/>
          <w:b w:val="false"/>
          <w:sz w:val="20"/>
        </w:rPr>
        <w:t xml:space="preserve">the costs involved in growing our organization to the size needed to allow for the research, development and potential commercialization of our current or future product candidates; </w:t>
      </w:r>
    </w:p>
    <w:p>
      <w:pPr>
        <w:pStyle w:val="TextBody"/>
        <w:spacing w:lineRule="auto" w:line="273" w:before="120" w:after="0"/>
        <w:jc w:val="left"/>
        <w:rPr/>
      </w:pPr>
      <w:r>
        <w:rPr/>
        <w:t>•</w:t>
      </w:r>
    </w:p>
    <w:p>
      <w:pPr>
        <w:pStyle w:val="TextBody"/>
        <w:spacing w:lineRule="auto" w:line="273" w:before="120" w:after="0"/>
        <w:jc w:val="left"/>
        <w:rPr>
          <w:rFonts w:ascii="Times New Roman" w:hAnsi="Times New Roman"/>
          <w:b w:val="false"/>
          <w:sz w:val="20"/>
        </w:rPr>
      </w:pPr>
      <w:r>
        <w:rPr>
          <w:rFonts w:ascii="Times New Roman" w:hAnsi="Times New Roman"/>
          <w:b w:val="false"/>
          <w:sz w:val="20"/>
        </w:rPr>
        <w:t xml:space="preserve">to the extent we pursue strategic collaborations, including collaborations to commercialize tovorafenib (DAY101), pimasertib, or any of our future pipeline product candidates, in any, our ability to establish and maintain collaborations on favorable terms, if at all, as well as the timing and amount of any milestone or royalty payments we are required to make or are eligible to receive under such collaborations or our current licenses; </w:t>
      </w:r>
    </w:p>
    <w:p>
      <w:pPr>
        <w:pStyle w:val="TextBody"/>
        <w:spacing w:lineRule="auto" w:line="273" w:before="120" w:after="0"/>
        <w:jc w:val="left"/>
        <w:rPr/>
      </w:pPr>
      <w:r>
        <w:rPr/>
        <w:t>•</w:t>
      </w:r>
    </w:p>
    <w:p>
      <w:pPr>
        <w:pStyle w:val="TextBody"/>
        <w:spacing w:lineRule="auto" w:line="273" w:before="120" w:after="0"/>
        <w:jc w:val="left"/>
        <w:rPr>
          <w:rFonts w:ascii="Times New Roman" w:hAnsi="Times New Roman"/>
          <w:b w:val="false"/>
          <w:sz w:val="20"/>
        </w:rPr>
      </w:pPr>
      <w:r>
        <w:rPr>
          <w:rFonts w:ascii="Times New Roman" w:hAnsi="Times New Roman"/>
          <w:b w:val="false"/>
          <w:sz w:val="20"/>
        </w:rPr>
        <w:t xml:space="preserve">the cost associated with commercializing any approved product candidates, including establishing sales, marketing, market access and distribution capabilities; </w:t>
      </w:r>
    </w:p>
    <w:p>
      <w:pPr>
        <w:pStyle w:val="TextBody"/>
        <w:spacing w:lineRule="auto" w:line="273" w:before="120" w:after="0"/>
        <w:jc w:val="left"/>
        <w:rPr/>
      </w:pPr>
      <w:r>
        <w:rPr/>
        <w:t>•</w:t>
      </w:r>
    </w:p>
    <w:p>
      <w:pPr>
        <w:pStyle w:val="TextBody"/>
        <w:spacing w:lineRule="auto" w:line="273" w:before="120" w:after="0"/>
        <w:jc w:val="left"/>
        <w:rPr>
          <w:rFonts w:ascii="Times New Roman" w:hAnsi="Times New Roman"/>
          <w:b w:val="false"/>
          <w:sz w:val="20"/>
        </w:rPr>
      </w:pPr>
      <w:r>
        <w:rPr>
          <w:rFonts w:ascii="Times New Roman" w:hAnsi="Times New Roman"/>
          <w:b w:val="false"/>
          <w:sz w:val="20"/>
        </w:rPr>
        <w:t xml:space="preserve">the cost associated with completing any post-marketing studies or trials required by the FDA or other regulatory authorities; </w:t>
      </w:r>
    </w:p>
    <w:p>
      <w:pPr>
        <w:pStyle w:val="TextBody"/>
        <w:spacing w:lineRule="auto" w:line="273" w:before="120" w:after="0"/>
        <w:jc w:val="left"/>
        <w:rPr/>
      </w:pPr>
      <w:r>
        <w:rPr/>
        <w:t>•</w:t>
      </w:r>
    </w:p>
    <w:p>
      <w:pPr>
        <w:pStyle w:val="TextBody"/>
        <w:spacing w:lineRule="auto" w:line="273" w:before="120" w:after="0"/>
        <w:jc w:val="left"/>
        <w:rPr>
          <w:rFonts w:ascii="Times New Roman" w:hAnsi="Times New Roman"/>
          <w:b w:val="false"/>
          <w:sz w:val="20"/>
        </w:rPr>
      </w:pPr>
      <w:r>
        <w:rPr>
          <w:rFonts w:ascii="Times New Roman" w:hAnsi="Times New Roman"/>
          <w:b w:val="false"/>
          <w:sz w:val="20"/>
        </w:rPr>
        <w:t xml:space="preserve">the revenue, if any, received from commercial sales of tovorafenib (DAY101), pimasertib or any of our future product candidates if any are approved, or any future pipeline product candidates that receive marketing approval; </w:t>
      </w:r>
    </w:p>
    <w:p>
      <w:pPr>
        <w:pStyle w:val="TextBody"/>
        <w:spacing w:lineRule="auto" w:line="273" w:before="120" w:after="0"/>
        <w:jc w:val="left"/>
        <w:rPr/>
      </w:pPr>
      <w:r>
        <w:rPr/>
        <w:t>•</w:t>
      </w:r>
    </w:p>
    <w:p>
      <w:pPr>
        <w:pStyle w:val="TextBody"/>
        <w:spacing w:lineRule="auto" w:line="273" w:before="120" w:after="0"/>
        <w:jc w:val="left"/>
        <w:rPr>
          <w:rFonts w:ascii="Times New Roman" w:hAnsi="Times New Roman"/>
          <w:b w:val="false"/>
          <w:sz w:val="20"/>
        </w:rPr>
      </w:pPr>
      <w:r>
        <w:rPr>
          <w:rFonts w:ascii="Times New Roman" w:hAnsi="Times New Roman"/>
          <w:b w:val="false"/>
          <w:sz w:val="20"/>
        </w:rPr>
        <w:t xml:space="preserve">the costs of preparing, filing and prosecuting patent applications, maintaining and enforcing our intellectual property rights and defending intellectual property-related claims that we may become subject to, including any litigation costs and the outcome of such litigation; and </w:t>
      </w:r>
    </w:p>
    <w:p>
      <w:pPr>
        <w:pStyle w:val="TextBody"/>
        <w:spacing w:lineRule="auto" w:line="273" w:before="120" w:after="0"/>
        <w:jc w:val="left"/>
        <w:rPr/>
      </w:pPr>
      <w:r>
        <w:rPr/>
        <w:t>•</w:t>
      </w:r>
    </w:p>
    <w:p>
      <w:pPr>
        <w:pStyle w:val="TextBody"/>
        <w:spacing w:lineRule="auto" w:line="273" w:before="120" w:after="283"/>
        <w:jc w:val="left"/>
        <w:rPr>
          <w:rFonts w:ascii="Times New Roman" w:hAnsi="Times New Roman"/>
          <w:b w:val="false"/>
          <w:sz w:val="20"/>
        </w:rPr>
      </w:pPr>
      <w:r>
        <w:rPr>
          <w:rFonts w:ascii="Times New Roman" w:hAnsi="Times New Roman"/>
          <w:b w:val="false"/>
          <w:sz w:val="20"/>
        </w:rPr>
        <w:t xml:space="preserve">the costs associated with potential product liability claims, including the costs associated with obtaining insurance against such claims and with defending against such claims. </w:t>
      </w:r>
    </w:p>
    <w:p>
      <w:pPr>
        <w:pStyle w:val="TextBody"/>
        <w:spacing w:lineRule="auto" w:line="273" w:before="240" w:after="0"/>
        <w:jc w:val="left"/>
        <w:rPr>
          <w:rFonts w:ascii="Times New Roman" w:hAnsi="Times New Roman"/>
          <w:sz w:val="20"/>
        </w:rPr>
      </w:pPr>
      <w:r>
        <w:rPr>
          <w:rFonts w:ascii="Times New Roman" w:hAnsi="Times New Roman"/>
          <w:b w:val="false"/>
          <w:sz w:val="20"/>
        </w:rPr>
        <w:t>We will require additional capital to complete our planned clinical development programs for our current product candidates to obtain regulatory approval, and we anticipate needing to raise additional capital to complete the development of and commercialize our product candidates. Our ability to raise additional funds will depend on financial, economic and market conditions and other factors, over which we may have no or limited control. If adequate funds are not available on commercially acceptable terms when needed, we may be forced to delay, reduce or terminate the development or commercialization of all or part of our research programs or product candidates or we may be unable to take advantage of future business opportunities. Furthermore, any additional capital-raising efforts may divert our management from their day-to-day activities, which may adversely affect our ability to develop and commercialize our current and future product candidates, if approved. Changing circumstances, some of which may be beyond our control, could cause us to consume capital significantly faster than we currently anticipate, and we may need to seek additional funds sooner than planned.</w:t>
      </w:r>
      <w:r>
        <w:rPr>
          <w:rFonts w:ascii="Times New Roman" w:hAnsi="Times New Roman"/>
          <w:sz w:val="20"/>
        </w:rPr>
        <w:t xml:space="preserve"> </w:t>
      </w:r>
    </w:p>
    <w:p>
      <w:pPr>
        <w:pStyle w:val="TextBody"/>
        <w:spacing w:lineRule="auto" w:line="273" w:before="240" w:after="0"/>
        <w:jc w:val="left"/>
        <w:rPr>
          <w:rFonts w:ascii="Times New Roman" w:hAnsi="Times New Roman"/>
          <w:sz w:val="20"/>
        </w:rPr>
      </w:pPr>
      <w:r>
        <w:rPr>
          <w:rFonts w:ascii="Times New Roman" w:hAnsi="Times New Roman"/>
          <w:b w:val="false"/>
          <w:sz w:val="20"/>
        </w:rPr>
        <w:t>We will be required to obtain further funding through public or private equity financings, debt financings, collaborative agreements, licensing arrangements or other sources of financing, which may dilute our stockholders or restrict our operating activities. We do not have any committed external source of funds. To the extent that we raise additional capital through the sale of equity or convertible debt securities, each investor’s ownership interests will be diluted, and the terms may include liquidation or other preferences that adversely affect each investor’s rights as a stockholder. Debt financing may result in imposition of debt covenants, increased fixed payment obligations or other restrictions that may affect our business. If we raise additional funds through upfront payments or milestone payments pursuant to strategic collaborations with third parties, we may have to relinquish valuable rights to our product candidates or grant licenses on terms that are not favorable to us. Our ability to raise additional funds may be adversely impacted by potential worsening global economic conditions and disruptions to and volatility in the credit and financial markets in the United States and worldwide resulting from the ongoing COVID-19 pandemic, inflation, changes in interest rates, geopolitical instability, including the recent and developing armed conflict in Ukraine, or otherwise.</w:t>
      </w:r>
      <w:r>
        <w:rPr>
          <w:rFonts w:ascii="Times New Roman" w:hAnsi="Times New Roman"/>
          <w:sz w:val="20"/>
        </w:rPr>
        <w:t xml:space="preserve"> </w:t>
      </w:r>
    </w:p>
    <w:p>
      <w:pPr>
        <w:pStyle w:val="TextBody"/>
        <w:spacing w:lineRule="auto" w:line="273" w:before="240" w:after="0"/>
        <w:jc w:val="left"/>
        <w:rPr>
          <w:rFonts w:ascii="Times New Roman" w:hAnsi="Times New Roman"/>
          <w:sz w:val="20"/>
        </w:rPr>
      </w:pPr>
      <w:r>
        <w:rPr>
          <w:rFonts w:ascii="Times New Roman" w:hAnsi="Times New Roman"/>
          <w:b w:val="false"/>
          <w:sz w:val="20"/>
        </w:rPr>
        <w:t>Our failure to raise capital as and when needed or on acceptable terms would have a negative impact on our financial condition and our ability to pursue our business strategy, and we may have to delay, reduce the scope of, suspend or eliminate one or more of our research or drug development programs, clinical trials or future commercialization efforts.</w:t>
      </w:r>
      <w:r>
        <w:rPr>
          <w:rFonts w:ascii="Times New Roman" w:hAnsi="Times New Roman"/>
          <w:sz w:val="20"/>
        </w:rPr>
        <w:t xml:space="preserve"> </w:t>
      </w:r>
    </w:p>
    <w:p>
      <w:pPr>
        <w:pStyle w:val="TextBody"/>
        <w:spacing w:lineRule="auto" w:line="273" w:before="0" w:after="0"/>
        <w:jc w:val="center"/>
        <w:rPr>
          <w:rFonts w:ascii="Times New Roman" w:hAnsi="Times New Roman"/>
          <w:b w:val="false"/>
          <w:sz w:val="20"/>
        </w:rPr>
      </w:pPr>
      <w:r>
        <w:rPr>
          <w:rFonts w:ascii="Times New Roman" w:hAnsi="Times New Roman"/>
          <w:b w:val="false"/>
          <w:sz w:val="20"/>
        </w:rPr>
        <w:t>34</w:t>
      </w:r>
    </w:p>
    <w:p>
      <w:pPr>
        <w:pStyle w:val="HorizontalLine"/>
        <w:rPr/>
      </w:pPr>
      <w:r>
        <w:rPr/>
      </w:r>
    </w:p>
    <w:p>
      <w:pPr>
        <w:pStyle w:val="TextBody"/>
        <w:spacing w:lineRule="auto" w:line="273" w:before="0" w:after="0"/>
        <w:jc w:val="left"/>
        <w:rPr/>
      </w:pPr>
      <w:r>
        <w:rPr/>
        <w:t> </w:t>
      </w:r>
    </w:p>
    <w:p>
      <w:pPr>
        <w:pStyle w:val="TextBody"/>
        <w:spacing w:lineRule="auto" w:line="273" w:before="360" w:after="0"/>
        <w:jc w:val="left"/>
        <w:rPr>
          <w:rFonts w:ascii="Times New Roman" w:hAnsi="Times New Roman"/>
          <w:sz w:val="20"/>
        </w:rPr>
      </w:pPr>
      <w:r>
        <w:rPr>
          <w:rFonts w:ascii="Times New Roman" w:hAnsi="Times New Roman"/>
          <w:b/>
          <w:sz w:val="20"/>
        </w:rPr>
        <w:t>Risks related to development and commercialization of our product candidates</w:t>
      </w:r>
      <w:r>
        <w:rPr>
          <w:rFonts w:ascii="Times New Roman" w:hAnsi="Times New Roman"/>
          <w:sz w:val="20"/>
        </w:rPr>
        <w:t xml:space="preserve"> </w:t>
      </w:r>
    </w:p>
    <w:p>
      <w:pPr>
        <w:pStyle w:val="TextBody"/>
        <w:spacing w:lineRule="auto" w:line="273" w:before="120" w:after="0"/>
        <w:jc w:val="left"/>
        <w:rPr>
          <w:rFonts w:ascii="Times New Roman" w:hAnsi="Times New Roman"/>
          <w:sz w:val="20"/>
        </w:rPr>
      </w:pPr>
      <w:r>
        <w:rPr>
          <w:rFonts w:ascii="Times New Roman" w:hAnsi="Times New Roman"/>
          <w:b/>
          <w:i/>
          <w:sz w:val="20"/>
        </w:rPr>
        <w:t>Clinical trials are very expensive, time-consuming and difficult to design and implement, and involve uncertain outcomes. Furthermore, results of earlier preclinical studies and clinical trials may not be predictive of results of future preclinical studies or clinical trials. Our product candidates may not have favorable results in later clinical trials, if any, or receive regulatory approval.</w:t>
      </w:r>
      <w:r>
        <w:rPr>
          <w:rFonts w:ascii="Times New Roman" w:hAnsi="Times New Roman"/>
          <w:sz w:val="20"/>
        </w:rPr>
        <w:t xml:space="preserve"> </w:t>
      </w:r>
    </w:p>
    <w:p>
      <w:pPr>
        <w:pStyle w:val="TextBody"/>
        <w:spacing w:lineRule="auto" w:line="273" w:before="120" w:after="0"/>
        <w:jc w:val="left"/>
        <w:rPr>
          <w:rFonts w:ascii="Times New Roman" w:hAnsi="Times New Roman"/>
          <w:sz w:val="20"/>
        </w:rPr>
      </w:pPr>
      <w:r>
        <w:rPr>
          <w:rFonts w:ascii="Times New Roman" w:hAnsi="Times New Roman"/>
          <w:b w:val="false"/>
          <w:sz w:val="20"/>
        </w:rPr>
        <w:t>The risk of failure for our product candidates is high. It is impossible to predict when or if any of our product candidates will prove effective or safe in humans or will receive regulatory approval. To obtain the requisite regulatory approvals to market and sell any of our product candidates, we must demonstrate through extensive preclinical studies and clinical trials that our product candidates are safe and effective in humans for use in each target indication. Clinical testing is expensive and can take many years to complete, and the outcome is inherently uncertain. Failure can occur at any time during the clinical trial process.</w:t>
      </w:r>
      <w:r>
        <w:rPr>
          <w:rFonts w:ascii="Times New Roman" w:hAnsi="Times New Roman"/>
          <w:sz w:val="20"/>
        </w:rPr>
        <w:t xml:space="preserve"> </w:t>
      </w:r>
    </w:p>
    <w:p>
      <w:pPr>
        <w:pStyle w:val="TextBody"/>
        <w:spacing w:lineRule="auto" w:line="273" w:before="240" w:after="0"/>
        <w:jc w:val="left"/>
        <w:rPr>
          <w:rFonts w:ascii="Times New Roman" w:hAnsi="Times New Roman"/>
          <w:sz w:val="20"/>
        </w:rPr>
      </w:pPr>
      <w:r>
        <w:rPr>
          <w:rFonts w:ascii="Times New Roman" w:hAnsi="Times New Roman"/>
          <w:b w:val="false"/>
          <w:sz w:val="20"/>
        </w:rPr>
        <w:t>In addition, the results of preclinical studies and earlier clinical trials may not be predictive of the results of later-stage preclinical studies or clinical trials. We have limited clinical data for our product candidates. Product candidates in later stages of clinical trials may fail to show the desired safety and efficacy traits despite having progressed through preclinical and earlier stage clinical trials.</w:t>
      </w:r>
      <w:r>
        <w:rPr>
          <w:rFonts w:ascii="Times New Roman" w:hAnsi="Times New Roman"/>
          <w:sz w:val="20"/>
        </w:rPr>
        <w:t xml:space="preserve"> </w:t>
      </w:r>
    </w:p>
    <w:p>
      <w:pPr>
        <w:pStyle w:val="TextBody"/>
        <w:spacing w:lineRule="auto" w:line="273" w:before="240" w:after="0"/>
        <w:jc w:val="left"/>
        <w:rPr>
          <w:rFonts w:ascii="Times New Roman" w:hAnsi="Times New Roman"/>
          <w:sz w:val="20"/>
        </w:rPr>
      </w:pPr>
      <w:r>
        <w:rPr>
          <w:rFonts w:ascii="Times New Roman" w:hAnsi="Times New Roman"/>
          <w:b w:val="false"/>
          <w:sz w:val="20"/>
        </w:rPr>
        <w:t>In some instances, there can be significant variability in safety or efficacy results between different clinical trials of the same product candidate due to numerous factors, including changes in clinical trial procedures set forth in protocols, differences in the size and type of the patient populations, adherence to the dosing regimen and other clinical trial protocols, and the rate of discontinuation among clinical trial participants. If we fail to produce positive results in our planned clinical trials of any of our product candidates, the development timeline and regulatory approval and commercialization prospects for our product candidates, and, correspondingly, our business and financial prospects, would be materially and adversely affected.</w:t>
      </w:r>
      <w:r>
        <w:rPr>
          <w:rFonts w:ascii="Times New Roman" w:hAnsi="Times New Roman"/>
          <w:sz w:val="20"/>
        </w:rPr>
        <w:t xml:space="preserve"> </w:t>
      </w:r>
    </w:p>
    <w:p>
      <w:pPr>
        <w:pStyle w:val="TextBody"/>
        <w:spacing w:lineRule="auto" w:line="273" w:before="360" w:after="0"/>
        <w:jc w:val="left"/>
        <w:rPr>
          <w:rFonts w:ascii="Times New Roman" w:hAnsi="Times New Roman"/>
          <w:sz w:val="20"/>
        </w:rPr>
      </w:pPr>
      <w:r>
        <w:rPr>
          <w:rFonts w:ascii="Times New Roman" w:hAnsi="Times New Roman"/>
          <w:b/>
          <w:i/>
          <w:sz w:val="20"/>
        </w:rPr>
        <w:t>We rely on data from an investigator-initiated trial Phase 1 clinical trial in our regulatory filings and we do not control the trial operations or reporting of the results.</w:t>
      </w:r>
      <w:r>
        <w:rPr>
          <w:rFonts w:ascii="Times New Roman" w:hAnsi="Times New Roman"/>
          <w:sz w:val="20"/>
        </w:rPr>
        <w:t xml:space="preserve"> </w:t>
      </w:r>
    </w:p>
    <w:p>
      <w:pPr>
        <w:pStyle w:val="TextBody"/>
        <w:spacing w:lineRule="auto" w:line="273" w:before="120" w:after="0"/>
        <w:jc w:val="left"/>
        <w:rPr>
          <w:rFonts w:ascii="Times New Roman" w:hAnsi="Times New Roman"/>
          <w:sz w:val="20"/>
        </w:rPr>
      </w:pPr>
      <w:r>
        <w:rPr>
          <w:rFonts w:ascii="Times New Roman" w:hAnsi="Times New Roman"/>
          <w:b w:val="false"/>
          <w:sz w:val="20"/>
        </w:rPr>
        <w:t>Tovorafenib's (DAY101) Phase 1 trial is run as an investigator-initiated, multi-center trial in patients with relapsed/refractory pLGG that is being conducted by the Dana Farber Cancer Institute in collaboration with the Pacific Pediatric Neuro-Oncology Consortium, or PNOC. The last data reported from this trial was in January 2020. It is possible that additional data, when reported, will not demonstrate similar results. We have no control over the timing of such clinical data announcements. In addition, although we expect that our pivotal Phase 2 trial in pLGG will provide a sufficient dataset, from approximately 60 patients, to support approval based on preliminary discussions with regulatory agencies, we cannot assure you that the FDA will not require data from additional patients to support approval. In later-stage clinical trials, we will likely be subject to more rigorous statistical analyses than in completed earlier stage clinical trials. A number of companies in the pharmaceutical industry have suffered significant setbacks in later-stage clinical trials due to lack of efficacy or adverse safety profiles, notwithstanding promising results in earlier trials, and we cannot be certain that we will not face similar setbacks. Moreover, preclinical and clinical data are often susceptible to varying interpretations and analyses, and many companies that have believed their product candidates performed satisfactorily in preclinical studies and clinical trials have nonetheless failed to obtain marketing approval of their products.</w:t>
      </w:r>
      <w:r>
        <w:rPr>
          <w:rFonts w:ascii="Times New Roman" w:hAnsi="Times New Roman"/>
          <w:sz w:val="20"/>
        </w:rPr>
        <w:t xml:space="preserve"> </w:t>
      </w:r>
    </w:p>
    <w:p>
      <w:pPr>
        <w:pStyle w:val="TextBody"/>
        <w:spacing w:lineRule="auto" w:line="273" w:before="240" w:after="0"/>
        <w:jc w:val="left"/>
        <w:rPr>
          <w:rFonts w:ascii="Times New Roman" w:hAnsi="Times New Roman"/>
          <w:b w:val="false"/>
          <w:sz w:val="20"/>
        </w:rPr>
      </w:pPr>
      <w:r>
        <w:rPr>
          <w:rFonts w:ascii="Times New Roman" w:hAnsi="Times New Roman"/>
          <w:b w:val="false"/>
          <w:sz w:val="20"/>
        </w:rPr>
        <w:t>Furthermore, we do not control the design or administration of investigator-sponsored trials, nor the submission or approval of any IND or foreign equivalent required to conduct these trials, and the investigator-sponsored trials could, depending on the actions of such third parties, jeopardize the validity of the clinical data generated, identify significant concerns with respect to our product candidates that could impact our findings or clinical trials, and adversely affect our ability to obtain marketing approval from the FDA or other applicable regulatory authorities. To the extent the results of this or other investigator-sponsored trials are inconsistent with, or different from, the results of our planned company-sponsored trials or raise concerns regarding our product candidates, the FDA or a foreign regulatory authority may question the results of the company-sponsored trial, or subject such results to greater scrutiny than it otherwise would. In these circumstances, the FDA or such foreign regulatory authorities may require us to obtain and submit additional clinical data, which could delay clinical development or marketing approval of our product candidates. While investigator-sponsored initiated trials could be useful to inform our own clinical development efforts, we do not control the data or timing of data releases for investigator-sponsored trials, and there is no guarantee that we will be able to use the data from these trials to form the basis for regulatory approval of our product candidates.</w:t>
      </w:r>
    </w:p>
    <w:p>
      <w:pPr>
        <w:pStyle w:val="TextBody"/>
        <w:spacing w:lineRule="auto" w:line="273" w:before="0" w:after="0"/>
        <w:jc w:val="center"/>
        <w:rPr>
          <w:rFonts w:ascii="Times New Roman" w:hAnsi="Times New Roman"/>
          <w:b w:val="false"/>
          <w:sz w:val="20"/>
        </w:rPr>
      </w:pPr>
      <w:r>
        <w:rPr>
          <w:rFonts w:ascii="Times New Roman" w:hAnsi="Times New Roman"/>
          <w:b w:val="false"/>
          <w:sz w:val="20"/>
        </w:rPr>
        <w:t>35</w:t>
      </w:r>
    </w:p>
    <w:p>
      <w:pPr>
        <w:pStyle w:val="HorizontalLine"/>
        <w:rPr/>
      </w:pPr>
      <w:r>
        <w:rPr/>
      </w:r>
    </w:p>
    <w:p>
      <w:pPr>
        <w:pStyle w:val="TextBody"/>
        <w:spacing w:lineRule="auto" w:line="273" w:before="0" w:after="0"/>
        <w:jc w:val="left"/>
        <w:rPr/>
      </w:pPr>
      <w:r>
        <w:rPr/>
        <w:t> </w:t>
      </w:r>
    </w:p>
    <w:p>
      <w:pPr>
        <w:pStyle w:val="TextBody"/>
        <w:spacing w:lineRule="auto" w:line="273" w:before="240" w:after="0"/>
        <w:jc w:val="left"/>
        <w:rPr>
          <w:rFonts w:ascii="Times New Roman" w:hAnsi="Times New Roman"/>
          <w:sz w:val="20"/>
        </w:rPr>
      </w:pPr>
      <w:r>
        <w:rPr>
          <w:rFonts w:ascii="Times New Roman" w:hAnsi="Times New Roman"/>
          <w:b w:val="false"/>
          <w:sz w:val="20"/>
        </w:rPr>
        <w:t>In addition, some patients who receive access to drugs prior to their commercial approval through compassionate use, expanded access programs or right to try access, collectively referred to as compassionate use programs, have life-threatening illnesses and have exhausted all other available therapies. The risk for serious adverse events in this patient population is high, which, if those adverse events are determined to be drug-related, could have a negative impact on the safety profile of our drug candidates if we were to provide them to these patients, which could cause significant delays or an inability to successfully commercialize our drug candidates and materially harm our business. If we were to provide patients with any of our drug candidates under a compassionate use program, our supply capabilities may limit the number of patients who are able to enroll in the program and we may in the future need to restructure or pause any compassionate use program in order to enroll sufficient numbers of patients in our controlled clinical trials required for regulatory approval and successful commercialization of our drug candidates, which could prompt adverse publicity or other disruptions related to current or potential participants in such programs.</w:t>
      </w:r>
      <w:r>
        <w:rPr>
          <w:rFonts w:ascii="Times New Roman" w:hAnsi="Times New Roman"/>
          <w:sz w:val="20"/>
        </w:rPr>
        <w:t xml:space="preserve"> </w:t>
      </w:r>
    </w:p>
    <w:p>
      <w:pPr>
        <w:pStyle w:val="TextBody"/>
        <w:spacing w:lineRule="auto" w:line="273" w:before="360" w:after="0"/>
        <w:jc w:val="left"/>
        <w:rPr>
          <w:rFonts w:ascii="Times New Roman" w:hAnsi="Times New Roman"/>
          <w:sz w:val="20"/>
        </w:rPr>
      </w:pPr>
      <w:r>
        <w:rPr>
          <w:rFonts w:ascii="Times New Roman" w:hAnsi="Times New Roman"/>
          <w:b/>
          <w:i/>
          <w:sz w:val="20"/>
        </w:rPr>
        <w:t>Our clinical trials may fail to adequately demonstrate the safety and efficacy of any of our product candidates, which would prevent or delay development, regulatory approval and commercialization.</w:t>
      </w:r>
      <w:r>
        <w:rPr>
          <w:rFonts w:ascii="Times New Roman" w:hAnsi="Times New Roman"/>
          <w:sz w:val="20"/>
        </w:rPr>
        <w:t xml:space="preserve"> </w:t>
      </w:r>
    </w:p>
    <w:p>
      <w:pPr>
        <w:pStyle w:val="TextBody"/>
        <w:spacing w:lineRule="auto" w:line="273" w:before="120" w:after="0"/>
        <w:jc w:val="left"/>
        <w:rPr>
          <w:rFonts w:ascii="Times New Roman" w:hAnsi="Times New Roman"/>
          <w:sz w:val="20"/>
        </w:rPr>
      </w:pPr>
      <w:r>
        <w:rPr>
          <w:rFonts w:ascii="Times New Roman" w:hAnsi="Times New Roman"/>
          <w:b w:val="false"/>
          <w:sz w:val="20"/>
        </w:rPr>
        <w:t>Before obtaining marketing approval from the FDA or comparable foreign regulatory authorities for the sale of our current product candidates, we must demonstrate through lengthy, complex and expensive clinical trials that our product candidates are both safe and effective for use in each target indication. Clinical testing is expensive, difficult to design and implement, can take many years to complete and its ultimate outcome is uncertain. Failure can occur at any time during the clinical trial processes, and, because our product candidates are in earlier stages of development, there is a high risk of failure and we may never succeed in developing marketable products.</w:t>
      </w:r>
      <w:r>
        <w:rPr>
          <w:rFonts w:ascii="Times New Roman" w:hAnsi="Times New Roman"/>
          <w:sz w:val="20"/>
        </w:rPr>
        <w:t xml:space="preserve"> </w:t>
      </w:r>
    </w:p>
    <w:p>
      <w:pPr>
        <w:pStyle w:val="TextBody"/>
        <w:spacing w:lineRule="auto" w:line="273" w:before="240" w:after="0"/>
        <w:jc w:val="left"/>
        <w:rPr>
          <w:rFonts w:ascii="Times New Roman" w:hAnsi="Times New Roman"/>
          <w:sz w:val="20"/>
        </w:rPr>
      </w:pPr>
      <w:r>
        <w:rPr>
          <w:rFonts w:ascii="Times New Roman" w:hAnsi="Times New Roman"/>
          <w:b w:val="false"/>
          <w:sz w:val="20"/>
        </w:rPr>
        <w:t>We may experience numerous unforeseen events during, or as a result of, clinical trials that could delay or prevent receipt of marketing approval or our ability to commercialize our product candidates, including:</w:t>
      </w:r>
      <w:r>
        <w:rPr>
          <w:rFonts w:ascii="Times New Roman" w:hAnsi="Times New Roman"/>
          <w:sz w:val="20"/>
        </w:rPr>
        <w:t xml:space="preserve"> </w:t>
      </w:r>
    </w:p>
    <w:p>
      <w:pPr>
        <w:pStyle w:val="TextBody"/>
        <w:spacing w:lineRule="auto" w:line="273" w:before="120" w:after="0"/>
        <w:jc w:val="left"/>
        <w:rPr/>
      </w:pPr>
      <w:r>
        <w:rPr/>
        <w:t>•</w:t>
      </w:r>
    </w:p>
    <w:p>
      <w:pPr>
        <w:pStyle w:val="TextBody"/>
        <w:spacing w:lineRule="auto" w:line="273" w:before="120" w:after="0"/>
        <w:jc w:val="left"/>
        <w:rPr>
          <w:rFonts w:ascii="Times New Roman" w:hAnsi="Times New Roman"/>
          <w:b w:val="false"/>
          <w:sz w:val="20"/>
        </w:rPr>
      </w:pPr>
      <w:r>
        <w:rPr>
          <w:rFonts w:ascii="Times New Roman" w:hAnsi="Times New Roman"/>
          <w:b w:val="false"/>
          <w:sz w:val="20"/>
        </w:rPr>
        <w:t xml:space="preserve">failure of our product candidates in clinical trials to demonstrate safety and efficacy; </w:t>
      </w:r>
    </w:p>
    <w:p>
      <w:pPr>
        <w:pStyle w:val="TextBody"/>
        <w:spacing w:lineRule="auto" w:line="273" w:before="120" w:after="0"/>
        <w:jc w:val="left"/>
        <w:rPr/>
      </w:pPr>
      <w:r>
        <w:rPr/>
        <w:t>•</w:t>
      </w:r>
    </w:p>
    <w:p>
      <w:pPr>
        <w:pStyle w:val="TextBody"/>
        <w:spacing w:lineRule="auto" w:line="273" w:before="120" w:after="0"/>
        <w:jc w:val="left"/>
        <w:rPr>
          <w:rFonts w:ascii="Times New Roman" w:hAnsi="Times New Roman"/>
          <w:b w:val="false"/>
          <w:sz w:val="20"/>
        </w:rPr>
      </w:pPr>
      <w:r>
        <w:rPr>
          <w:rFonts w:ascii="Times New Roman" w:hAnsi="Times New Roman"/>
          <w:b w:val="false"/>
          <w:sz w:val="20"/>
        </w:rPr>
        <w:t>failure of our product candidates in clinical trials to demonstrate important functional, quality, or patient-reported outcomes;</w:t>
      </w:r>
    </w:p>
    <w:p>
      <w:pPr>
        <w:pStyle w:val="TextBody"/>
        <w:spacing w:lineRule="auto" w:line="273" w:before="120" w:after="0"/>
        <w:jc w:val="left"/>
        <w:rPr/>
      </w:pPr>
      <w:r>
        <w:rPr/>
        <w:t>•</w:t>
      </w:r>
    </w:p>
    <w:p>
      <w:pPr>
        <w:pStyle w:val="TextBody"/>
        <w:spacing w:lineRule="auto" w:line="273" w:before="120" w:after="0"/>
        <w:jc w:val="left"/>
        <w:rPr>
          <w:rFonts w:ascii="Times New Roman" w:hAnsi="Times New Roman"/>
          <w:b w:val="false"/>
          <w:sz w:val="20"/>
        </w:rPr>
      </w:pPr>
      <w:r>
        <w:rPr>
          <w:rFonts w:ascii="Times New Roman" w:hAnsi="Times New Roman"/>
          <w:b w:val="false"/>
          <w:sz w:val="20"/>
        </w:rPr>
        <w:t>changes in the competitive landscape preventing marketing authorization in one or several subsets studied in our programs;</w:t>
      </w:r>
    </w:p>
    <w:p>
      <w:pPr>
        <w:pStyle w:val="TextBody"/>
        <w:spacing w:lineRule="auto" w:line="273" w:before="120" w:after="0"/>
        <w:jc w:val="left"/>
        <w:rPr/>
      </w:pPr>
      <w:r>
        <w:rPr/>
        <w:t>•</w:t>
      </w:r>
    </w:p>
    <w:p>
      <w:pPr>
        <w:pStyle w:val="TextBody"/>
        <w:spacing w:lineRule="auto" w:line="273" w:before="120" w:after="0"/>
        <w:jc w:val="left"/>
        <w:rPr>
          <w:rFonts w:ascii="Times New Roman" w:hAnsi="Times New Roman"/>
          <w:b w:val="false"/>
          <w:sz w:val="20"/>
        </w:rPr>
      </w:pPr>
      <w:r>
        <w:rPr>
          <w:rFonts w:ascii="Times New Roman" w:hAnsi="Times New Roman"/>
          <w:b w:val="false"/>
          <w:sz w:val="20"/>
        </w:rPr>
        <w:t xml:space="preserve">receipt of feedback from regulatory authorities that requires us to modify the design of our clinical trials; </w:t>
      </w:r>
    </w:p>
    <w:p>
      <w:pPr>
        <w:pStyle w:val="TextBody"/>
        <w:spacing w:lineRule="auto" w:line="273" w:before="120" w:after="0"/>
        <w:jc w:val="left"/>
        <w:rPr/>
      </w:pPr>
      <w:r>
        <w:rPr/>
        <w:t>•</w:t>
      </w:r>
    </w:p>
    <w:p>
      <w:pPr>
        <w:pStyle w:val="TextBody"/>
        <w:spacing w:lineRule="auto" w:line="273" w:before="120" w:after="0"/>
        <w:jc w:val="left"/>
        <w:rPr>
          <w:rFonts w:ascii="Times New Roman" w:hAnsi="Times New Roman"/>
          <w:b w:val="false"/>
          <w:sz w:val="20"/>
        </w:rPr>
      </w:pPr>
      <w:r>
        <w:rPr>
          <w:rFonts w:ascii="Times New Roman" w:hAnsi="Times New Roman"/>
          <w:b w:val="false"/>
          <w:sz w:val="20"/>
        </w:rPr>
        <w:t xml:space="preserve">negative or inconclusive clinical trial results that may require us to conduct additional clinical trials or abandon certain research and/or drug development programs; </w:t>
      </w:r>
    </w:p>
    <w:p>
      <w:pPr>
        <w:pStyle w:val="TextBody"/>
        <w:spacing w:lineRule="auto" w:line="273" w:before="120" w:after="0"/>
        <w:jc w:val="left"/>
        <w:rPr/>
      </w:pPr>
      <w:r>
        <w:rPr/>
        <w:t>•</w:t>
      </w:r>
    </w:p>
    <w:p>
      <w:pPr>
        <w:pStyle w:val="TextBody"/>
        <w:spacing w:lineRule="auto" w:line="273" w:before="120" w:after="0"/>
        <w:jc w:val="left"/>
        <w:rPr>
          <w:rFonts w:ascii="Times New Roman" w:hAnsi="Times New Roman"/>
          <w:b w:val="false"/>
          <w:sz w:val="20"/>
        </w:rPr>
      </w:pPr>
      <w:r>
        <w:rPr>
          <w:rFonts w:ascii="Times New Roman" w:hAnsi="Times New Roman"/>
          <w:b w:val="false"/>
          <w:sz w:val="20"/>
        </w:rPr>
        <w:t xml:space="preserve">the number of patients required for clinical trials being larger than anticipated, enrollment in these clinical trials being slower than anticipated or participants dropping out of these clinical trials at a higher rate than anticipated; </w:t>
      </w:r>
    </w:p>
    <w:p>
      <w:pPr>
        <w:pStyle w:val="TextBody"/>
        <w:spacing w:lineRule="auto" w:line="273" w:before="120" w:after="0"/>
        <w:jc w:val="left"/>
        <w:rPr/>
      </w:pPr>
      <w:r>
        <w:rPr/>
        <w:t>•</w:t>
      </w:r>
    </w:p>
    <w:p>
      <w:pPr>
        <w:pStyle w:val="TextBody"/>
        <w:spacing w:lineRule="auto" w:line="273" w:before="120" w:after="0"/>
        <w:jc w:val="left"/>
        <w:rPr>
          <w:rFonts w:ascii="Times New Roman" w:hAnsi="Times New Roman"/>
          <w:b w:val="false"/>
          <w:sz w:val="20"/>
        </w:rPr>
      </w:pPr>
      <w:r>
        <w:rPr>
          <w:rFonts w:ascii="Times New Roman" w:hAnsi="Times New Roman"/>
          <w:b w:val="false"/>
          <w:sz w:val="20"/>
        </w:rPr>
        <w:t xml:space="preserve">third-party contractors failing to comply with regulatory requirements or meet their contractual obligations to us in a timely manner, or at all; </w:t>
      </w:r>
    </w:p>
    <w:p>
      <w:pPr>
        <w:pStyle w:val="TextBody"/>
        <w:spacing w:lineRule="auto" w:line="273" w:before="120" w:after="0"/>
        <w:jc w:val="left"/>
        <w:rPr/>
      </w:pPr>
      <w:r>
        <w:rPr/>
        <w:t>•</w:t>
      </w:r>
    </w:p>
    <w:p>
      <w:pPr>
        <w:pStyle w:val="TextBody"/>
        <w:spacing w:lineRule="auto" w:line="273" w:before="120" w:after="0"/>
        <w:jc w:val="left"/>
        <w:rPr>
          <w:rFonts w:ascii="Times New Roman" w:hAnsi="Times New Roman"/>
          <w:b w:val="false"/>
          <w:sz w:val="20"/>
        </w:rPr>
      </w:pPr>
      <w:r>
        <w:rPr>
          <w:rFonts w:ascii="Times New Roman" w:hAnsi="Times New Roman"/>
          <w:b w:val="false"/>
          <w:sz w:val="20"/>
        </w:rPr>
        <w:t xml:space="preserve">the suspension or termination of our clinical trials for various reasons, including non-compliance with regulatory requirements or a finding that our product candidates have undesirable side effects or other unexpected characteristics or risks; </w:t>
      </w:r>
    </w:p>
    <w:p>
      <w:pPr>
        <w:pStyle w:val="TextBody"/>
        <w:spacing w:lineRule="auto" w:line="273" w:before="120" w:after="0"/>
        <w:jc w:val="left"/>
        <w:rPr/>
      </w:pPr>
      <w:r>
        <w:rPr/>
        <w:t>•</w:t>
      </w:r>
    </w:p>
    <w:p>
      <w:pPr>
        <w:pStyle w:val="TextBody"/>
        <w:spacing w:lineRule="auto" w:line="273" w:before="120" w:after="0"/>
        <w:jc w:val="left"/>
        <w:rPr>
          <w:rFonts w:ascii="Times New Roman" w:hAnsi="Times New Roman"/>
          <w:b w:val="false"/>
          <w:sz w:val="20"/>
        </w:rPr>
      </w:pPr>
      <w:r>
        <w:rPr>
          <w:rFonts w:ascii="Times New Roman" w:hAnsi="Times New Roman"/>
          <w:b w:val="false"/>
          <w:sz w:val="20"/>
        </w:rPr>
        <w:t xml:space="preserve">the cost of clinical trials of our product candidates being greater than anticipated; </w:t>
      </w:r>
    </w:p>
    <w:p>
      <w:pPr>
        <w:pStyle w:val="TextBody"/>
        <w:spacing w:lineRule="auto" w:line="273" w:before="120" w:after="0"/>
        <w:jc w:val="left"/>
        <w:rPr/>
      </w:pPr>
      <w:r>
        <w:rPr/>
        <w:t>•</w:t>
      </w:r>
    </w:p>
    <w:p>
      <w:pPr>
        <w:pStyle w:val="TextBody"/>
        <w:spacing w:lineRule="auto" w:line="273" w:before="120" w:after="0"/>
        <w:jc w:val="left"/>
        <w:rPr>
          <w:rFonts w:ascii="Times New Roman" w:hAnsi="Times New Roman"/>
          <w:b w:val="false"/>
          <w:sz w:val="20"/>
        </w:rPr>
      </w:pPr>
      <w:r>
        <w:rPr>
          <w:rFonts w:ascii="Times New Roman" w:hAnsi="Times New Roman"/>
          <w:b w:val="false"/>
          <w:sz w:val="20"/>
        </w:rPr>
        <w:t xml:space="preserve">the supply or quality of our product candidates or other materials necessary to conduct clinical trials of our product candidates being insufficient or inadequate; and </w:t>
      </w:r>
    </w:p>
    <w:p>
      <w:pPr>
        <w:pStyle w:val="TextBody"/>
        <w:spacing w:lineRule="auto" w:line="273" w:before="120" w:after="0"/>
        <w:jc w:val="left"/>
        <w:rPr/>
      </w:pPr>
      <w:r>
        <w:rPr/>
        <w:t>•</w:t>
      </w:r>
    </w:p>
    <w:p>
      <w:pPr>
        <w:pStyle w:val="TextBody"/>
        <w:spacing w:lineRule="auto" w:line="273" w:before="120" w:after="283"/>
        <w:jc w:val="left"/>
        <w:rPr>
          <w:rFonts w:ascii="Times New Roman" w:hAnsi="Times New Roman"/>
          <w:b w:val="false"/>
          <w:sz w:val="20"/>
        </w:rPr>
      </w:pPr>
      <w:r>
        <w:rPr>
          <w:rFonts w:ascii="Times New Roman" w:hAnsi="Times New Roman"/>
          <w:b w:val="false"/>
          <w:sz w:val="20"/>
        </w:rPr>
        <w:t xml:space="preserve">regulators revising the requirements for approving our product candidates. </w:t>
      </w:r>
    </w:p>
    <w:p>
      <w:pPr>
        <w:pStyle w:val="TextBody"/>
        <w:spacing w:lineRule="auto" w:line="273" w:before="240" w:after="0"/>
        <w:jc w:val="left"/>
        <w:rPr>
          <w:rFonts w:ascii="Times New Roman" w:hAnsi="Times New Roman"/>
          <w:sz w:val="20"/>
        </w:rPr>
      </w:pPr>
      <w:r>
        <w:rPr>
          <w:rFonts w:ascii="Times New Roman" w:hAnsi="Times New Roman"/>
          <w:b w:val="false"/>
          <w:sz w:val="20"/>
        </w:rPr>
        <w:t>If we are required to conduct additional clinical trials or other testing of our product candidates beyond those that we currently contemplate, if we are unable to successfully complete clinical trials of our product candidates or other testing in a timely manner, if the results of these trials or tests are not positive or are only modestly positive or if there are safety concerns, we may incur unplanned costs, be delayed in seeking and obtaining marketing approval, if we receive such approval at all, receive more limited or restrictive marketing approval, be subject to additional post-marketing testing requirements or have the drug removed from the market after obtaining marketing approval.</w:t>
      </w:r>
      <w:r>
        <w:rPr>
          <w:rFonts w:ascii="Times New Roman" w:hAnsi="Times New Roman"/>
          <w:sz w:val="20"/>
        </w:rPr>
        <w:t xml:space="preserve"> </w:t>
      </w:r>
    </w:p>
    <w:p>
      <w:pPr>
        <w:pStyle w:val="TextBody"/>
        <w:spacing w:lineRule="auto" w:line="273" w:before="0" w:after="0"/>
        <w:jc w:val="center"/>
        <w:rPr>
          <w:rFonts w:ascii="Times New Roman" w:hAnsi="Times New Roman"/>
          <w:b w:val="false"/>
          <w:sz w:val="20"/>
        </w:rPr>
      </w:pPr>
      <w:r>
        <w:rPr>
          <w:rFonts w:ascii="Times New Roman" w:hAnsi="Times New Roman"/>
          <w:b w:val="false"/>
          <w:sz w:val="20"/>
        </w:rPr>
        <w:t>36</w:t>
      </w:r>
    </w:p>
    <w:p>
      <w:pPr>
        <w:pStyle w:val="HorizontalLine"/>
        <w:rPr/>
      </w:pPr>
      <w:r>
        <w:rPr/>
      </w:r>
    </w:p>
    <w:p>
      <w:pPr>
        <w:pStyle w:val="TextBody"/>
        <w:spacing w:lineRule="auto" w:line="273" w:before="0" w:after="0"/>
        <w:jc w:val="left"/>
        <w:rPr/>
      </w:pPr>
      <w:r>
        <w:rPr/>
        <w:t> </w:t>
      </w:r>
    </w:p>
    <w:p>
      <w:pPr>
        <w:pStyle w:val="TextBody"/>
        <w:spacing w:lineRule="auto" w:line="273" w:before="240" w:after="0"/>
        <w:jc w:val="left"/>
        <w:rPr>
          <w:rFonts w:ascii="Times New Roman" w:hAnsi="Times New Roman"/>
          <w:sz w:val="20"/>
        </w:rPr>
      </w:pPr>
      <w:r>
        <w:rPr>
          <w:rFonts w:ascii="Times New Roman" w:hAnsi="Times New Roman"/>
          <w:b w:val="false"/>
          <w:sz w:val="20"/>
        </w:rPr>
        <w:t>Our product candidates are initially targeted towards the pediatric population, for which safety concerns may be particularly scrutinized by regulatory agencies. Trials involving pediatric populations can be difficult to conduct, can be quite costly and, like other clinical trials, may not yield the anticipated results. In addition, pediatric studies are more dependent on a smaller number of specialized clinical trial sites, which in turn can limit site availability and make the trials more expensive to conduct. In addition, as interest in pediatric indications grows as a result of the Research to Accelerate Cures and Equity (RACE) for Children Act and other market forces, trial recruitment may become even more difficult due to competition for eligible patients. Moreover, it may be challenging to ensure that pediatric or adolescent patients adhere to clinical trial protocols. Our inability to enroll a sufficient number of pediatric patients for our clinical trial could result in significant delays, require us to abandon one or more clinical trials altogether, impact our ability to raise additional capital and delay or prevent our ability to obtain necessary regulatory approvals for any drug product candidate.</w:t>
      </w:r>
      <w:r>
        <w:rPr>
          <w:rFonts w:ascii="Times New Roman" w:hAnsi="Times New Roman"/>
          <w:sz w:val="20"/>
        </w:rPr>
        <w:t xml:space="preserve"> </w:t>
      </w:r>
    </w:p>
    <w:p>
      <w:pPr>
        <w:pStyle w:val="TextBody"/>
        <w:spacing w:lineRule="auto" w:line="273" w:before="240" w:after="0"/>
        <w:jc w:val="left"/>
        <w:rPr>
          <w:rFonts w:ascii="Times New Roman" w:hAnsi="Times New Roman"/>
          <w:sz w:val="20"/>
        </w:rPr>
      </w:pPr>
      <w:r>
        <w:rPr>
          <w:rFonts w:ascii="Times New Roman" w:hAnsi="Times New Roman"/>
          <w:b w:val="false"/>
          <w:sz w:val="20"/>
        </w:rPr>
        <w:t>Additionally, if the results of our clinical trials are inconclusive or if there are safety concerns or serious adverse events associated with our product candidates, we may:</w:t>
      </w:r>
      <w:r>
        <w:rPr>
          <w:rFonts w:ascii="Times New Roman" w:hAnsi="Times New Roman"/>
          <w:sz w:val="20"/>
        </w:rPr>
        <w:t xml:space="preserve"> </w:t>
      </w:r>
    </w:p>
    <w:p>
      <w:pPr>
        <w:pStyle w:val="TextBody"/>
        <w:spacing w:lineRule="auto" w:line="273" w:before="120" w:after="0"/>
        <w:jc w:val="left"/>
        <w:rPr/>
      </w:pPr>
      <w:r>
        <w:rPr/>
        <w:t>•</w:t>
      </w:r>
    </w:p>
    <w:p>
      <w:pPr>
        <w:pStyle w:val="TextBody"/>
        <w:spacing w:lineRule="auto" w:line="273" w:before="120" w:after="0"/>
        <w:jc w:val="left"/>
        <w:rPr>
          <w:rFonts w:ascii="Times New Roman" w:hAnsi="Times New Roman"/>
          <w:b w:val="false"/>
          <w:sz w:val="20"/>
        </w:rPr>
      </w:pPr>
      <w:r>
        <w:rPr>
          <w:rFonts w:ascii="Times New Roman" w:hAnsi="Times New Roman"/>
          <w:b w:val="false"/>
          <w:sz w:val="20"/>
        </w:rPr>
        <w:t xml:space="preserve">be delayed in obtaining marketing approval, if at all; </w:t>
      </w:r>
    </w:p>
    <w:p>
      <w:pPr>
        <w:pStyle w:val="TextBody"/>
        <w:spacing w:lineRule="auto" w:line="273" w:before="120" w:after="0"/>
        <w:jc w:val="left"/>
        <w:rPr/>
      </w:pPr>
      <w:r>
        <w:rPr/>
        <w:t>•</w:t>
      </w:r>
    </w:p>
    <w:p>
      <w:pPr>
        <w:pStyle w:val="TextBody"/>
        <w:spacing w:lineRule="auto" w:line="273" w:before="120" w:after="0"/>
        <w:jc w:val="left"/>
        <w:rPr>
          <w:rFonts w:ascii="Times New Roman" w:hAnsi="Times New Roman"/>
          <w:b w:val="false"/>
          <w:sz w:val="20"/>
        </w:rPr>
      </w:pPr>
      <w:r>
        <w:rPr>
          <w:rFonts w:ascii="Times New Roman" w:hAnsi="Times New Roman"/>
          <w:b w:val="false"/>
          <w:sz w:val="20"/>
        </w:rPr>
        <w:t xml:space="preserve">obtain approval for indications or patient populations that are not as broad as intended or desired or may have restricted duration expectations or guidance; </w:t>
      </w:r>
    </w:p>
    <w:p>
      <w:pPr>
        <w:pStyle w:val="TextBody"/>
        <w:spacing w:lineRule="auto" w:line="273" w:before="120" w:after="0"/>
        <w:jc w:val="left"/>
        <w:rPr/>
      </w:pPr>
      <w:r>
        <w:rPr/>
        <w:t>•</w:t>
      </w:r>
    </w:p>
    <w:p>
      <w:pPr>
        <w:pStyle w:val="TextBody"/>
        <w:spacing w:lineRule="auto" w:line="273" w:before="120" w:after="0"/>
        <w:jc w:val="left"/>
        <w:rPr>
          <w:rFonts w:ascii="Times New Roman" w:hAnsi="Times New Roman"/>
          <w:b w:val="false"/>
          <w:sz w:val="20"/>
        </w:rPr>
      </w:pPr>
      <w:r>
        <w:rPr>
          <w:rFonts w:ascii="Times New Roman" w:hAnsi="Times New Roman"/>
          <w:b w:val="false"/>
          <w:sz w:val="20"/>
        </w:rPr>
        <w:t xml:space="preserve">obtain approval with labeling that includes significant use or distribution restrictions or safety warnings; </w:t>
      </w:r>
    </w:p>
    <w:p>
      <w:pPr>
        <w:pStyle w:val="TextBody"/>
        <w:spacing w:lineRule="auto" w:line="273" w:before="120" w:after="0"/>
        <w:jc w:val="left"/>
        <w:rPr/>
      </w:pPr>
      <w:r>
        <w:rPr/>
        <w:t>•</w:t>
      </w:r>
    </w:p>
    <w:p>
      <w:pPr>
        <w:pStyle w:val="TextBody"/>
        <w:spacing w:lineRule="auto" w:line="273" w:before="120" w:after="0"/>
        <w:jc w:val="left"/>
        <w:rPr>
          <w:rFonts w:ascii="Times New Roman" w:hAnsi="Times New Roman"/>
          <w:b w:val="false"/>
          <w:sz w:val="20"/>
        </w:rPr>
      </w:pPr>
      <w:r>
        <w:rPr>
          <w:rFonts w:ascii="Times New Roman" w:hAnsi="Times New Roman"/>
          <w:b w:val="false"/>
          <w:sz w:val="20"/>
        </w:rPr>
        <w:t xml:space="preserve">be subject to additional post-marketing testing requirements; </w:t>
      </w:r>
    </w:p>
    <w:p>
      <w:pPr>
        <w:pStyle w:val="TextBody"/>
        <w:spacing w:lineRule="auto" w:line="273" w:before="120" w:after="0"/>
        <w:jc w:val="left"/>
        <w:rPr/>
      </w:pPr>
      <w:r>
        <w:rPr/>
        <w:t>•</w:t>
      </w:r>
    </w:p>
    <w:p>
      <w:pPr>
        <w:pStyle w:val="TextBody"/>
        <w:spacing w:lineRule="auto" w:line="273" w:before="120" w:after="0"/>
        <w:jc w:val="left"/>
        <w:rPr>
          <w:rFonts w:ascii="Times New Roman" w:hAnsi="Times New Roman"/>
          <w:b w:val="false"/>
          <w:sz w:val="20"/>
        </w:rPr>
      </w:pPr>
      <w:r>
        <w:rPr>
          <w:rFonts w:ascii="Times New Roman" w:hAnsi="Times New Roman"/>
          <w:b w:val="false"/>
          <w:sz w:val="20"/>
        </w:rPr>
        <w:t xml:space="preserve">be required to perform additional clinical trials to support approval or be subject to additional post-marketing testing requirements; </w:t>
      </w:r>
    </w:p>
    <w:p>
      <w:pPr>
        <w:pStyle w:val="TextBody"/>
        <w:spacing w:lineRule="auto" w:line="273" w:before="120" w:after="0"/>
        <w:jc w:val="left"/>
        <w:rPr/>
      </w:pPr>
      <w:r>
        <w:rPr/>
        <w:t>•</w:t>
      </w:r>
    </w:p>
    <w:p>
      <w:pPr>
        <w:pStyle w:val="TextBody"/>
        <w:spacing w:lineRule="auto" w:line="273" w:before="120" w:after="0"/>
        <w:jc w:val="left"/>
        <w:rPr>
          <w:rFonts w:ascii="Times New Roman" w:hAnsi="Times New Roman"/>
          <w:b w:val="false"/>
          <w:sz w:val="20"/>
        </w:rPr>
      </w:pPr>
      <w:r>
        <w:rPr>
          <w:rFonts w:ascii="Times New Roman" w:hAnsi="Times New Roman"/>
          <w:b w:val="false"/>
          <w:sz w:val="20"/>
        </w:rPr>
        <w:t xml:space="preserve">have regulatory authorities withdraw, or suspend, their approval of the drug or impose restrictions on its distribution in the form of a modified risk evaluation and mitigation strategy, or REMS; </w:t>
      </w:r>
    </w:p>
    <w:p>
      <w:pPr>
        <w:pStyle w:val="TextBody"/>
        <w:spacing w:lineRule="auto" w:line="273" w:before="120" w:after="0"/>
        <w:jc w:val="left"/>
        <w:rPr/>
      </w:pPr>
      <w:r>
        <w:rPr/>
        <w:t>•</w:t>
      </w:r>
    </w:p>
    <w:p>
      <w:pPr>
        <w:pStyle w:val="TextBody"/>
        <w:spacing w:lineRule="auto" w:line="273" w:before="120" w:after="0"/>
        <w:jc w:val="left"/>
        <w:rPr>
          <w:rFonts w:ascii="Times New Roman" w:hAnsi="Times New Roman"/>
          <w:b w:val="false"/>
          <w:sz w:val="20"/>
        </w:rPr>
      </w:pPr>
      <w:r>
        <w:rPr>
          <w:rFonts w:ascii="Times New Roman" w:hAnsi="Times New Roman"/>
          <w:b w:val="false"/>
          <w:sz w:val="20"/>
        </w:rPr>
        <w:t xml:space="preserve">be subject to the addition of labeling statements, such as warnings or contraindications; </w:t>
      </w:r>
    </w:p>
    <w:p>
      <w:pPr>
        <w:pStyle w:val="TextBody"/>
        <w:spacing w:lineRule="auto" w:line="273" w:before="120" w:after="0"/>
        <w:jc w:val="left"/>
        <w:rPr/>
      </w:pPr>
      <w:r>
        <w:rPr/>
        <w:t>•</w:t>
      </w:r>
    </w:p>
    <w:p>
      <w:pPr>
        <w:pStyle w:val="TextBody"/>
        <w:spacing w:lineRule="auto" w:line="273" w:before="120" w:after="0"/>
        <w:jc w:val="left"/>
        <w:rPr>
          <w:rFonts w:ascii="Times New Roman" w:hAnsi="Times New Roman"/>
          <w:b w:val="false"/>
          <w:sz w:val="20"/>
        </w:rPr>
      </w:pPr>
      <w:r>
        <w:rPr>
          <w:rFonts w:ascii="Times New Roman" w:hAnsi="Times New Roman"/>
          <w:b w:val="false"/>
          <w:sz w:val="20"/>
        </w:rPr>
        <w:t xml:space="preserve">be subject to civil or criminal investigations and litigation; or </w:t>
      </w:r>
    </w:p>
    <w:p>
      <w:pPr>
        <w:pStyle w:val="TextBody"/>
        <w:spacing w:lineRule="auto" w:line="273" w:before="120" w:after="0"/>
        <w:jc w:val="left"/>
        <w:rPr/>
      </w:pPr>
      <w:r>
        <w:rPr/>
        <w:t>•</w:t>
      </w:r>
    </w:p>
    <w:p>
      <w:pPr>
        <w:pStyle w:val="TextBody"/>
        <w:spacing w:lineRule="auto" w:line="273" w:before="120" w:after="283"/>
        <w:jc w:val="left"/>
        <w:rPr>
          <w:rFonts w:ascii="Times New Roman" w:hAnsi="Times New Roman"/>
          <w:b w:val="false"/>
          <w:sz w:val="20"/>
        </w:rPr>
      </w:pPr>
      <w:r>
        <w:rPr>
          <w:rFonts w:ascii="Times New Roman" w:hAnsi="Times New Roman"/>
          <w:b w:val="false"/>
          <w:sz w:val="20"/>
        </w:rPr>
        <w:t xml:space="preserve">experience damage to our reputation. </w:t>
      </w:r>
    </w:p>
    <w:p>
      <w:pPr>
        <w:pStyle w:val="TextBody"/>
        <w:spacing w:lineRule="auto" w:line="273" w:before="240" w:after="0"/>
        <w:jc w:val="left"/>
        <w:rPr>
          <w:rFonts w:ascii="Times New Roman" w:hAnsi="Times New Roman"/>
          <w:sz w:val="20"/>
        </w:rPr>
      </w:pPr>
      <w:r>
        <w:rPr>
          <w:rFonts w:ascii="Times New Roman" w:hAnsi="Times New Roman"/>
          <w:b w:val="false"/>
          <w:sz w:val="20"/>
        </w:rPr>
        <w:t>Our drug development costs will also increase if we experience delays in testing or obtaining marketing approvals. Also, delays in obtaining marketing approval may increase commercialization costs if the competitive environment becomes more intense prior to market entry. We do not know whether any of our preclinical studies or clinical trials will begin as planned, need to be restructured or be completed on schedule, if at all.</w:t>
      </w:r>
      <w:r>
        <w:rPr>
          <w:rFonts w:ascii="Times New Roman" w:hAnsi="Times New Roman"/>
          <w:sz w:val="20"/>
        </w:rPr>
        <w:t xml:space="preserve"> </w:t>
      </w:r>
    </w:p>
    <w:p>
      <w:pPr>
        <w:pStyle w:val="TextBody"/>
        <w:spacing w:lineRule="auto" w:line="273" w:before="240" w:after="0"/>
        <w:jc w:val="left"/>
        <w:rPr>
          <w:rFonts w:ascii="Times New Roman" w:hAnsi="Times New Roman"/>
          <w:sz w:val="20"/>
        </w:rPr>
      </w:pPr>
      <w:r>
        <w:rPr>
          <w:rFonts w:ascii="Times New Roman" w:hAnsi="Times New Roman"/>
          <w:b w:val="false"/>
          <w:sz w:val="20"/>
        </w:rPr>
        <w:t>Further, we, the FDA or an institutional review board, or IRB, may suspend our clinical trials at any time if it appears that we or our collaborators are failing to conduct a trial in accordance with regulatory requirements, including the FDA’s current Good Clinical Practice, or GCP, regulations, that we are exposing participants to unacceptable health risks, or if the FDA finds deficiencies in our investigational NDAs or the conduct of these trials. Therefore, we cannot predict with any certainty the schedule for commencement and completion of future clinical trials. Further, conducting clinical trials in foreign countries, as we may do for our product candidates, presents additional risks that may delay completion of our clinical trials. These risks include the failure of enrolled patients in foreign countries to adhere to clinical protocol as a result of differences in healthcare services or cultural customs, managing additional administrative burdens associated with foreign regulatory schemes, as well as political and economic risks relevant to such foreign countries.</w:t>
      </w:r>
      <w:r>
        <w:rPr>
          <w:rFonts w:ascii="Times New Roman" w:hAnsi="Times New Roman"/>
          <w:sz w:val="20"/>
        </w:rPr>
        <w:t xml:space="preserve"> </w:t>
      </w:r>
    </w:p>
    <w:p>
      <w:pPr>
        <w:pStyle w:val="TextBody"/>
        <w:spacing w:lineRule="auto" w:line="273" w:before="240" w:after="0"/>
        <w:jc w:val="left"/>
        <w:rPr>
          <w:rFonts w:ascii="Times New Roman" w:hAnsi="Times New Roman"/>
          <w:sz w:val="20"/>
        </w:rPr>
      </w:pPr>
      <w:r>
        <w:rPr>
          <w:rFonts w:ascii="Times New Roman" w:hAnsi="Times New Roman"/>
          <w:b w:val="false"/>
          <w:sz w:val="20"/>
        </w:rPr>
        <w:t>Moreover, principal investigators for our clinical trials may serve as scientific advisors or consultants to us from time to time and receive compensation in connection with such services. Under certain circumstances, we may be required to report some of these relationships to the FDA or comparable foreign regulatory authorities. The FDA or comparable foreign regulatory authority may conclude that a financial relationship between us and a principal investigator has created a conflict of interest or otherwise affected interpretation of the study. The FDA or comparable foreign regulatory authority may therefore question the integrity of the data generated at the applicable clinical trial site and the utility of the clinical trial itself may be jeopardized. This could result in a delay in approval, or rejection, of our marketing applications by the FDA or comparable foreign regulatory authority, as the case may be, and may ultimately lead to the denial of marketing approval of one or more of our product candidates.</w:t>
      </w:r>
      <w:r>
        <w:rPr>
          <w:rFonts w:ascii="Times New Roman" w:hAnsi="Times New Roman"/>
          <w:sz w:val="20"/>
        </w:rPr>
        <w:t xml:space="preserve"> </w:t>
      </w:r>
    </w:p>
    <w:p>
      <w:pPr>
        <w:pStyle w:val="TextBody"/>
        <w:spacing w:lineRule="auto" w:line="273" w:before="0" w:after="0"/>
        <w:jc w:val="center"/>
        <w:rPr>
          <w:rFonts w:ascii="Times New Roman" w:hAnsi="Times New Roman"/>
          <w:b w:val="false"/>
          <w:sz w:val="20"/>
        </w:rPr>
      </w:pPr>
      <w:r>
        <w:rPr>
          <w:rFonts w:ascii="Times New Roman" w:hAnsi="Times New Roman"/>
          <w:b w:val="false"/>
          <w:sz w:val="20"/>
        </w:rPr>
        <w:t>37</w:t>
      </w:r>
    </w:p>
    <w:p>
      <w:pPr>
        <w:pStyle w:val="HorizontalLine"/>
        <w:rPr/>
      </w:pPr>
      <w:r>
        <w:rPr/>
      </w:r>
    </w:p>
    <w:p>
      <w:pPr>
        <w:pStyle w:val="TextBody"/>
        <w:spacing w:lineRule="auto" w:line="273" w:before="0" w:after="0"/>
        <w:jc w:val="left"/>
        <w:rPr/>
      </w:pPr>
      <w:r>
        <w:rPr/>
        <w:t> </w:t>
      </w:r>
    </w:p>
    <w:p>
      <w:pPr>
        <w:pStyle w:val="TextBody"/>
        <w:spacing w:lineRule="auto" w:line="273" w:before="240" w:after="0"/>
        <w:jc w:val="left"/>
        <w:rPr>
          <w:rFonts w:ascii="Times New Roman" w:hAnsi="Times New Roman"/>
          <w:sz w:val="20"/>
        </w:rPr>
      </w:pPr>
      <w:r>
        <w:rPr>
          <w:rFonts w:ascii="Times New Roman" w:hAnsi="Times New Roman"/>
          <w:b w:val="false"/>
          <w:sz w:val="20"/>
        </w:rPr>
        <w:t>In addition, many of the factors that cause, or lead to, termination or suspension of, or a delay in the commencement or completion of, clinical trials may also ultimately lead to the denial of regulatory approval of a product candidate. We may make formulation or manufacturing changes to our product candidates, in which case we may need to conduct additional preclinical studies to bridge our modified product candidates to earlier versions. If we experience delays in the commencement or completion of our clinical trials, or if we terminate a clinical trial prior to completion, the commercial prospects of our product candidates could be negatively impacted, and our ability to generate revenues from our product candidates may be delayed or eliminated entirely.</w:t>
      </w:r>
      <w:r>
        <w:rPr>
          <w:rFonts w:ascii="Times New Roman" w:hAnsi="Times New Roman"/>
          <w:sz w:val="20"/>
        </w:rPr>
        <w:t xml:space="preserve"> </w:t>
      </w:r>
    </w:p>
    <w:p>
      <w:pPr>
        <w:pStyle w:val="TextBody"/>
        <w:spacing w:lineRule="auto" w:line="273" w:before="360" w:after="0"/>
        <w:jc w:val="left"/>
        <w:rPr>
          <w:rFonts w:ascii="Times New Roman" w:hAnsi="Times New Roman"/>
          <w:sz w:val="20"/>
        </w:rPr>
      </w:pPr>
      <w:r>
        <w:rPr>
          <w:rFonts w:ascii="Times New Roman" w:hAnsi="Times New Roman"/>
          <w:b/>
          <w:i/>
          <w:sz w:val="20"/>
        </w:rPr>
        <w:t>If we experience delays or difficulties in enrolling patients in our ongoing or planned clinical trials, our receipt of necessary regulatory approvals could be delayed or prevented.</w:t>
      </w:r>
      <w:r>
        <w:rPr>
          <w:rFonts w:ascii="Times New Roman" w:hAnsi="Times New Roman"/>
          <w:sz w:val="20"/>
        </w:rPr>
        <w:t xml:space="preserve"> </w:t>
      </w:r>
    </w:p>
    <w:p>
      <w:pPr>
        <w:pStyle w:val="TextBody"/>
        <w:spacing w:lineRule="auto" w:line="273" w:before="120" w:after="0"/>
        <w:jc w:val="left"/>
        <w:rPr>
          <w:rFonts w:ascii="Times New Roman" w:hAnsi="Times New Roman"/>
          <w:sz w:val="20"/>
        </w:rPr>
      </w:pPr>
      <w:r>
        <w:rPr>
          <w:rFonts w:ascii="Times New Roman" w:hAnsi="Times New Roman"/>
          <w:b w:val="false"/>
          <w:sz w:val="20"/>
        </w:rPr>
        <w:t>We may not be able to initiate or continue our ongoing or planned clinical trials for our product candidates if we are unable to identify and enroll a sufficient number of eligible patients to participate in these trials as required by the FDA or comparable foreign regulatory authorities. In our tovorafenib (DAY101) program, we utilize genomic profiling of patients’ tumors to identify suitable patients for recruitment into our clinical trials. We cannot be certain (i) how many patients will have the requisite alterations for inclusion in our clinical trials, (ii) that the number of patients enrolled in each program will suffice for regulatory approval or (iii) whether each specific BRAF mutation targeted will be included in the approved drug labeling. If our strategies for patient identification and enrollment prove unsuccessful, we may have difficulty enrolling or maintaining patients appropriate for our product candidates. The conditions for which we currently plan to evaluate our product candidates are orphan or rare diseases with limited patient pools from which to draw for clinical trials. The eligibility criteria of our clinical trials, once established, will further limit the pool of available trial participants. In addition, some of our competitors currently have ongoing clinical trials for product candidates that would treat the same patients as our clinical product candidates, and patients who would otherwise be eligible for our clinical trials may instead enroll in clinical trials of our competitors’ product candidates. Patient enrollment is also affected by other factors, including:</w:t>
      </w:r>
      <w:r>
        <w:rPr>
          <w:rFonts w:ascii="Times New Roman" w:hAnsi="Times New Roman"/>
          <w:sz w:val="20"/>
        </w:rPr>
        <w:t xml:space="preserve"> </w:t>
      </w:r>
    </w:p>
    <w:p>
      <w:pPr>
        <w:pStyle w:val="TextBody"/>
        <w:spacing w:lineRule="auto" w:line="273" w:before="120" w:after="0"/>
        <w:jc w:val="left"/>
        <w:rPr/>
      </w:pPr>
      <w:r>
        <w:rPr/>
        <w:t>•</w:t>
      </w:r>
    </w:p>
    <w:p>
      <w:pPr>
        <w:pStyle w:val="TextBody"/>
        <w:spacing w:lineRule="auto" w:line="273" w:before="120" w:after="0"/>
        <w:jc w:val="left"/>
        <w:rPr>
          <w:rFonts w:ascii="Times New Roman" w:hAnsi="Times New Roman"/>
          <w:b w:val="false"/>
          <w:sz w:val="20"/>
        </w:rPr>
      </w:pPr>
      <w:r>
        <w:rPr>
          <w:rFonts w:ascii="Times New Roman" w:hAnsi="Times New Roman"/>
          <w:b w:val="false"/>
          <w:sz w:val="20"/>
        </w:rPr>
        <w:t xml:space="preserve">severity of the disease under investigation; </w:t>
      </w:r>
    </w:p>
    <w:p>
      <w:pPr>
        <w:pStyle w:val="TextBody"/>
        <w:spacing w:lineRule="auto" w:line="273" w:before="120" w:after="0"/>
        <w:jc w:val="left"/>
        <w:rPr/>
      </w:pPr>
      <w:r>
        <w:rPr/>
        <w:t>•</w:t>
      </w:r>
    </w:p>
    <w:p>
      <w:pPr>
        <w:pStyle w:val="TextBody"/>
        <w:spacing w:lineRule="auto" w:line="273" w:before="120" w:after="0"/>
        <w:jc w:val="left"/>
        <w:rPr>
          <w:rFonts w:ascii="Times New Roman" w:hAnsi="Times New Roman"/>
          <w:b w:val="false"/>
          <w:sz w:val="20"/>
        </w:rPr>
      </w:pPr>
      <w:r>
        <w:rPr>
          <w:rFonts w:ascii="Times New Roman" w:hAnsi="Times New Roman"/>
          <w:b w:val="false"/>
          <w:sz w:val="20"/>
        </w:rPr>
        <w:t xml:space="preserve">our ability to recruit clinical trial investigators of appropriate competencies and experience; </w:t>
      </w:r>
    </w:p>
    <w:p>
      <w:pPr>
        <w:pStyle w:val="TextBody"/>
        <w:spacing w:lineRule="auto" w:line="273" w:before="120" w:after="0"/>
        <w:jc w:val="left"/>
        <w:rPr/>
      </w:pPr>
      <w:r>
        <w:rPr/>
        <w:t>•</w:t>
      </w:r>
    </w:p>
    <w:p>
      <w:pPr>
        <w:pStyle w:val="TextBody"/>
        <w:spacing w:lineRule="auto" w:line="273" w:before="120" w:after="0"/>
        <w:jc w:val="left"/>
        <w:rPr>
          <w:rFonts w:ascii="Times New Roman" w:hAnsi="Times New Roman"/>
          <w:b w:val="false"/>
          <w:sz w:val="20"/>
        </w:rPr>
      </w:pPr>
      <w:r>
        <w:rPr>
          <w:rFonts w:ascii="Times New Roman" w:hAnsi="Times New Roman"/>
          <w:b w:val="false"/>
          <w:sz w:val="20"/>
        </w:rPr>
        <w:t xml:space="preserve">the incidence and prevalence of our target indications; </w:t>
      </w:r>
    </w:p>
    <w:p>
      <w:pPr>
        <w:pStyle w:val="TextBody"/>
        <w:spacing w:lineRule="auto" w:line="273" w:before="120" w:after="0"/>
        <w:jc w:val="left"/>
        <w:rPr/>
      </w:pPr>
      <w:r>
        <w:rPr/>
        <w:t>•</w:t>
      </w:r>
    </w:p>
    <w:p>
      <w:pPr>
        <w:pStyle w:val="TextBody"/>
        <w:spacing w:lineRule="auto" w:line="273" w:before="120" w:after="0"/>
        <w:jc w:val="left"/>
        <w:rPr>
          <w:rFonts w:ascii="Times New Roman" w:hAnsi="Times New Roman"/>
          <w:b w:val="false"/>
          <w:sz w:val="20"/>
        </w:rPr>
      </w:pPr>
      <w:r>
        <w:rPr>
          <w:rFonts w:ascii="Times New Roman" w:hAnsi="Times New Roman"/>
          <w:b w:val="false"/>
          <w:sz w:val="20"/>
        </w:rPr>
        <w:t>clinicians’ and patients’ awareness of, and perceptions as to the potential advantages and risks of our product candidates in relation to other available therapies, including any new drugs that may be approved for the indications we are investigating;</w:t>
      </w:r>
    </w:p>
    <w:p>
      <w:pPr>
        <w:pStyle w:val="TextBody"/>
        <w:spacing w:lineRule="auto" w:line="273" w:before="120" w:after="0"/>
        <w:jc w:val="left"/>
        <w:rPr/>
      </w:pPr>
      <w:r>
        <w:rPr/>
        <w:t>•</w:t>
      </w:r>
    </w:p>
    <w:p>
      <w:pPr>
        <w:pStyle w:val="TextBody"/>
        <w:spacing w:lineRule="auto" w:line="273" w:before="120" w:after="0"/>
        <w:jc w:val="left"/>
        <w:rPr>
          <w:rFonts w:ascii="Times New Roman" w:hAnsi="Times New Roman"/>
          <w:b w:val="false"/>
          <w:sz w:val="20"/>
        </w:rPr>
      </w:pPr>
      <w:r>
        <w:rPr>
          <w:rFonts w:ascii="Times New Roman" w:hAnsi="Times New Roman"/>
          <w:b w:val="false"/>
          <w:sz w:val="20"/>
        </w:rPr>
        <w:t>the availability, expertise, and selection of CROs to manage operations related to clinical trial enrollment;</w:t>
      </w:r>
    </w:p>
    <w:p>
      <w:pPr>
        <w:pStyle w:val="TextBody"/>
        <w:spacing w:lineRule="auto" w:line="273" w:before="120" w:after="0"/>
        <w:jc w:val="left"/>
        <w:rPr/>
      </w:pPr>
      <w:r>
        <w:rPr/>
        <w:t>•</w:t>
      </w:r>
    </w:p>
    <w:p>
      <w:pPr>
        <w:pStyle w:val="TextBody"/>
        <w:spacing w:lineRule="auto" w:line="273" w:before="120" w:after="0"/>
        <w:jc w:val="left"/>
        <w:rPr>
          <w:rFonts w:ascii="Times New Roman" w:hAnsi="Times New Roman"/>
          <w:b w:val="false"/>
          <w:sz w:val="20"/>
        </w:rPr>
      </w:pPr>
      <w:r>
        <w:rPr>
          <w:rFonts w:ascii="Times New Roman" w:hAnsi="Times New Roman"/>
          <w:b w:val="false"/>
          <w:sz w:val="20"/>
        </w:rPr>
        <w:t xml:space="preserve">competing studies or trials with similar eligibility criteria; </w:t>
      </w:r>
    </w:p>
    <w:p>
      <w:pPr>
        <w:pStyle w:val="TextBody"/>
        <w:spacing w:lineRule="auto" w:line="273" w:before="120" w:after="0"/>
        <w:jc w:val="left"/>
        <w:rPr/>
      </w:pPr>
      <w:r>
        <w:rPr/>
        <w:t>•</w:t>
      </w:r>
    </w:p>
    <w:p>
      <w:pPr>
        <w:pStyle w:val="TextBody"/>
        <w:spacing w:lineRule="auto" w:line="273" w:before="120" w:after="0"/>
        <w:jc w:val="left"/>
        <w:rPr>
          <w:rFonts w:ascii="Times New Roman" w:hAnsi="Times New Roman"/>
          <w:b w:val="false"/>
          <w:sz w:val="20"/>
        </w:rPr>
      </w:pPr>
      <w:r>
        <w:rPr>
          <w:rFonts w:ascii="Times New Roman" w:hAnsi="Times New Roman"/>
          <w:b w:val="false"/>
          <w:sz w:val="20"/>
        </w:rPr>
        <w:t xml:space="preserve">invasive procedures required to enroll patients and to obtain evidence of the product candidate’s performance during the clinical trial; </w:t>
      </w:r>
    </w:p>
    <w:p>
      <w:pPr>
        <w:pStyle w:val="TextBody"/>
        <w:spacing w:lineRule="auto" w:line="273" w:before="120" w:after="0"/>
        <w:jc w:val="left"/>
        <w:rPr/>
      </w:pPr>
      <w:r>
        <w:rPr/>
        <w:t>•</w:t>
      </w:r>
    </w:p>
    <w:p>
      <w:pPr>
        <w:pStyle w:val="TextBody"/>
        <w:spacing w:lineRule="auto" w:line="273" w:before="120" w:after="0"/>
        <w:jc w:val="left"/>
        <w:rPr>
          <w:rFonts w:ascii="Times New Roman" w:hAnsi="Times New Roman"/>
          <w:b w:val="false"/>
          <w:sz w:val="20"/>
        </w:rPr>
      </w:pPr>
      <w:r>
        <w:rPr>
          <w:rFonts w:ascii="Times New Roman" w:hAnsi="Times New Roman"/>
          <w:b w:val="false"/>
          <w:sz w:val="20"/>
        </w:rPr>
        <w:t xml:space="preserve">availability and efficacy of approved medications for the disease under investigation; </w:t>
      </w:r>
    </w:p>
    <w:p>
      <w:pPr>
        <w:pStyle w:val="TextBody"/>
        <w:spacing w:lineRule="auto" w:line="273" w:before="120" w:after="0"/>
        <w:jc w:val="left"/>
        <w:rPr/>
      </w:pPr>
      <w:r>
        <w:rPr/>
        <w:t>•</w:t>
      </w:r>
    </w:p>
    <w:p>
      <w:pPr>
        <w:pStyle w:val="TextBody"/>
        <w:spacing w:lineRule="auto" w:line="273" w:before="120" w:after="0"/>
        <w:jc w:val="left"/>
        <w:rPr>
          <w:rFonts w:ascii="Times New Roman" w:hAnsi="Times New Roman"/>
          <w:b w:val="false"/>
          <w:sz w:val="20"/>
        </w:rPr>
      </w:pPr>
      <w:r>
        <w:rPr>
          <w:rFonts w:ascii="Times New Roman" w:hAnsi="Times New Roman"/>
          <w:b w:val="false"/>
          <w:sz w:val="20"/>
        </w:rPr>
        <w:t xml:space="preserve">eligibility criteria defined in the protocol for the trial in question; </w:t>
      </w:r>
    </w:p>
    <w:p>
      <w:pPr>
        <w:pStyle w:val="TextBody"/>
        <w:spacing w:lineRule="auto" w:line="273" w:before="120" w:after="0"/>
        <w:jc w:val="left"/>
        <w:rPr/>
      </w:pPr>
      <w:r>
        <w:rPr/>
        <w:t>•</w:t>
      </w:r>
    </w:p>
    <w:p>
      <w:pPr>
        <w:pStyle w:val="TextBody"/>
        <w:spacing w:lineRule="auto" w:line="273" w:before="120" w:after="0"/>
        <w:jc w:val="left"/>
        <w:rPr>
          <w:rFonts w:ascii="Times New Roman" w:hAnsi="Times New Roman"/>
          <w:b w:val="false"/>
          <w:sz w:val="20"/>
        </w:rPr>
      </w:pPr>
      <w:r>
        <w:rPr>
          <w:rFonts w:ascii="Times New Roman" w:hAnsi="Times New Roman"/>
          <w:b w:val="false"/>
          <w:sz w:val="20"/>
        </w:rPr>
        <w:t xml:space="preserve">the size and nature of the patient population required for analysis of the trial’s primary endpoints; </w:t>
      </w:r>
    </w:p>
    <w:p>
      <w:pPr>
        <w:pStyle w:val="TextBody"/>
        <w:spacing w:lineRule="auto" w:line="273" w:before="120" w:after="0"/>
        <w:jc w:val="left"/>
        <w:rPr/>
      </w:pPr>
      <w:r>
        <w:rPr/>
        <w:t>•</w:t>
      </w:r>
    </w:p>
    <w:p>
      <w:pPr>
        <w:pStyle w:val="TextBody"/>
        <w:spacing w:lineRule="auto" w:line="273" w:before="120" w:after="0"/>
        <w:jc w:val="left"/>
        <w:rPr>
          <w:rFonts w:ascii="Times New Roman" w:hAnsi="Times New Roman"/>
          <w:b w:val="false"/>
          <w:sz w:val="20"/>
        </w:rPr>
      </w:pPr>
      <w:r>
        <w:rPr>
          <w:rFonts w:ascii="Times New Roman" w:hAnsi="Times New Roman"/>
          <w:b w:val="false"/>
          <w:sz w:val="20"/>
        </w:rPr>
        <w:t xml:space="preserve">efforts to facilitate timely enrollment in clinical trials; </w:t>
      </w:r>
    </w:p>
    <w:p>
      <w:pPr>
        <w:pStyle w:val="TextBody"/>
        <w:spacing w:lineRule="auto" w:line="273" w:before="120" w:after="0"/>
        <w:jc w:val="left"/>
        <w:rPr/>
      </w:pPr>
      <w:r>
        <w:rPr/>
        <w:t>•</w:t>
      </w:r>
    </w:p>
    <w:p>
      <w:pPr>
        <w:pStyle w:val="TextBody"/>
        <w:spacing w:lineRule="auto" w:line="273" w:before="120" w:after="0"/>
        <w:jc w:val="left"/>
        <w:rPr>
          <w:rFonts w:ascii="Times New Roman" w:hAnsi="Times New Roman"/>
          <w:b w:val="false"/>
          <w:sz w:val="20"/>
        </w:rPr>
      </w:pPr>
      <w:r>
        <w:rPr>
          <w:rFonts w:ascii="Times New Roman" w:hAnsi="Times New Roman"/>
          <w:b w:val="false"/>
          <w:sz w:val="20"/>
        </w:rPr>
        <w:t xml:space="preserve">whether we are subject to a partial or full clinical hold on any of our clinical trials; </w:t>
      </w:r>
    </w:p>
    <w:p>
      <w:pPr>
        <w:pStyle w:val="TextBody"/>
        <w:spacing w:lineRule="auto" w:line="273" w:before="120" w:after="0"/>
        <w:jc w:val="left"/>
        <w:rPr/>
      </w:pPr>
      <w:r>
        <w:rPr/>
        <w:t>•</w:t>
      </w:r>
    </w:p>
    <w:p>
      <w:pPr>
        <w:pStyle w:val="TextBody"/>
        <w:spacing w:lineRule="auto" w:line="273" w:before="120" w:after="0"/>
        <w:jc w:val="left"/>
        <w:rPr>
          <w:rFonts w:ascii="Times New Roman" w:hAnsi="Times New Roman"/>
          <w:b w:val="false"/>
          <w:sz w:val="20"/>
        </w:rPr>
      </w:pPr>
      <w:r>
        <w:rPr>
          <w:rFonts w:ascii="Times New Roman" w:hAnsi="Times New Roman"/>
          <w:b w:val="false"/>
          <w:sz w:val="20"/>
        </w:rPr>
        <w:t xml:space="preserve">reluctance of physicians or patient advocacy organizations to encourage patient participation in clinical trials; </w:t>
      </w:r>
    </w:p>
    <w:p>
      <w:pPr>
        <w:pStyle w:val="TextBody"/>
        <w:spacing w:lineRule="auto" w:line="273" w:before="120" w:after="0"/>
        <w:jc w:val="left"/>
        <w:rPr/>
      </w:pPr>
      <w:r>
        <w:rPr/>
        <w:t>•</w:t>
      </w:r>
    </w:p>
    <w:p>
      <w:pPr>
        <w:pStyle w:val="TextBody"/>
        <w:spacing w:lineRule="auto" w:line="273" w:before="120" w:after="0"/>
        <w:jc w:val="left"/>
        <w:rPr>
          <w:rFonts w:ascii="Times New Roman" w:hAnsi="Times New Roman"/>
          <w:b w:val="false"/>
          <w:sz w:val="20"/>
        </w:rPr>
      </w:pPr>
      <w:r>
        <w:rPr>
          <w:rFonts w:ascii="Times New Roman" w:hAnsi="Times New Roman"/>
          <w:b w:val="false"/>
          <w:sz w:val="20"/>
        </w:rPr>
        <w:t xml:space="preserve">the ability to monitor patients adequately during and after treatment; </w:t>
      </w:r>
    </w:p>
    <w:p>
      <w:pPr>
        <w:pStyle w:val="TextBody"/>
        <w:spacing w:lineRule="auto" w:line="273" w:before="120" w:after="0"/>
        <w:jc w:val="left"/>
        <w:rPr/>
      </w:pPr>
      <w:r>
        <w:rPr/>
        <w:t>•</w:t>
      </w:r>
    </w:p>
    <w:p>
      <w:pPr>
        <w:pStyle w:val="TextBody"/>
        <w:spacing w:lineRule="auto" w:line="273" w:before="120" w:after="0"/>
        <w:jc w:val="left"/>
        <w:rPr>
          <w:rFonts w:ascii="Times New Roman" w:hAnsi="Times New Roman"/>
          <w:b w:val="false"/>
          <w:sz w:val="20"/>
        </w:rPr>
      </w:pPr>
      <w:r>
        <w:rPr>
          <w:rFonts w:ascii="Times New Roman" w:hAnsi="Times New Roman"/>
          <w:b w:val="false"/>
          <w:sz w:val="20"/>
        </w:rPr>
        <w:t xml:space="preserve">our ability to obtain and maintain patient consents; and </w:t>
      </w:r>
    </w:p>
    <w:p>
      <w:pPr>
        <w:pStyle w:val="TextBody"/>
        <w:spacing w:lineRule="auto" w:line="273" w:before="120" w:after="0"/>
        <w:jc w:val="left"/>
        <w:rPr/>
      </w:pPr>
      <w:r>
        <w:rPr/>
        <w:t>•</w:t>
      </w:r>
    </w:p>
    <w:p>
      <w:pPr>
        <w:pStyle w:val="TextBody"/>
        <w:spacing w:lineRule="auto" w:line="273" w:before="120" w:after="283"/>
        <w:jc w:val="left"/>
        <w:rPr>
          <w:rFonts w:ascii="Times New Roman" w:hAnsi="Times New Roman"/>
          <w:b w:val="false"/>
          <w:sz w:val="20"/>
        </w:rPr>
      </w:pPr>
      <w:r>
        <w:rPr>
          <w:rFonts w:ascii="Times New Roman" w:hAnsi="Times New Roman"/>
          <w:b w:val="false"/>
          <w:sz w:val="20"/>
        </w:rPr>
        <w:t xml:space="preserve">proximity and availability of clinical trial sites for prospective patients. </w:t>
      </w:r>
    </w:p>
    <w:p>
      <w:pPr>
        <w:pStyle w:val="TextBody"/>
        <w:spacing w:lineRule="auto" w:line="273" w:before="240" w:after="0"/>
        <w:jc w:val="left"/>
        <w:rPr>
          <w:rFonts w:ascii="Times New Roman" w:hAnsi="Times New Roman"/>
          <w:sz w:val="20"/>
        </w:rPr>
      </w:pPr>
      <w:r>
        <w:rPr>
          <w:rFonts w:ascii="Times New Roman" w:hAnsi="Times New Roman"/>
          <w:b w:val="false"/>
          <w:sz w:val="20"/>
        </w:rPr>
        <w:t>Our inability to enroll and maintain a sufficient number of patients for our clinical trials would result in significant delays or may require us to abandon one or more clinical trials altogether. There may be competing trials, as well as the limited bandwidth of pediatric oncology institutions for running trials, which can lead to the prioritization of certain trials, leading to delays in our clinical trials. In addition, parents may be reluctant to enroll their children in our clinical trials, or may decide to withdraw their children from our clinical trials to pursue other therapies. The American Cancer Society has reported that the COVID-19 pandemic has led to declines in screening, diagnosis and treatment for patients, which will adversely impact the enrollment of patients in clinical trials targeting cancers and retention of patients overall. Enrollment delays in our clinical trials, including due to the COVID-19 pandemic, may result in increased development costs, which would cause the value of our Company to decline and limit our ability to obtain additional financing.</w:t>
      </w:r>
      <w:r>
        <w:rPr>
          <w:rFonts w:ascii="Times New Roman" w:hAnsi="Times New Roman"/>
          <w:sz w:val="20"/>
        </w:rPr>
        <w:t xml:space="preserve"> </w:t>
      </w:r>
    </w:p>
    <w:p>
      <w:pPr>
        <w:pStyle w:val="TextBody"/>
        <w:spacing w:lineRule="auto" w:line="273" w:before="0" w:after="0"/>
        <w:jc w:val="center"/>
        <w:rPr>
          <w:rFonts w:ascii="Times New Roman" w:hAnsi="Times New Roman"/>
          <w:b w:val="false"/>
          <w:sz w:val="20"/>
        </w:rPr>
      </w:pPr>
      <w:r>
        <w:rPr>
          <w:rFonts w:ascii="Times New Roman" w:hAnsi="Times New Roman"/>
          <w:b w:val="false"/>
          <w:sz w:val="20"/>
        </w:rPr>
        <w:t>38</w:t>
      </w:r>
    </w:p>
    <w:p>
      <w:pPr>
        <w:pStyle w:val="HorizontalLine"/>
        <w:rPr/>
      </w:pPr>
      <w:r>
        <w:rPr/>
      </w:r>
    </w:p>
    <w:p>
      <w:pPr>
        <w:pStyle w:val="TextBody"/>
        <w:spacing w:lineRule="auto" w:line="273" w:before="0" w:after="0"/>
        <w:jc w:val="left"/>
        <w:rPr/>
      </w:pPr>
      <w:r>
        <w:rPr/>
        <w:t> </w:t>
      </w:r>
    </w:p>
    <w:p>
      <w:pPr>
        <w:pStyle w:val="TextBody"/>
        <w:spacing w:lineRule="auto" w:line="273" w:before="360" w:after="0"/>
        <w:jc w:val="left"/>
        <w:rPr>
          <w:rFonts w:ascii="Times New Roman" w:hAnsi="Times New Roman"/>
          <w:sz w:val="20"/>
        </w:rPr>
      </w:pPr>
      <w:r>
        <w:rPr>
          <w:rFonts w:ascii="Times New Roman" w:hAnsi="Times New Roman"/>
          <w:b/>
          <w:i/>
          <w:sz w:val="20"/>
        </w:rPr>
        <w:t>We face substantial competition which may result in others discovering, developing or commercializing products before or more successfully than we do.</w:t>
      </w:r>
      <w:r>
        <w:rPr>
          <w:rFonts w:ascii="Times New Roman" w:hAnsi="Times New Roman"/>
          <w:sz w:val="20"/>
        </w:rPr>
        <w:t xml:space="preserve"> </w:t>
      </w:r>
    </w:p>
    <w:p>
      <w:pPr>
        <w:pStyle w:val="TextBody"/>
        <w:spacing w:lineRule="auto" w:line="273" w:before="120" w:after="0"/>
        <w:jc w:val="left"/>
        <w:rPr>
          <w:rFonts w:ascii="Times New Roman" w:hAnsi="Times New Roman"/>
          <w:sz w:val="20"/>
        </w:rPr>
      </w:pPr>
      <w:r>
        <w:rPr>
          <w:rFonts w:ascii="Times New Roman" w:hAnsi="Times New Roman"/>
          <w:b w:val="false"/>
          <w:sz w:val="20"/>
        </w:rPr>
        <w:t>The pharmaceutical and biotechnology industries are characterized by rapidly advancing technologies, intense competition and a strong emphasis on proprietary and novel products and product candidates. Our competitors have developed, are developing or may develop products, product candidates and processes competitive with our product candidates. Any product candidates that we successfully develop and commercialize will compete with existing therapies and new therapies that may become available in the future. We believe that a significant number of product candidates are currently under development, and may become commercially available in the future, for the treatment of conditions for which we may attempt to develop product candidates. In addition, our product candidates may need to compete with drugs physicians use off-label to treat the indications for which we seek approval. This may make it difficult for us to replace existing therapies with our product candidates.</w:t>
      </w:r>
      <w:r>
        <w:rPr>
          <w:rFonts w:ascii="Times New Roman" w:hAnsi="Times New Roman"/>
          <w:sz w:val="20"/>
        </w:rPr>
        <w:t xml:space="preserve"> </w:t>
      </w:r>
    </w:p>
    <w:p>
      <w:pPr>
        <w:pStyle w:val="TextBody"/>
        <w:spacing w:lineRule="auto" w:line="273" w:before="240" w:after="0"/>
        <w:jc w:val="left"/>
        <w:rPr>
          <w:rFonts w:ascii="Times New Roman" w:hAnsi="Times New Roman"/>
          <w:sz w:val="20"/>
        </w:rPr>
      </w:pPr>
      <w:r>
        <w:rPr>
          <w:rFonts w:ascii="Times New Roman" w:hAnsi="Times New Roman"/>
          <w:b w:val="false"/>
          <w:sz w:val="20"/>
        </w:rPr>
        <w:t>In particular, there is intense competition in the field of oncology. We have competitors both in the United States and internationally, including major multinational pharmaceutical companies, established biotechnology companies, specialty pharmaceutical companies, emerging and start-up companies, universities and other research institutions.</w:t>
      </w:r>
      <w:r>
        <w:rPr>
          <w:rFonts w:ascii="Times New Roman" w:hAnsi="Times New Roman"/>
          <w:sz w:val="20"/>
        </w:rPr>
        <w:t xml:space="preserve"> </w:t>
      </w:r>
    </w:p>
    <w:p>
      <w:pPr>
        <w:pStyle w:val="TextBody"/>
        <w:spacing w:lineRule="auto" w:line="273" w:before="240" w:after="0"/>
        <w:jc w:val="left"/>
        <w:rPr>
          <w:rFonts w:ascii="Times New Roman" w:hAnsi="Times New Roman"/>
          <w:sz w:val="20"/>
        </w:rPr>
      </w:pPr>
      <w:r>
        <w:rPr>
          <w:rFonts w:ascii="Times New Roman" w:hAnsi="Times New Roman"/>
          <w:b w:val="false"/>
          <w:sz w:val="20"/>
        </w:rPr>
        <w:t>We also compete with these organizations to recruit and retain qualified scientific, management and sales and marketing personnel, which could negatively affect our level of expertise and our ability to execute our business plan. We will also face competition in establishing clinical trial sites and patient registration for clinical trials, as well as in acquiring technologies complementary to, or necessary for, our programs.</w:t>
      </w:r>
      <w:r>
        <w:rPr>
          <w:rFonts w:ascii="Times New Roman" w:hAnsi="Times New Roman"/>
          <w:sz w:val="20"/>
        </w:rPr>
        <w:t xml:space="preserve"> </w:t>
      </w:r>
    </w:p>
    <w:p>
      <w:pPr>
        <w:pStyle w:val="TextBody"/>
        <w:spacing w:lineRule="auto" w:line="273" w:before="240" w:after="0"/>
        <w:jc w:val="left"/>
        <w:rPr>
          <w:rFonts w:ascii="Times New Roman" w:hAnsi="Times New Roman"/>
          <w:sz w:val="20"/>
        </w:rPr>
      </w:pPr>
      <w:r>
        <w:rPr>
          <w:rFonts w:ascii="Times New Roman" w:hAnsi="Times New Roman"/>
          <w:b w:val="false"/>
          <w:sz w:val="20"/>
        </w:rPr>
        <w:t>We expect to face competition from existing products and products in development for each of our programs. Drug discovery efforts focused on V600 mutations have led to clinical success in some cancers. Three BRAF inhibitors have been approved by the FDA for the treatment of tumors containing V600E or V600K mutations. These first-generation BRAF inhibitors, known more generally as Type I RAF inhibitors, are vemurafenib, marketed as Zelboraf</w:t>
      </w:r>
      <w:r>
        <w:rPr>
          <w:rFonts w:ascii="Times New Roman" w:hAnsi="Times New Roman"/>
          <w:b w:val="false"/>
          <w:sz w:val="12"/>
        </w:rPr>
        <w:t>®</w:t>
      </w:r>
      <w:r>
        <w:rPr>
          <w:rFonts w:ascii="Times New Roman" w:hAnsi="Times New Roman"/>
          <w:sz w:val="20"/>
        </w:rPr>
        <w:t xml:space="preserve"> </w:t>
      </w:r>
      <w:r>
        <w:rPr>
          <w:rFonts w:ascii="Times New Roman" w:hAnsi="Times New Roman"/>
          <w:b w:val="false"/>
          <w:sz w:val="20"/>
        </w:rPr>
        <w:t>by Genentech; dabrafenib, marketed as Tafinlar</w:t>
      </w:r>
      <w:r>
        <w:rPr>
          <w:rFonts w:ascii="Times New Roman" w:hAnsi="Times New Roman"/>
          <w:b w:val="false"/>
          <w:sz w:val="12"/>
        </w:rPr>
        <w:t>®</w:t>
      </w:r>
      <w:r>
        <w:rPr>
          <w:rFonts w:ascii="Times New Roman" w:hAnsi="Times New Roman"/>
          <w:sz w:val="20"/>
        </w:rPr>
        <w:t xml:space="preserve"> </w:t>
      </w:r>
      <w:r>
        <w:rPr>
          <w:rFonts w:ascii="Times New Roman" w:hAnsi="Times New Roman"/>
          <w:b w:val="false"/>
          <w:sz w:val="20"/>
        </w:rPr>
        <w:t>by Novartis; and encorafenib, marketed as Braftovi</w:t>
      </w:r>
      <w:r>
        <w:rPr>
          <w:rFonts w:ascii="Times New Roman" w:hAnsi="Times New Roman"/>
          <w:b w:val="false"/>
          <w:sz w:val="12"/>
        </w:rPr>
        <w:t>®</w:t>
      </w:r>
      <w:r>
        <w:rPr>
          <w:rFonts w:ascii="Times New Roman" w:hAnsi="Times New Roman"/>
          <w:sz w:val="20"/>
        </w:rPr>
        <w:t xml:space="preserve"> </w:t>
      </w:r>
      <w:r>
        <w:rPr>
          <w:rFonts w:ascii="Times New Roman" w:hAnsi="Times New Roman"/>
          <w:b w:val="false"/>
          <w:sz w:val="20"/>
        </w:rPr>
        <w:t>by Pfizer. Dabrafinib, in combination with trametinib, is being evaluated in a Novartis-sponsored randomized Phase 2 clinical trial in newly-diagnosed patients with BRAF V600 mutant pLGG. Novartis has announced their plans to file a Supplemental New Drug Application, or sNDA, based on data of this trial in early 2023.</w:t>
      </w:r>
      <w:r>
        <w:rPr>
          <w:rFonts w:ascii="Times New Roman" w:hAnsi="Times New Roman"/>
          <w:sz w:val="20"/>
        </w:rPr>
        <w:t xml:space="preserve"> </w:t>
      </w:r>
    </w:p>
    <w:p>
      <w:pPr>
        <w:pStyle w:val="TextBody"/>
        <w:spacing w:lineRule="auto" w:line="273" w:before="240" w:after="0"/>
        <w:jc w:val="left"/>
        <w:rPr>
          <w:rFonts w:ascii="Times New Roman" w:hAnsi="Times New Roman"/>
          <w:sz w:val="20"/>
        </w:rPr>
      </w:pPr>
      <w:r>
        <w:rPr>
          <w:rFonts w:ascii="Times New Roman" w:hAnsi="Times New Roman"/>
          <w:b w:val="false"/>
          <w:sz w:val="20"/>
        </w:rPr>
        <w:t>Four MEK inhibitors have been approved by the FDA. Three have been approved for the treatment of tumors containing BRAF V600E or V600K mutations, including cobimetinib, marketed as Cotellic</w:t>
      </w:r>
      <w:r>
        <w:rPr>
          <w:rFonts w:ascii="Times New Roman" w:hAnsi="Times New Roman"/>
          <w:b w:val="false"/>
          <w:sz w:val="12"/>
        </w:rPr>
        <w:t>®</w:t>
      </w:r>
      <w:r>
        <w:rPr>
          <w:rFonts w:ascii="Times New Roman" w:hAnsi="Times New Roman"/>
          <w:sz w:val="20"/>
        </w:rPr>
        <w:t xml:space="preserve"> </w:t>
      </w:r>
      <w:r>
        <w:rPr>
          <w:rFonts w:ascii="Times New Roman" w:hAnsi="Times New Roman"/>
          <w:b w:val="false"/>
          <w:sz w:val="20"/>
        </w:rPr>
        <w:t>by Genentech; trametinib, marketed as Tafinlar</w:t>
      </w:r>
      <w:r>
        <w:rPr>
          <w:rFonts w:ascii="Times New Roman" w:hAnsi="Times New Roman"/>
          <w:b w:val="false"/>
          <w:sz w:val="12"/>
        </w:rPr>
        <w:t>®</w:t>
      </w:r>
      <w:r>
        <w:rPr>
          <w:rFonts w:ascii="Times New Roman" w:hAnsi="Times New Roman"/>
          <w:sz w:val="20"/>
        </w:rPr>
        <w:t xml:space="preserve"> </w:t>
      </w:r>
      <w:r>
        <w:rPr>
          <w:rFonts w:ascii="Times New Roman" w:hAnsi="Times New Roman"/>
          <w:b w:val="false"/>
          <w:sz w:val="20"/>
        </w:rPr>
        <w:t>by Novartis; and binimetinib, marketed as Mektovi</w:t>
      </w:r>
      <w:r>
        <w:rPr>
          <w:rFonts w:ascii="Times New Roman" w:hAnsi="Times New Roman"/>
          <w:b w:val="false"/>
          <w:sz w:val="12"/>
        </w:rPr>
        <w:t>®</w:t>
      </w:r>
      <w:r>
        <w:rPr>
          <w:rFonts w:ascii="Times New Roman" w:hAnsi="Times New Roman"/>
          <w:sz w:val="20"/>
        </w:rPr>
        <w:t xml:space="preserve"> </w:t>
      </w:r>
      <w:r>
        <w:rPr>
          <w:rFonts w:ascii="Times New Roman" w:hAnsi="Times New Roman"/>
          <w:b w:val="false"/>
          <w:sz w:val="20"/>
        </w:rPr>
        <w:t>by Pfizer. A fourth MEK inhibitor—selumetinib, marketed as Koselugo</w:t>
      </w:r>
      <w:r>
        <w:rPr>
          <w:rFonts w:ascii="Times New Roman" w:hAnsi="Times New Roman"/>
          <w:b w:val="false"/>
          <w:sz w:val="12"/>
        </w:rPr>
        <w:t>®</w:t>
      </w:r>
      <w:r>
        <w:rPr>
          <w:rFonts w:ascii="Times New Roman" w:hAnsi="Times New Roman"/>
          <w:sz w:val="20"/>
        </w:rPr>
        <w:t xml:space="preserve"> </w:t>
      </w:r>
      <w:r>
        <w:rPr>
          <w:rFonts w:ascii="Times New Roman" w:hAnsi="Times New Roman"/>
          <w:b w:val="false"/>
          <w:sz w:val="20"/>
        </w:rPr>
        <w:t>by AstraZeneca—has been approved for the treatment of pediatric patients, two years of age and older, with neurofibromatosis type 1, or NF1, who have symptomatic, inoperable plexiform neurofibromas.</w:t>
      </w:r>
      <w:r>
        <w:rPr>
          <w:rFonts w:ascii="Times New Roman" w:hAnsi="Times New Roman"/>
          <w:sz w:val="20"/>
        </w:rPr>
        <w:t xml:space="preserve"> </w:t>
      </w:r>
    </w:p>
    <w:p>
      <w:pPr>
        <w:pStyle w:val="TextBody"/>
        <w:spacing w:lineRule="auto" w:line="273" w:before="240" w:after="0"/>
        <w:jc w:val="left"/>
        <w:rPr>
          <w:rFonts w:ascii="Times New Roman" w:hAnsi="Times New Roman"/>
          <w:sz w:val="20"/>
        </w:rPr>
      </w:pPr>
      <w:r>
        <w:rPr>
          <w:rFonts w:ascii="Times New Roman" w:hAnsi="Times New Roman"/>
          <w:b w:val="false"/>
          <w:sz w:val="20"/>
        </w:rPr>
        <w:t>Novartis is developing the next-generation BRAF inhibitor LXH254 in combination with various agents, in Phase 1/2 clinical trials. BeiGene has two next-generation BRAF programs: Lifirafenib (BGB-283), which is currently in a Phase 1/2 trial in combination with mirdametinib, and BGB-3245 which is currently in a single agent in Phase 1 dose escalation study. Hanmi / Genentech are developing belvarafenib in combination with cobimetinib in a Phase 1b clinical trial. Fore Therapeutics (formerly NovellusDx) is developing the RAF dimer breaker PLX8394 in a Phase 1/2 trial in combination with cobicistat. Kinnate is developing KIN-2787 in a monotherapy Phase 1 clinical trial. Black Diamond Therapeutics have next-generation BRAF inhibitors in various stages of preclinical development.</w:t>
      </w:r>
      <w:r>
        <w:rPr>
          <w:rFonts w:ascii="Times New Roman" w:hAnsi="Times New Roman"/>
          <w:sz w:val="20"/>
        </w:rPr>
        <w:t xml:space="preserve"> </w:t>
      </w:r>
    </w:p>
    <w:p>
      <w:pPr>
        <w:pStyle w:val="TextBody"/>
        <w:spacing w:lineRule="auto" w:line="273" w:before="240" w:after="0"/>
        <w:jc w:val="left"/>
        <w:rPr>
          <w:rFonts w:ascii="Times New Roman" w:hAnsi="Times New Roman"/>
          <w:sz w:val="20"/>
        </w:rPr>
      </w:pPr>
      <w:r>
        <w:rPr>
          <w:rFonts w:ascii="Times New Roman" w:hAnsi="Times New Roman"/>
          <w:b w:val="false"/>
          <w:sz w:val="20"/>
        </w:rPr>
        <w:t>With regard to the treatment of pLGG, some MEK inhibitors and some type I RAF inhibitors other targeted therapies are being studied in academic investigator-initiated clinical trials, and in some regions may be being used in an off-label manner. The off-label use of these agents may represent competition for tovorafenib (DAY101) when it enters the market.</w:t>
      </w:r>
      <w:r>
        <w:rPr>
          <w:rFonts w:ascii="Times New Roman" w:hAnsi="Times New Roman"/>
          <w:sz w:val="20"/>
        </w:rPr>
        <w:t xml:space="preserve"> </w:t>
      </w:r>
    </w:p>
    <w:p>
      <w:pPr>
        <w:pStyle w:val="TextBody"/>
        <w:spacing w:lineRule="auto" w:line="273" w:before="240" w:after="0"/>
        <w:jc w:val="left"/>
        <w:rPr>
          <w:rFonts w:ascii="Times New Roman" w:hAnsi="Times New Roman"/>
          <w:sz w:val="20"/>
        </w:rPr>
      </w:pPr>
      <w:r>
        <w:rPr>
          <w:rFonts w:ascii="Times New Roman" w:hAnsi="Times New Roman"/>
          <w:b w:val="false"/>
          <w:sz w:val="20"/>
        </w:rPr>
        <w:t>Many of our competitors, either alone or with their collaborators, have significantly greater financial resources, established presence in the market, and expertise in research and development, manufacturing, preclinical and clinical testing, obtaining regulatory approvals and reimbursement and marketing approved products than we do.</w:t>
      </w:r>
      <w:r>
        <w:rPr>
          <w:rFonts w:ascii="Times New Roman" w:hAnsi="Times New Roman"/>
          <w:sz w:val="20"/>
        </w:rPr>
        <w:t xml:space="preserve"> </w:t>
      </w:r>
    </w:p>
    <w:p>
      <w:pPr>
        <w:pStyle w:val="TextBody"/>
        <w:spacing w:lineRule="auto" w:line="273" w:before="240" w:after="0"/>
        <w:jc w:val="left"/>
        <w:rPr>
          <w:rFonts w:ascii="Times New Roman" w:hAnsi="Times New Roman"/>
          <w:sz w:val="20"/>
        </w:rPr>
      </w:pPr>
      <w:r>
        <w:rPr>
          <w:rFonts w:ascii="Times New Roman" w:hAnsi="Times New Roman"/>
          <w:b w:val="false"/>
          <w:sz w:val="20"/>
        </w:rPr>
        <w:t>Large pharmaceutical and biotechnology companies, in particular, have extensive experience in clinical testing, obtaining regulatory approvals, recruiting patients and manufacturing biotechnology product candidates. These companies also have significantly greater research, marketing and sales capabilities than we do and may also have product candidates that have been approved or are in late stages of development, and collaborative arrangements in our target markets with leading companies and research institutions. Established pharmaceutical and biotechnology companies may also invest heavily to accelerate discovery and development of novel compounds or to in-license novel compounds that could make the product candidates that we develop obsolete. Smaller or early-stage companies may also prove to be significant competitors, particularly through collaborative arrangements with large and established companies, as well as in acquiring technologies complementary to, or necessary for, our programs.</w:t>
      </w:r>
      <w:r>
        <w:rPr>
          <w:rFonts w:ascii="Times New Roman" w:hAnsi="Times New Roman"/>
          <w:sz w:val="20"/>
        </w:rPr>
        <w:t xml:space="preserve"> </w:t>
      </w:r>
    </w:p>
    <w:p>
      <w:pPr>
        <w:pStyle w:val="TextBody"/>
        <w:spacing w:lineRule="auto" w:line="273" w:before="0" w:after="0"/>
        <w:jc w:val="center"/>
        <w:rPr>
          <w:rFonts w:ascii="Times New Roman" w:hAnsi="Times New Roman"/>
          <w:b w:val="false"/>
          <w:sz w:val="20"/>
        </w:rPr>
      </w:pPr>
      <w:r>
        <w:rPr>
          <w:rFonts w:ascii="Times New Roman" w:hAnsi="Times New Roman"/>
          <w:b w:val="false"/>
          <w:sz w:val="20"/>
        </w:rPr>
        <w:t>39</w:t>
      </w:r>
    </w:p>
    <w:p>
      <w:pPr>
        <w:pStyle w:val="HorizontalLine"/>
        <w:rPr/>
      </w:pPr>
      <w:r>
        <w:rPr/>
      </w:r>
    </w:p>
    <w:p>
      <w:pPr>
        <w:pStyle w:val="TextBody"/>
        <w:spacing w:lineRule="auto" w:line="273" w:before="0" w:after="0"/>
        <w:jc w:val="left"/>
        <w:rPr/>
      </w:pPr>
      <w:r>
        <w:rPr/>
        <w:t> </w:t>
      </w:r>
    </w:p>
    <w:p>
      <w:pPr>
        <w:pStyle w:val="TextBody"/>
        <w:spacing w:lineRule="auto" w:line="273" w:before="240" w:after="0"/>
        <w:jc w:val="left"/>
        <w:rPr>
          <w:rFonts w:ascii="Times New Roman" w:hAnsi="Times New Roman"/>
          <w:sz w:val="20"/>
        </w:rPr>
      </w:pPr>
      <w:r>
        <w:rPr>
          <w:rFonts w:ascii="Times New Roman" w:hAnsi="Times New Roman"/>
          <w:b w:val="false"/>
          <w:sz w:val="20"/>
        </w:rPr>
        <w:t>As a result of all of these factors, our competitors may succeed in obtaining approval from the FDA or comparable foreign regulatory authorities or in discovering, developing and commercializing product candidates in our field before we do, which could result in our competitors establishing a strong market position before we are able to enter the market or could make our development more complicated.</w:t>
      </w:r>
      <w:r>
        <w:rPr>
          <w:rFonts w:ascii="Times New Roman" w:hAnsi="Times New Roman"/>
          <w:sz w:val="20"/>
        </w:rPr>
        <w:t xml:space="preserve"> </w:t>
      </w:r>
    </w:p>
    <w:p>
      <w:pPr>
        <w:pStyle w:val="TextBody"/>
        <w:spacing w:lineRule="auto" w:line="273" w:before="240" w:after="0"/>
        <w:jc w:val="left"/>
        <w:rPr>
          <w:rFonts w:ascii="Times New Roman" w:hAnsi="Times New Roman"/>
          <w:sz w:val="20"/>
        </w:rPr>
      </w:pPr>
      <w:r>
        <w:rPr>
          <w:rFonts w:ascii="Times New Roman" w:hAnsi="Times New Roman"/>
          <w:b w:val="false"/>
          <w:sz w:val="20"/>
        </w:rPr>
        <w:t>Our potential commercial opportunity could be reduced or eliminated if our competitors develop and commercialize products that are safer, more effective, have fewer or less severe side effects, are more convenient, have a broader label, are marketed more effectively, are more widely reimbursed or are less expensive than any products that we may develop. Even if the product candidates we develop achieve marketing approval, they may be priced at a significant premium over competitive products if any have been approved by then, resulting in reduced competitiveness. Technological advances or products developed by our competitors may render our technologies or product candidates obsolete, less competitive or not economical. If we are unable to compete effectively, our opportunity to generate revenue from the sale of our products we may develop, if approved, could be adversely affected.</w:t>
      </w:r>
      <w:r>
        <w:rPr>
          <w:rFonts w:ascii="Times New Roman" w:hAnsi="Times New Roman"/>
          <w:sz w:val="20"/>
        </w:rPr>
        <w:t xml:space="preserve"> </w:t>
      </w:r>
    </w:p>
    <w:p>
      <w:pPr>
        <w:pStyle w:val="TextBody"/>
        <w:spacing w:lineRule="auto" w:line="273" w:before="360" w:after="0"/>
        <w:jc w:val="left"/>
        <w:rPr>
          <w:rFonts w:ascii="Times New Roman" w:hAnsi="Times New Roman"/>
          <w:sz w:val="20"/>
        </w:rPr>
      </w:pPr>
      <w:r>
        <w:rPr>
          <w:rFonts w:ascii="Times New Roman" w:hAnsi="Times New Roman"/>
          <w:b/>
          <w:i/>
          <w:sz w:val="20"/>
        </w:rPr>
        <w:t>If we fail to demonstrate safety and efficacy to our stakeholders, our reputation may be harmed and our business will suffer.</w:t>
      </w:r>
      <w:r>
        <w:rPr>
          <w:rFonts w:ascii="Times New Roman" w:hAnsi="Times New Roman"/>
          <w:sz w:val="20"/>
        </w:rPr>
        <w:t xml:space="preserve"> </w:t>
      </w:r>
    </w:p>
    <w:p>
      <w:pPr>
        <w:pStyle w:val="TextBody"/>
        <w:spacing w:lineRule="auto" w:line="273" w:before="120" w:after="0"/>
        <w:jc w:val="left"/>
        <w:rPr>
          <w:rFonts w:ascii="Times New Roman" w:hAnsi="Times New Roman"/>
          <w:sz w:val="20"/>
        </w:rPr>
      </w:pPr>
      <w:r>
        <w:rPr>
          <w:rFonts w:ascii="Times New Roman" w:hAnsi="Times New Roman"/>
          <w:b w:val="false"/>
          <w:sz w:val="20"/>
        </w:rPr>
        <w:t>In addition to the regulatory approvals required for product candidates developed for adults, parents, physicians, caregivers, advocates, and patients may not want to participate in our trials, prescribe or take our products, or want to be affiliated with our Company if we do not maintain trust and a reputation for integrity and high quality interactions and products. Pediatric drug development is typically deferred to protect children from exposure to investigational agents, which have historically been cytotoxic chemotherapies that are often associated with severe side effects and poor tolerability. If one of our products or product candidates was found to have a safety impact on pediatric patients our reputation would be harmed and our business would suffer.</w:t>
      </w:r>
      <w:r>
        <w:rPr>
          <w:rFonts w:ascii="Times New Roman" w:hAnsi="Times New Roman"/>
          <w:sz w:val="20"/>
        </w:rPr>
        <w:t xml:space="preserve"> </w:t>
      </w:r>
    </w:p>
    <w:p>
      <w:pPr>
        <w:pStyle w:val="TextBody"/>
        <w:spacing w:lineRule="auto" w:line="273" w:before="360" w:after="0"/>
        <w:jc w:val="left"/>
        <w:rPr>
          <w:rFonts w:ascii="Times New Roman" w:hAnsi="Times New Roman"/>
          <w:sz w:val="20"/>
        </w:rPr>
      </w:pPr>
      <w:r>
        <w:rPr>
          <w:rFonts w:ascii="Times New Roman" w:hAnsi="Times New Roman"/>
          <w:b/>
          <w:i/>
          <w:sz w:val="20"/>
        </w:rPr>
        <w:t>The COVID-19 pandemic could adversely impact our business, including our clinical trials and clinical trial operations.</w:t>
      </w:r>
      <w:r>
        <w:rPr>
          <w:rFonts w:ascii="Times New Roman" w:hAnsi="Times New Roman"/>
          <w:sz w:val="20"/>
        </w:rPr>
        <w:t xml:space="preserve"> </w:t>
      </w:r>
    </w:p>
    <w:p>
      <w:pPr>
        <w:pStyle w:val="TextBody"/>
        <w:spacing w:lineRule="auto" w:line="273" w:before="120" w:after="0"/>
        <w:jc w:val="left"/>
        <w:rPr>
          <w:rFonts w:ascii="Times New Roman" w:hAnsi="Times New Roman"/>
          <w:sz w:val="20"/>
        </w:rPr>
      </w:pPr>
      <w:r>
        <w:rPr>
          <w:rFonts w:ascii="Times New Roman" w:hAnsi="Times New Roman"/>
          <w:b w:val="false"/>
          <w:sz w:val="20"/>
        </w:rPr>
        <w:t>The COVID-19 pandemic in the United States and in other countries in which we have planned or have active clinical trial sites and where our third-party manufacturers operate, could cause significant disruptions that could severely impact our business and ongoing and planned clinical trials, including:</w:t>
      </w:r>
      <w:r>
        <w:rPr>
          <w:rFonts w:ascii="Times New Roman" w:hAnsi="Times New Roman"/>
          <w:sz w:val="20"/>
        </w:rPr>
        <w:t xml:space="preserve"> </w:t>
      </w:r>
    </w:p>
    <w:p>
      <w:pPr>
        <w:pStyle w:val="TextBody"/>
        <w:spacing w:lineRule="auto" w:line="273" w:before="120" w:after="0"/>
        <w:jc w:val="left"/>
        <w:rPr/>
      </w:pPr>
      <w:r>
        <w:rPr/>
        <w:t>•</w:t>
      </w:r>
    </w:p>
    <w:p>
      <w:pPr>
        <w:pStyle w:val="TextBody"/>
        <w:spacing w:lineRule="auto" w:line="273" w:before="120" w:after="0"/>
        <w:jc w:val="left"/>
        <w:rPr>
          <w:rFonts w:ascii="Times New Roman" w:hAnsi="Times New Roman"/>
          <w:b w:val="false"/>
          <w:sz w:val="20"/>
        </w:rPr>
      </w:pPr>
      <w:r>
        <w:rPr>
          <w:rFonts w:ascii="Times New Roman" w:hAnsi="Times New Roman"/>
          <w:b w:val="false"/>
          <w:sz w:val="20"/>
        </w:rPr>
        <w:t xml:space="preserve">delays or difficulties in screening, enrolling and maintaining patients in our ongoing and planned clinical trials; </w:t>
      </w:r>
    </w:p>
    <w:p>
      <w:pPr>
        <w:pStyle w:val="TextBody"/>
        <w:spacing w:lineRule="auto" w:line="273" w:before="120" w:after="0"/>
        <w:jc w:val="left"/>
        <w:rPr/>
      </w:pPr>
      <w:r>
        <w:rPr/>
        <w:t>•</w:t>
      </w:r>
    </w:p>
    <w:p>
      <w:pPr>
        <w:pStyle w:val="TextBody"/>
        <w:spacing w:lineRule="auto" w:line="273" w:before="120" w:after="0"/>
        <w:jc w:val="left"/>
        <w:rPr>
          <w:rFonts w:ascii="Times New Roman" w:hAnsi="Times New Roman"/>
          <w:b w:val="false"/>
          <w:sz w:val="20"/>
        </w:rPr>
      </w:pPr>
      <w:r>
        <w:rPr>
          <w:rFonts w:ascii="Times New Roman" w:hAnsi="Times New Roman"/>
          <w:b w:val="false"/>
          <w:sz w:val="20"/>
        </w:rPr>
        <w:t xml:space="preserve">delays or difficulties in clinical site initiation, including difficulties in recruiting clinical site investigators and clinical site staff; </w:t>
      </w:r>
    </w:p>
    <w:p>
      <w:pPr>
        <w:pStyle w:val="TextBody"/>
        <w:spacing w:lineRule="auto" w:line="273" w:before="120" w:after="0"/>
        <w:jc w:val="left"/>
        <w:rPr/>
      </w:pPr>
      <w:r>
        <w:rPr/>
        <w:t>•</w:t>
      </w:r>
    </w:p>
    <w:p>
      <w:pPr>
        <w:pStyle w:val="TextBody"/>
        <w:spacing w:lineRule="auto" w:line="273" w:before="120" w:after="0"/>
        <w:jc w:val="left"/>
        <w:rPr>
          <w:rFonts w:ascii="Times New Roman" w:hAnsi="Times New Roman"/>
          <w:b w:val="false"/>
          <w:sz w:val="20"/>
        </w:rPr>
      </w:pPr>
      <w:r>
        <w:rPr>
          <w:rFonts w:ascii="Times New Roman" w:hAnsi="Times New Roman"/>
          <w:b w:val="false"/>
          <w:sz w:val="20"/>
        </w:rPr>
        <w:t xml:space="preserve">diversion of healthcare resources away from the conduct of clinical trials, including the diversion of hospitals serving as our clinical trial sites and hospital staff supporting the conduct of our clinical trials as they prioritize resources towards addressing the COVID-19 pandemic; </w:t>
      </w:r>
    </w:p>
    <w:p>
      <w:pPr>
        <w:pStyle w:val="TextBody"/>
        <w:spacing w:lineRule="auto" w:line="273" w:before="120" w:after="0"/>
        <w:jc w:val="left"/>
        <w:rPr/>
      </w:pPr>
      <w:r>
        <w:rPr/>
        <w:t>•</w:t>
      </w:r>
    </w:p>
    <w:p>
      <w:pPr>
        <w:pStyle w:val="TextBody"/>
        <w:spacing w:lineRule="auto" w:line="273" w:before="120" w:after="0"/>
        <w:jc w:val="left"/>
        <w:rPr>
          <w:rFonts w:ascii="Times New Roman" w:hAnsi="Times New Roman"/>
          <w:b w:val="false"/>
          <w:sz w:val="20"/>
        </w:rPr>
      </w:pPr>
      <w:r>
        <w:rPr>
          <w:rFonts w:ascii="Times New Roman" w:hAnsi="Times New Roman"/>
          <w:b w:val="false"/>
          <w:sz w:val="20"/>
        </w:rPr>
        <w:t xml:space="preserve">inability or unwillingness of subjects to travel to the clinical trial sites; </w:t>
      </w:r>
    </w:p>
    <w:p>
      <w:pPr>
        <w:pStyle w:val="TextBody"/>
        <w:spacing w:lineRule="auto" w:line="273" w:before="120" w:after="0"/>
        <w:jc w:val="left"/>
        <w:rPr/>
      </w:pPr>
      <w:r>
        <w:rPr/>
        <w:t>•</w:t>
      </w:r>
    </w:p>
    <w:p>
      <w:pPr>
        <w:pStyle w:val="TextBody"/>
        <w:spacing w:lineRule="auto" w:line="273" w:before="120" w:after="0"/>
        <w:jc w:val="left"/>
        <w:rPr>
          <w:rFonts w:ascii="Times New Roman" w:hAnsi="Times New Roman"/>
          <w:b w:val="false"/>
          <w:sz w:val="20"/>
        </w:rPr>
      </w:pPr>
      <w:r>
        <w:rPr>
          <w:rFonts w:ascii="Times New Roman" w:hAnsi="Times New Roman"/>
          <w:b w:val="false"/>
          <w:sz w:val="20"/>
        </w:rPr>
        <w:t xml:space="preserve">delays, difficulties, or incompleteness in data collection and analysis and other related activities; </w:t>
      </w:r>
    </w:p>
    <w:p>
      <w:pPr>
        <w:pStyle w:val="TextBody"/>
        <w:spacing w:lineRule="auto" w:line="273" w:before="120" w:after="0"/>
        <w:jc w:val="left"/>
        <w:rPr/>
      </w:pPr>
      <w:r>
        <w:rPr/>
        <w:t>•</w:t>
      </w:r>
    </w:p>
    <w:p>
      <w:pPr>
        <w:pStyle w:val="TextBody"/>
        <w:spacing w:lineRule="auto" w:line="273" w:before="120" w:after="0"/>
        <w:jc w:val="left"/>
        <w:rPr>
          <w:rFonts w:ascii="Times New Roman" w:hAnsi="Times New Roman"/>
          <w:b w:val="false"/>
          <w:sz w:val="20"/>
        </w:rPr>
      </w:pPr>
      <w:r>
        <w:rPr>
          <w:rFonts w:ascii="Times New Roman" w:hAnsi="Times New Roman"/>
          <w:b w:val="false"/>
          <w:sz w:val="20"/>
        </w:rPr>
        <w:t xml:space="preserve">decreased implementation of protocol required clinical trial activities and quality of source data verification at clinical trial sites; </w:t>
      </w:r>
    </w:p>
    <w:p>
      <w:pPr>
        <w:pStyle w:val="TextBody"/>
        <w:spacing w:lineRule="auto" w:line="273" w:before="120" w:after="0"/>
        <w:jc w:val="left"/>
        <w:rPr/>
      </w:pPr>
      <w:r>
        <w:rPr/>
        <w:t>•</w:t>
      </w:r>
    </w:p>
    <w:p>
      <w:pPr>
        <w:pStyle w:val="TextBody"/>
        <w:spacing w:lineRule="auto" w:line="273" w:before="120" w:after="0"/>
        <w:jc w:val="left"/>
        <w:rPr>
          <w:rFonts w:ascii="Times New Roman" w:hAnsi="Times New Roman"/>
          <w:b w:val="false"/>
          <w:sz w:val="20"/>
        </w:rPr>
      </w:pPr>
      <w:r>
        <w:rPr>
          <w:rFonts w:ascii="Times New Roman" w:hAnsi="Times New Roman"/>
          <w:b w:val="false"/>
          <w:sz w:val="20"/>
        </w:rPr>
        <w:t xml:space="preserve">interruption of key clinical trial activities, such as clinical trial site monitoring, due to limitations on travel imposed or recommended by federal or state governments, employers and others; </w:t>
      </w:r>
    </w:p>
    <w:p>
      <w:pPr>
        <w:pStyle w:val="TextBody"/>
        <w:spacing w:lineRule="auto" w:line="273" w:before="120" w:after="0"/>
        <w:jc w:val="left"/>
        <w:rPr/>
      </w:pPr>
      <w:r>
        <w:rPr/>
        <w:t>•</w:t>
      </w:r>
    </w:p>
    <w:p>
      <w:pPr>
        <w:pStyle w:val="TextBody"/>
        <w:spacing w:lineRule="auto" w:line="273" w:before="120" w:after="0"/>
        <w:jc w:val="left"/>
        <w:rPr>
          <w:rFonts w:ascii="Times New Roman" w:hAnsi="Times New Roman"/>
          <w:b w:val="false"/>
          <w:sz w:val="20"/>
        </w:rPr>
      </w:pPr>
      <w:r>
        <w:rPr>
          <w:rFonts w:ascii="Times New Roman" w:hAnsi="Times New Roman"/>
          <w:b w:val="false"/>
          <w:sz w:val="20"/>
        </w:rPr>
        <w:t xml:space="preserve">limitations in employee resources that would otherwise be focused on the conduct of our clinical trials and our other research and development activities, including because of sickness of employees or their families or mitigation measures such as lock-downs and social distancing; </w:t>
      </w:r>
    </w:p>
    <w:p>
      <w:pPr>
        <w:pStyle w:val="TextBody"/>
        <w:spacing w:lineRule="auto" w:line="273" w:before="120" w:after="0"/>
        <w:jc w:val="left"/>
        <w:rPr/>
      </w:pPr>
      <w:r>
        <w:rPr/>
        <w:t>•</w:t>
      </w:r>
    </w:p>
    <w:p>
      <w:pPr>
        <w:pStyle w:val="TextBody"/>
        <w:spacing w:lineRule="auto" w:line="273" w:before="120" w:after="0"/>
        <w:jc w:val="left"/>
        <w:rPr>
          <w:rFonts w:ascii="Times New Roman" w:hAnsi="Times New Roman"/>
          <w:b w:val="false"/>
          <w:sz w:val="20"/>
        </w:rPr>
      </w:pPr>
      <w:r>
        <w:rPr>
          <w:rFonts w:ascii="Times New Roman" w:hAnsi="Times New Roman"/>
          <w:b w:val="false"/>
          <w:sz w:val="20"/>
        </w:rPr>
        <w:t xml:space="preserve">interruptions, difficulties or delays arising in our existing operations and company culture as a result of some or all of our employees working remotely, including those hired during the COVID-19 pandemic; </w:t>
      </w:r>
    </w:p>
    <w:p>
      <w:pPr>
        <w:pStyle w:val="TextBody"/>
        <w:spacing w:lineRule="auto" w:line="273" w:before="120" w:after="0"/>
        <w:jc w:val="left"/>
        <w:rPr/>
      </w:pPr>
      <w:r>
        <w:rPr/>
        <w:t>•</w:t>
      </w:r>
    </w:p>
    <w:p>
      <w:pPr>
        <w:pStyle w:val="TextBody"/>
        <w:spacing w:lineRule="auto" w:line="273" w:before="120" w:after="0"/>
        <w:jc w:val="left"/>
        <w:rPr>
          <w:rFonts w:ascii="Times New Roman" w:hAnsi="Times New Roman"/>
          <w:b w:val="false"/>
          <w:sz w:val="20"/>
        </w:rPr>
      </w:pPr>
      <w:r>
        <w:rPr>
          <w:rFonts w:ascii="Times New Roman" w:hAnsi="Times New Roman"/>
          <w:b w:val="false"/>
          <w:sz w:val="20"/>
        </w:rPr>
        <w:t xml:space="preserve">delays due to production shortages resulting from any events affecting supply or manufacturing capabilities domestically and abroad; </w:t>
      </w:r>
    </w:p>
    <w:p>
      <w:pPr>
        <w:pStyle w:val="TextBody"/>
        <w:spacing w:lineRule="auto" w:line="273" w:before="120" w:after="0"/>
        <w:jc w:val="left"/>
        <w:rPr/>
      </w:pPr>
      <w:r>
        <w:rPr/>
        <w:t>•</w:t>
      </w:r>
    </w:p>
    <w:p>
      <w:pPr>
        <w:pStyle w:val="TextBody"/>
        <w:spacing w:lineRule="auto" w:line="273" w:before="120" w:after="0"/>
        <w:jc w:val="left"/>
        <w:rPr>
          <w:rFonts w:ascii="Times New Roman" w:hAnsi="Times New Roman"/>
          <w:b w:val="false"/>
          <w:sz w:val="20"/>
        </w:rPr>
      </w:pPr>
      <w:r>
        <w:rPr>
          <w:rFonts w:ascii="Times New Roman" w:hAnsi="Times New Roman"/>
          <w:b w:val="false"/>
          <w:sz w:val="20"/>
        </w:rPr>
        <w:t xml:space="preserve">delays in receiving approval from local regulatory authorities to initiate our planned clinical trials; </w:t>
      </w:r>
    </w:p>
    <w:p>
      <w:pPr>
        <w:pStyle w:val="TextBody"/>
        <w:spacing w:lineRule="auto" w:line="273" w:before="120" w:after="0"/>
        <w:jc w:val="left"/>
        <w:rPr/>
      </w:pPr>
      <w:r>
        <w:rPr/>
        <w:t>•</w:t>
      </w:r>
    </w:p>
    <w:p>
      <w:pPr>
        <w:pStyle w:val="TextBody"/>
        <w:spacing w:lineRule="auto" w:line="273" w:before="120" w:after="0"/>
        <w:jc w:val="left"/>
        <w:rPr>
          <w:rFonts w:ascii="Times New Roman" w:hAnsi="Times New Roman"/>
          <w:b w:val="false"/>
          <w:sz w:val="20"/>
        </w:rPr>
      </w:pPr>
      <w:r>
        <w:rPr>
          <w:rFonts w:ascii="Times New Roman" w:hAnsi="Times New Roman"/>
          <w:b w:val="false"/>
          <w:sz w:val="20"/>
        </w:rPr>
        <w:t xml:space="preserve">delays in clinical sites receiving the supplies and materials needed to conduct our clinical trials; </w:t>
      </w:r>
    </w:p>
    <w:p>
      <w:pPr>
        <w:pStyle w:val="TextBody"/>
        <w:spacing w:lineRule="auto" w:line="273" w:before="120" w:after="0"/>
        <w:jc w:val="left"/>
        <w:rPr/>
      </w:pPr>
      <w:r>
        <w:rPr/>
        <w:t>•</w:t>
      </w:r>
    </w:p>
    <w:p>
      <w:pPr>
        <w:pStyle w:val="TextBody"/>
        <w:spacing w:lineRule="auto" w:line="273" w:before="120" w:after="0"/>
        <w:jc w:val="left"/>
        <w:rPr>
          <w:rFonts w:ascii="Times New Roman" w:hAnsi="Times New Roman"/>
          <w:b w:val="false"/>
          <w:sz w:val="20"/>
        </w:rPr>
      </w:pPr>
      <w:r>
        <w:rPr>
          <w:rFonts w:ascii="Times New Roman" w:hAnsi="Times New Roman"/>
          <w:b w:val="false"/>
          <w:sz w:val="20"/>
        </w:rPr>
        <w:t xml:space="preserve">interruption in global and domestic shipping that may affect the transport of clinical trial materials, such as investigational drug products used in our clinical trials; </w:t>
      </w:r>
    </w:p>
    <w:p>
      <w:pPr>
        <w:pStyle w:val="TextBody"/>
        <w:spacing w:lineRule="auto" w:line="273" w:before="120" w:after="0"/>
        <w:jc w:val="left"/>
        <w:rPr/>
      </w:pPr>
      <w:r>
        <w:rPr/>
        <w:t>•</w:t>
      </w:r>
    </w:p>
    <w:p>
      <w:pPr>
        <w:pStyle w:val="TextBody"/>
        <w:spacing w:lineRule="auto" w:line="273" w:before="120" w:after="283"/>
        <w:jc w:val="left"/>
        <w:rPr>
          <w:rFonts w:ascii="Times New Roman" w:hAnsi="Times New Roman"/>
          <w:b w:val="false"/>
          <w:sz w:val="20"/>
        </w:rPr>
      </w:pPr>
      <w:r>
        <w:rPr>
          <w:rFonts w:ascii="Times New Roman" w:hAnsi="Times New Roman"/>
          <w:b w:val="false"/>
          <w:sz w:val="20"/>
        </w:rPr>
        <w:t xml:space="preserve">changes in local regulations as part of a response to the COVID-19 pandemic, including as a result of the emergence and spread of variants of the COVID-19 virus, which may require us to change the ways in which our clinical trials are conducted, which may result in unexpected costs, delays, or to discontinue the clinical trials altogether; </w:t>
      </w:r>
    </w:p>
    <w:p>
      <w:pPr>
        <w:pStyle w:val="TextBody"/>
        <w:spacing w:lineRule="auto" w:line="273" w:before="0" w:after="0"/>
        <w:jc w:val="center"/>
        <w:rPr>
          <w:rFonts w:ascii="Times New Roman" w:hAnsi="Times New Roman"/>
          <w:b w:val="false"/>
          <w:sz w:val="20"/>
        </w:rPr>
      </w:pPr>
      <w:r>
        <w:rPr>
          <w:rFonts w:ascii="Times New Roman" w:hAnsi="Times New Roman"/>
          <w:b w:val="false"/>
          <w:sz w:val="20"/>
        </w:rPr>
        <w:t>40</w:t>
      </w:r>
    </w:p>
    <w:p>
      <w:pPr>
        <w:pStyle w:val="HorizontalLine"/>
        <w:rPr/>
      </w:pPr>
      <w:r>
        <w:rPr/>
      </w:r>
    </w:p>
    <w:p>
      <w:pPr>
        <w:pStyle w:val="TextBody"/>
        <w:spacing w:lineRule="auto" w:line="273" w:before="0" w:after="0"/>
        <w:jc w:val="left"/>
        <w:rPr/>
      </w:pPr>
      <w:r>
        <w:rPr/>
        <w:t> </w:t>
      </w:r>
    </w:p>
    <w:p>
      <w:pPr>
        <w:pStyle w:val="TextBody"/>
        <w:spacing w:lineRule="auto" w:line="273" w:before="120" w:after="0"/>
        <w:jc w:val="left"/>
        <w:rPr/>
      </w:pPr>
      <w:r>
        <w:rPr/>
        <w:t>•</w:t>
      </w:r>
    </w:p>
    <w:p>
      <w:pPr>
        <w:pStyle w:val="TextBody"/>
        <w:spacing w:lineRule="auto" w:line="273" w:before="120" w:after="0"/>
        <w:jc w:val="left"/>
        <w:rPr>
          <w:rFonts w:ascii="Times New Roman" w:hAnsi="Times New Roman"/>
          <w:b w:val="false"/>
          <w:sz w:val="20"/>
        </w:rPr>
      </w:pPr>
      <w:r>
        <w:rPr>
          <w:rFonts w:ascii="Times New Roman" w:hAnsi="Times New Roman"/>
          <w:b w:val="false"/>
          <w:sz w:val="20"/>
        </w:rPr>
        <w:t xml:space="preserve">delays in necessary interactions with local regulators, ethics committees and other important agencies and contractors due to limitations in employee resources or forced furlough of government employees; </w:t>
      </w:r>
    </w:p>
    <w:p>
      <w:pPr>
        <w:pStyle w:val="TextBody"/>
        <w:spacing w:lineRule="auto" w:line="273" w:before="120" w:after="0"/>
        <w:jc w:val="left"/>
        <w:rPr/>
      </w:pPr>
      <w:r>
        <w:rPr/>
        <w:t>•</w:t>
      </w:r>
    </w:p>
    <w:p>
      <w:pPr>
        <w:pStyle w:val="TextBody"/>
        <w:spacing w:lineRule="auto" w:line="273" w:before="120" w:after="0"/>
        <w:jc w:val="left"/>
        <w:rPr>
          <w:rFonts w:ascii="Times New Roman" w:hAnsi="Times New Roman"/>
          <w:b w:val="false"/>
          <w:sz w:val="20"/>
        </w:rPr>
      </w:pPr>
      <w:r>
        <w:rPr>
          <w:rFonts w:ascii="Times New Roman" w:hAnsi="Times New Roman"/>
          <w:b w:val="false"/>
          <w:sz w:val="20"/>
        </w:rPr>
        <w:t xml:space="preserve">refusal of regulatory authorities, such as the FDA, to accept data from clinical trials in affected geographies; and </w:t>
      </w:r>
    </w:p>
    <w:p>
      <w:pPr>
        <w:pStyle w:val="TextBody"/>
        <w:spacing w:lineRule="auto" w:line="273" w:before="120" w:after="0"/>
        <w:jc w:val="left"/>
        <w:rPr/>
      </w:pPr>
      <w:r>
        <w:rPr/>
        <w:t>•</w:t>
      </w:r>
    </w:p>
    <w:p>
      <w:pPr>
        <w:pStyle w:val="TextBody"/>
        <w:spacing w:lineRule="auto" w:line="273" w:before="120" w:after="283"/>
        <w:jc w:val="left"/>
        <w:rPr>
          <w:rFonts w:ascii="Times New Roman" w:hAnsi="Times New Roman"/>
          <w:b w:val="false"/>
          <w:sz w:val="20"/>
        </w:rPr>
      </w:pPr>
      <w:r>
        <w:rPr>
          <w:rFonts w:ascii="Times New Roman" w:hAnsi="Times New Roman"/>
          <w:b w:val="false"/>
          <w:sz w:val="20"/>
        </w:rPr>
        <w:t xml:space="preserve">adverse impacts on global economic conditions which could have an adverse effect on our business and financial condition, including impairing our ability to raise capital when needed. </w:t>
      </w:r>
    </w:p>
    <w:p>
      <w:pPr>
        <w:pStyle w:val="TextBody"/>
        <w:spacing w:lineRule="auto" w:line="273" w:before="240" w:after="0"/>
        <w:jc w:val="left"/>
        <w:rPr>
          <w:rFonts w:ascii="Times New Roman" w:hAnsi="Times New Roman"/>
          <w:sz w:val="20"/>
        </w:rPr>
      </w:pPr>
      <w:r>
        <w:rPr>
          <w:rFonts w:ascii="Times New Roman" w:hAnsi="Times New Roman"/>
          <w:b w:val="false"/>
          <w:sz w:val="20"/>
        </w:rPr>
        <w:t>Such disruptions could impede, delay, limit or prevent completion of our ongoing clinical trials and future preclinical studies or commencement of new clinical trials and ultimately lead to the delay or denial of regulatory approval of our product candidates, which would seriously harm our operations and financial condition and increase our costs and expenses. For example, in March 2022, authorities in Shanghai announced a two-stage lock-down for residents and businesses in response to rising rates of COVID-19. While operations have resumed at our Active Pharmaceutical Ingredients, or API, contract manufacturing and development facilities, we cannot be sure if additional lock-down measures or restrictions will be implemented and what, if any, impact that may have on our facilities and operations in the region, including but not limited to a decrease or disruption of production, increase costs of production or other interruptions in our supply chain. Such disruptions could impede, delay, limit or prevent completion of our ongoing clinical trials. Further, we have experienced delays in trial site initiations, patient participation and patient enrollment in some of our clinical trials and we may continue to experience some delays in our clinical trials and preclinical studies and delays in data collection and analysis, and the measures we have taken in response to the COVID-19 pandemic, may themselves negatively impact our operations. These delays so far have had a limited impact, but this may change as the COVID-19 pandemic and the response to such COVID-19 pandemic continues to evolve, and could have an adverse impact on our timelines and our business. The COVID-19 pandemic could also affect the business of the FDA or other health authorities, which could result in delays in meetings related to planned or completed clinical trials and ultimately of reviews and approvals of our product candidates.</w:t>
      </w:r>
      <w:r>
        <w:rPr>
          <w:rFonts w:ascii="Times New Roman" w:hAnsi="Times New Roman"/>
          <w:sz w:val="20"/>
        </w:rPr>
        <w:t xml:space="preserve"> </w:t>
      </w:r>
    </w:p>
    <w:p>
      <w:pPr>
        <w:pStyle w:val="TextBody"/>
        <w:spacing w:lineRule="auto" w:line="273" w:before="240" w:after="0"/>
        <w:jc w:val="left"/>
        <w:rPr>
          <w:rFonts w:ascii="Times New Roman" w:hAnsi="Times New Roman"/>
          <w:sz w:val="20"/>
        </w:rPr>
      </w:pPr>
      <w:r>
        <w:rPr>
          <w:rFonts w:ascii="Times New Roman" w:hAnsi="Times New Roman"/>
          <w:b w:val="false"/>
          <w:sz w:val="20"/>
        </w:rPr>
        <w:t>The global COVID-19 pandemic continues to evolve. Certain jurisdictions have begun re-opening only to return to restrictions due to increases in new COVID-19 disease cases and the emergence of new variant strains of the COVID-19 virus. Even in areas where “stay-at-home” restrictions have been lifted and the number of cases of COVID-19 disease has declined, many individuals remain cautious about resuming activities such as preventive-care medical visits. Additionally, the emergence of new variant strains of the COVID-19 virus in regions that have reopened has necessitated, and may in the future necessitate, renewed government restrictions in the jurisdictions in which we operate. The extent to which the COVID-19 pandemic may impact our business and clinical trials will depend on future developments, which are highly uncertain and cannot be predicted with confidence, such as the ultimate geographic spread of the disease, the duration of the pandemic, the emergence and spread of variants of the COVID-19 virus, travel restrictions and social distancing in the United States and other countries, business closures or business disruptions and the effectiveness of actions taken in the United States and other countries to contain and treat the disease.</w:t>
      </w:r>
      <w:r>
        <w:rPr>
          <w:rFonts w:ascii="Times New Roman" w:hAnsi="Times New Roman"/>
          <w:sz w:val="20"/>
        </w:rPr>
        <w:t xml:space="preserve"> </w:t>
      </w:r>
    </w:p>
    <w:p>
      <w:pPr>
        <w:pStyle w:val="TextBody"/>
        <w:spacing w:lineRule="auto" w:line="273" w:before="240" w:after="0"/>
        <w:jc w:val="left"/>
        <w:rPr>
          <w:rFonts w:ascii="Times New Roman" w:hAnsi="Times New Roman"/>
          <w:b w:val="false"/>
          <w:sz w:val="20"/>
        </w:rPr>
      </w:pPr>
      <w:r>
        <w:rPr>
          <w:rFonts w:ascii="Times New Roman" w:hAnsi="Times New Roman"/>
          <w:b w:val="false"/>
          <w:sz w:val="20"/>
        </w:rPr>
        <w:t>To the extent the COVID-19 pandemic adversely affects our business, financial condition and operating results, it may also have the effect of heightening many of the risks described in this “Risk Factors” section.</w:t>
      </w:r>
    </w:p>
    <w:p>
      <w:pPr>
        <w:pStyle w:val="TextBody"/>
        <w:spacing w:lineRule="auto" w:line="273" w:before="360" w:after="0"/>
        <w:jc w:val="left"/>
        <w:rPr>
          <w:rFonts w:ascii="Times New Roman" w:hAnsi="Times New Roman"/>
          <w:sz w:val="20"/>
        </w:rPr>
      </w:pPr>
      <w:r>
        <w:rPr>
          <w:rFonts w:ascii="Times New Roman" w:hAnsi="Times New Roman"/>
          <w:b/>
          <w:i/>
          <w:sz w:val="20"/>
        </w:rPr>
        <w:t>Adverse side effects or other safety risks associated with tovorafenib (DAY101), pimasertib or any future product candidates we may develop could delay or preclude approval, cause us to suspend or discontinue clinical trials or abandon further development, limit the commercial profile of an approved product, or result in significant negative consequences following marketing approval, if any.</w:t>
      </w:r>
      <w:r>
        <w:rPr>
          <w:rFonts w:ascii="Times New Roman" w:hAnsi="Times New Roman"/>
          <w:sz w:val="20"/>
        </w:rPr>
        <w:t xml:space="preserve"> </w:t>
      </w:r>
    </w:p>
    <w:p>
      <w:pPr>
        <w:pStyle w:val="TextBody"/>
        <w:spacing w:lineRule="auto" w:line="273" w:before="120" w:after="0"/>
        <w:jc w:val="left"/>
        <w:rPr>
          <w:rFonts w:ascii="Times New Roman" w:hAnsi="Times New Roman"/>
          <w:sz w:val="20"/>
        </w:rPr>
      </w:pPr>
      <w:r>
        <w:rPr>
          <w:rFonts w:ascii="Times New Roman" w:hAnsi="Times New Roman"/>
          <w:b w:val="false"/>
          <w:sz w:val="20"/>
        </w:rPr>
        <w:t>As is the case with pharmaceuticals generally, we have observed side effects and adverse events associated with our lead product candidate, tovorafenib (DAY101) and our other product candidates. These side effects included acneiform rash, anemia, headache, muscle pain, nausea and fatigue.</w:t>
      </w:r>
      <w:r>
        <w:rPr>
          <w:rFonts w:ascii="Times New Roman" w:hAnsi="Times New Roman"/>
          <w:sz w:val="20"/>
        </w:rPr>
        <w:t xml:space="preserve"> </w:t>
      </w:r>
    </w:p>
    <w:p>
      <w:pPr>
        <w:pStyle w:val="TextBody"/>
        <w:spacing w:lineRule="auto" w:line="273" w:before="240" w:after="0"/>
        <w:jc w:val="left"/>
        <w:rPr>
          <w:rFonts w:ascii="Times New Roman" w:hAnsi="Times New Roman"/>
          <w:sz w:val="20"/>
        </w:rPr>
      </w:pPr>
      <w:r>
        <w:rPr>
          <w:rFonts w:ascii="Times New Roman" w:hAnsi="Times New Roman"/>
          <w:b w:val="false"/>
          <w:sz w:val="20"/>
        </w:rPr>
        <w:t>Results of our ongoing and planned clinical trials could reveal a high and unacceptable severity and prevalence of side effects or unexpected characteristics. Undesirable side effects caused by our product candidates could result in the delay, suspension or termination of clinical trials by us or regulatory authorities for a number of reasons. Furthermore, clinical trials by their nature utilize a sample of the potential patient population. With a limited number of subjects and limited duration of exposure, rare and severe side effects of our product candidates or those of our competitors may only be uncovered with a significantly larger number of patients exposed to the drug.</w:t>
      </w:r>
      <w:r>
        <w:rPr>
          <w:rFonts w:ascii="Times New Roman" w:hAnsi="Times New Roman"/>
          <w:sz w:val="20"/>
        </w:rPr>
        <w:t xml:space="preserve"> </w:t>
      </w:r>
    </w:p>
    <w:p>
      <w:pPr>
        <w:pStyle w:val="TextBody"/>
        <w:spacing w:lineRule="auto" w:line="273" w:before="0" w:after="0"/>
        <w:jc w:val="center"/>
        <w:rPr>
          <w:rFonts w:ascii="Times New Roman" w:hAnsi="Times New Roman"/>
          <w:b w:val="false"/>
          <w:sz w:val="20"/>
        </w:rPr>
      </w:pPr>
      <w:r>
        <w:rPr>
          <w:rFonts w:ascii="Times New Roman" w:hAnsi="Times New Roman"/>
          <w:b w:val="false"/>
          <w:sz w:val="20"/>
        </w:rPr>
        <w:t>41</w:t>
      </w:r>
    </w:p>
    <w:p>
      <w:pPr>
        <w:pStyle w:val="HorizontalLine"/>
        <w:rPr/>
      </w:pPr>
      <w:r>
        <w:rPr/>
      </w:r>
    </w:p>
    <w:p>
      <w:pPr>
        <w:pStyle w:val="TextBody"/>
        <w:spacing w:lineRule="auto" w:line="273" w:before="0" w:after="0"/>
        <w:jc w:val="left"/>
        <w:rPr/>
      </w:pPr>
      <w:r>
        <w:rPr/>
        <w:t> </w:t>
      </w:r>
    </w:p>
    <w:p>
      <w:pPr>
        <w:pStyle w:val="TextBody"/>
        <w:spacing w:lineRule="auto" w:line="273" w:before="240" w:after="0"/>
        <w:jc w:val="left"/>
        <w:rPr>
          <w:rFonts w:ascii="Times New Roman" w:hAnsi="Times New Roman"/>
          <w:sz w:val="20"/>
        </w:rPr>
      </w:pPr>
      <w:r>
        <w:rPr>
          <w:rFonts w:ascii="Times New Roman" w:hAnsi="Times New Roman"/>
          <w:b w:val="false"/>
          <w:sz w:val="20"/>
        </w:rPr>
        <w:t>Additionally, patients treated with our product candidates may also be undergoing surgical, radiation and chemotherapy treatments, which can cause side effects or adverse events that are unrelated to our product candidates but may still impact the success of our clinical trials. The inclusion of critically ill patients in our clinical trials may result in deaths or other adverse medical events due to other therapies or medications that such patients may be using or due to the gravity of such patients’ illnesses. For example, it is expected that some of the patients to be enrolled in our future clinical trials will die or experience major clinical events either during the course of our clinical trials or after participating in such trials for non-treatment related reasons, which could impact development of tovorafenib (DAY101), pimasertib or our other product candidates. If we elect or are required to delay, suspend or terminate any clinical trial, the commercial prospects of our product candidates will be harmed and our ability to generate product revenues from this product candidate will be delayed or eliminated. Serious adverse events, or SAEs, observed in clinical trials could hinder or prevent market acceptance of our product candidates or reduce the duration of time that physicians expect to use our product in particular patients. Any of these occurrences may harm our business, prospects, financial condition and results of operations significantly.</w:t>
      </w:r>
      <w:r>
        <w:rPr>
          <w:rFonts w:ascii="Times New Roman" w:hAnsi="Times New Roman"/>
          <w:sz w:val="20"/>
        </w:rPr>
        <w:t xml:space="preserve"> </w:t>
      </w:r>
    </w:p>
    <w:p>
      <w:pPr>
        <w:pStyle w:val="TextBody"/>
        <w:spacing w:lineRule="auto" w:line="273" w:before="240" w:after="0"/>
        <w:jc w:val="left"/>
        <w:rPr>
          <w:rFonts w:ascii="Times New Roman" w:hAnsi="Times New Roman"/>
          <w:sz w:val="20"/>
        </w:rPr>
      </w:pPr>
      <w:r>
        <w:rPr>
          <w:rFonts w:ascii="Times New Roman" w:hAnsi="Times New Roman"/>
          <w:b w:val="false"/>
          <w:sz w:val="20"/>
        </w:rPr>
        <w:t>Moreover, if our product candidates are associated with undesirable side effects in clinical trials or have characteristics that are unexpected, we may elect to abandon or limit their development to more narrow uses or subpopulations in which the undesirable side effects or other characteristics are less prevalent, less severe or more acceptable from a risk-benefit perspective, which may limit the commercial expectations for our product candidates, if approved. We may also be required to modify our study plans based on findings in our clinical trials. Such side effects could also affect patient recruitment or the ability of enrolled patients to complete the trial. Many drugs that initially showed promise in early stage testing have later been found to cause side effects that prevented further development. In addition, regulatory authorities may draw different conclusions, require additional testing to confirm these determinations, require more restrictive labeling, or deny regulatory approval of the product candidate.</w:t>
      </w:r>
      <w:r>
        <w:rPr>
          <w:rFonts w:ascii="Times New Roman" w:hAnsi="Times New Roman"/>
          <w:sz w:val="20"/>
        </w:rPr>
        <w:t xml:space="preserve"> </w:t>
      </w:r>
    </w:p>
    <w:p>
      <w:pPr>
        <w:pStyle w:val="TextBody"/>
        <w:spacing w:lineRule="auto" w:line="273" w:before="240" w:after="0"/>
        <w:jc w:val="left"/>
        <w:rPr>
          <w:rFonts w:ascii="Times New Roman" w:hAnsi="Times New Roman"/>
          <w:sz w:val="20"/>
        </w:rPr>
      </w:pPr>
      <w:r>
        <w:rPr>
          <w:rFonts w:ascii="Times New Roman" w:hAnsi="Times New Roman"/>
          <w:b w:val="false"/>
          <w:sz w:val="20"/>
        </w:rPr>
        <w:t>It is possible that, as we test our product candidates in larger, longer and more extensive clinical trials, including with different dosing regimens, or as the use of our product candidates becomes more widespread following any regulatory approval, illnesses, injuries, discomforts and other adverse events that were observed in earlier trials, as well as conditions that did not occur or went undetected in previous trials, will be reported by patients. If such side effects become known later in development or upon approval, if any, such findings may harm our business, financial condition, results of operations and prospects significantly.</w:t>
      </w:r>
      <w:r>
        <w:rPr>
          <w:rFonts w:ascii="Times New Roman" w:hAnsi="Times New Roman"/>
          <w:sz w:val="20"/>
        </w:rPr>
        <w:t xml:space="preserve"> </w:t>
      </w:r>
    </w:p>
    <w:p>
      <w:pPr>
        <w:pStyle w:val="TextBody"/>
        <w:spacing w:lineRule="auto" w:line="273" w:before="240" w:after="0"/>
        <w:jc w:val="left"/>
        <w:rPr>
          <w:rFonts w:ascii="Times New Roman" w:hAnsi="Times New Roman"/>
          <w:sz w:val="20"/>
        </w:rPr>
      </w:pPr>
      <w:r>
        <w:rPr>
          <w:rFonts w:ascii="Times New Roman" w:hAnsi="Times New Roman"/>
          <w:b w:val="false"/>
          <w:sz w:val="20"/>
        </w:rPr>
        <w:t>In addition, if any of our product candidates receive marketing approval, and we or others later identify undesirable side effects caused by treatment with such drug, a number of potentially significant negative consequences could result, including:</w:t>
      </w:r>
      <w:r>
        <w:rPr>
          <w:rFonts w:ascii="Times New Roman" w:hAnsi="Times New Roman"/>
          <w:sz w:val="20"/>
        </w:rPr>
        <w:t xml:space="preserve"> </w:t>
      </w:r>
    </w:p>
    <w:p>
      <w:pPr>
        <w:pStyle w:val="TextBody"/>
        <w:spacing w:lineRule="auto" w:line="273" w:before="120" w:after="0"/>
        <w:jc w:val="left"/>
        <w:rPr/>
      </w:pPr>
      <w:r>
        <w:rPr/>
        <w:t>•</w:t>
      </w:r>
    </w:p>
    <w:p>
      <w:pPr>
        <w:pStyle w:val="TextBody"/>
        <w:spacing w:lineRule="auto" w:line="273" w:before="120" w:after="0"/>
        <w:jc w:val="left"/>
        <w:rPr>
          <w:rFonts w:ascii="Times New Roman" w:hAnsi="Times New Roman"/>
          <w:b w:val="false"/>
          <w:sz w:val="20"/>
        </w:rPr>
      </w:pPr>
      <w:r>
        <w:rPr>
          <w:rFonts w:ascii="Times New Roman" w:hAnsi="Times New Roman"/>
          <w:b w:val="false"/>
          <w:sz w:val="20"/>
        </w:rPr>
        <w:t xml:space="preserve">regulatory authorities may withdraw approval of the drug; </w:t>
      </w:r>
    </w:p>
    <w:p>
      <w:pPr>
        <w:pStyle w:val="TextBody"/>
        <w:spacing w:lineRule="auto" w:line="273" w:before="120" w:after="0"/>
        <w:jc w:val="left"/>
        <w:rPr/>
      </w:pPr>
      <w:r>
        <w:rPr/>
        <w:t>•</w:t>
      </w:r>
    </w:p>
    <w:p>
      <w:pPr>
        <w:pStyle w:val="TextBody"/>
        <w:spacing w:lineRule="auto" w:line="273" w:before="120" w:after="0"/>
        <w:jc w:val="left"/>
        <w:rPr>
          <w:rFonts w:ascii="Times New Roman" w:hAnsi="Times New Roman"/>
          <w:b w:val="false"/>
          <w:sz w:val="20"/>
        </w:rPr>
      </w:pPr>
      <w:r>
        <w:rPr>
          <w:rFonts w:ascii="Times New Roman" w:hAnsi="Times New Roman"/>
          <w:b w:val="false"/>
          <w:sz w:val="20"/>
        </w:rPr>
        <w:t xml:space="preserve">we may be required to recall a product or change the way the drug is administered to patients; </w:t>
      </w:r>
    </w:p>
    <w:p>
      <w:pPr>
        <w:pStyle w:val="TextBody"/>
        <w:spacing w:lineRule="auto" w:line="273" w:before="120" w:after="0"/>
        <w:jc w:val="left"/>
        <w:rPr/>
      </w:pPr>
      <w:r>
        <w:rPr/>
        <w:t>•</w:t>
      </w:r>
    </w:p>
    <w:p>
      <w:pPr>
        <w:pStyle w:val="TextBody"/>
        <w:spacing w:lineRule="auto" w:line="273" w:before="120" w:after="0"/>
        <w:jc w:val="left"/>
        <w:rPr>
          <w:rFonts w:ascii="Times New Roman" w:hAnsi="Times New Roman"/>
          <w:b w:val="false"/>
          <w:sz w:val="20"/>
        </w:rPr>
      </w:pPr>
      <w:r>
        <w:rPr>
          <w:rFonts w:ascii="Times New Roman" w:hAnsi="Times New Roman"/>
          <w:b w:val="false"/>
          <w:sz w:val="20"/>
        </w:rPr>
        <w:t xml:space="preserve">regulatory authorities may require additional warnings in the labeling, such as a contraindication or a boxed warning, or issue safety alerts, Dear Healthcare Provider letters, press releases or other communications containing warnings or other safety information about the product </w:t>
      </w:r>
    </w:p>
    <w:p>
      <w:pPr>
        <w:pStyle w:val="TextBody"/>
        <w:spacing w:lineRule="auto" w:line="273" w:before="120" w:after="0"/>
        <w:jc w:val="left"/>
        <w:rPr/>
      </w:pPr>
      <w:r>
        <w:rPr/>
        <w:t>•</w:t>
      </w:r>
    </w:p>
    <w:p>
      <w:pPr>
        <w:pStyle w:val="TextBody"/>
        <w:spacing w:lineRule="auto" w:line="273" w:before="120" w:after="0"/>
        <w:jc w:val="left"/>
        <w:rPr>
          <w:rFonts w:ascii="Times New Roman" w:hAnsi="Times New Roman"/>
          <w:b w:val="false"/>
          <w:sz w:val="20"/>
        </w:rPr>
      </w:pPr>
      <w:r>
        <w:rPr>
          <w:rFonts w:ascii="Times New Roman" w:hAnsi="Times New Roman"/>
          <w:b w:val="false"/>
          <w:sz w:val="20"/>
        </w:rPr>
        <w:t xml:space="preserve">we may be required to implement a REMS or create a medication guide outlining the risks of such side effects for distribution to patients; </w:t>
      </w:r>
    </w:p>
    <w:p>
      <w:pPr>
        <w:pStyle w:val="TextBody"/>
        <w:spacing w:lineRule="auto" w:line="273" w:before="120" w:after="0"/>
        <w:jc w:val="left"/>
        <w:rPr/>
      </w:pPr>
      <w:r>
        <w:rPr/>
        <w:t>•</w:t>
      </w:r>
    </w:p>
    <w:p>
      <w:pPr>
        <w:pStyle w:val="TextBody"/>
        <w:spacing w:lineRule="auto" w:line="273" w:before="120" w:after="0"/>
        <w:jc w:val="left"/>
        <w:rPr>
          <w:rFonts w:ascii="Times New Roman" w:hAnsi="Times New Roman"/>
          <w:b w:val="false"/>
          <w:sz w:val="20"/>
        </w:rPr>
      </w:pPr>
      <w:r>
        <w:rPr>
          <w:rFonts w:ascii="Times New Roman" w:hAnsi="Times New Roman"/>
          <w:b w:val="false"/>
          <w:sz w:val="20"/>
        </w:rPr>
        <w:t xml:space="preserve">additional restrictions may be imposed on the marketing or promotion of the particular product or the manufacturing processes for the product or any component thereof; </w:t>
      </w:r>
    </w:p>
    <w:p>
      <w:pPr>
        <w:pStyle w:val="TextBody"/>
        <w:spacing w:lineRule="auto" w:line="273" w:before="120" w:after="0"/>
        <w:jc w:val="left"/>
        <w:rPr/>
      </w:pPr>
      <w:r>
        <w:rPr/>
        <w:t>•</w:t>
      </w:r>
    </w:p>
    <w:p>
      <w:pPr>
        <w:pStyle w:val="TextBody"/>
        <w:spacing w:lineRule="auto" w:line="273" w:before="120" w:after="0"/>
        <w:jc w:val="left"/>
        <w:rPr>
          <w:rFonts w:ascii="Times New Roman" w:hAnsi="Times New Roman"/>
          <w:b w:val="false"/>
          <w:sz w:val="20"/>
        </w:rPr>
      </w:pPr>
      <w:r>
        <w:rPr>
          <w:rFonts w:ascii="Times New Roman" w:hAnsi="Times New Roman"/>
          <w:b w:val="false"/>
          <w:sz w:val="20"/>
        </w:rPr>
        <w:t xml:space="preserve">we could be sued and held liable for harm caused to patients; </w:t>
      </w:r>
    </w:p>
    <w:p>
      <w:pPr>
        <w:pStyle w:val="TextBody"/>
        <w:spacing w:lineRule="auto" w:line="273" w:before="120" w:after="0"/>
        <w:jc w:val="left"/>
        <w:rPr/>
      </w:pPr>
      <w:r>
        <w:rPr/>
        <w:t>•</w:t>
      </w:r>
    </w:p>
    <w:p>
      <w:pPr>
        <w:pStyle w:val="TextBody"/>
        <w:spacing w:lineRule="auto" w:line="273" w:before="120" w:after="0"/>
        <w:jc w:val="left"/>
        <w:rPr>
          <w:rFonts w:ascii="Times New Roman" w:hAnsi="Times New Roman"/>
          <w:b w:val="false"/>
          <w:sz w:val="20"/>
        </w:rPr>
      </w:pPr>
      <w:r>
        <w:rPr>
          <w:rFonts w:ascii="Times New Roman" w:hAnsi="Times New Roman"/>
          <w:b w:val="false"/>
          <w:sz w:val="20"/>
        </w:rPr>
        <w:t xml:space="preserve">we may be subject to regulatory investigations and government enforcement actions; </w:t>
      </w:r>
    </w:p>
    <w:p>
      <w:pPr>
        <w:pStyle w:val="TextBody"/>
        <w:spacing w:lineRule="auto" w:line="273" w:before="120" w:after="0"/>
        <w:jc w:val="left"/>
        <w:rPr/>
      </w:pPr>
      <w:r>
        <w:rPr/>
        <w:t>•</w:t>
      </w:r>
    </w:p>
    <w:p>
      <w:pPr>
        <w:pStyle w:val="TextBody"/>
        <w:spacing w:lineRule="auto" w:line="273" w:before="120" w:after="0"/>
        <w:jc w:val="left"/>
        <w:rPr>
          <w:rFonts w:ascii="Times New Roman" w:hAnsi="Times New Roman"/>
          <w:b w:val="false"/>
          <w:sz w:val="20"/>
        </w:rPr>
      </w:pPr>
      <w:r>
        <w:rPr>
          <w:rFonts w:ascii="Times New Roman" w:hAnsi="Times New Roman"/>
          <w:b w:val="false"/>
          <w:sz w:val="20"/>
        </w:rPr>
        <w:t xml:space="preserve">the drug could become less competitive; and </w:t>
      </w:r>
    </w:p>
    <w:p>
      <w:pPr>
        <w:pStyle w:val="TextBody"/>
        <w:spacing w:lineRule="auto" w:line="273" w:before="120" w:after="0"/>
        <w:jc w:val="left"/>
        <w:rPr/>
      </w:pPr>
      <w:r>
        <w:rPr/>
        <w:t>•</w:t>
      </w:r>
    </w:p>
    <w:p>
      <w:pPr>
        <w:pStyle w:val="TextBody"/>
        <w:spacing w:lineRule="auto" w:line="273" w:before="120" w:after="283"/>
        <w:jc w:val="left"/>
        <w:rPr>
          <w:rFonts w:ascii="Times New Roman" w:hAnsi="Times New Roman"/>
          <w:b w:val="false"/>
          <w:sz w:val="20"/>
        </w:rPr>
      </w:pPr>
      <w:r>
        <w:rPr>
          <w:rFonts w:ascii="Times New Roman" w:hAnsi="Times New Roman"/>
          <w:b w:val="false"/>
          <w:sz w:val="20"/>
        </w:rPr>
        <w:t xml:space="preserve">our reputation may suffer. </w:t>
      </w:r>
    </w:p>
    <w:p>
      <w:pPr>
        <w:pStyle w:val="TextBody"/>
        <w:spacing w:lineRule="auto" w:line="273" w:before="240" w:after="0"/>
        <w:jc w:val="left"/>
        <w:rPr>
          <w:rFonts w:ascii="Times New Roman" w:hAnsi="Times New Roman"/>
          <w:sz w:val="20"/>
        </w:rPr>
      </w:pPr>
      <w:r>
        <w:rPr>
          <w:rFonts w:ascii="Times New Roman" w:hAnsi="Times New Roman"/>
          <w:b w:val="false"/>
          <w:sz w:val="20"/>
        </w:rPr>
        <w:t>Any of these events could prevent us from achieving or maintaining market acceptance of our product candidates, if approved, and could significantly harm our business, financial condition, results of operations and prospects.</w:t>
      </w:r>
      <w:r>
        <w:rPr>
          <w:rFonts w:ascii="Times New Roman" w:hAnsi="Times New Roman"/>
          <w:sz w:val="20"/>
        </w:rPr>
        <w:t xml:space="preserve"> </w:t>
      </w:r>
    </w:p>
    <w:p>
      <w:pPr>
        <w:pStyle w:val="TextBody"/>
        <w:spacing w:lineRule="auto" w:line="273" w:before="0" w:after="0"/>
        <w:jc w:val="center"/>
        <w:rPr>
          <w:rFonts w:ascii="Times New Roman" w:hAnsi="Times New Roman"/>
          <w:b w:val="false"/>
          <w:sz w:val="20"/>
        </w:rPr>
      </w:pPr>
      <w:r>
        <w:rPr>
          <w:rFonts w:ascii="Times New Roman" w:hAnsi="Times New Roman"/>
          <w:b w:val="false"/>
          <w:sz w:val="20"/>
        </w:rPr>
        <w:t>42</w:t>
      </w:r>
    </w:p>
    <w:p>
      <w:pPr>
        <w:pStyle w:val="HorizontalLine"/>
        <w:rPr/>
      </w:pPr>
      <w:r>
        <w:rPr/>
      </w:r>
    </w:p>
    <w:p>
      <w:pPr>
        <w:pStyle w:val="TextBody"/>
        <w:spacing w:lineRule="auto" w:line="273" w:before="0" w:after="0"/>
        <w:jc w:val="left"/>
        <w:rPr/>
      </w:pPr>
      <w:r>
        <w:rPr/>
        <w:t> </w:t>
      </w:r>
    </w:p>
    <w:p>
      <w:pPr>
        <w:pStyle w:val="TextBody"/>
        <w:spacing w:lineRule="auto" w:line="273" w:before="360" w:after="0"/>
        <w:jc w:val="left"/>
        <w:rPr>
          <w:rFonts w:ascii="Times New Roman" w:hAnsi="Times New Roman"/>
          <w:sz w:val="20"/>
        </w:rPr>
      </w:pPr>
      <w:r>
        <w:rPr>
          <w:rFonts w:ascii="Times New Roman" w:hAnsi="Times New Roman"/>
          <w:b/>
          <w:i/>
          <w:sz w:val="20"/>
        </w:rPr>
        <w:t>Preliminary, interim, initial and topline data from our clinical trials that we announce or publish from time to time may change as more patient data become available and are subject to audit and verification procedures that could result in material changes in the final data.</w:t>
      </w:r>
      <w:r>
        <w:rPr>
          <w:rFonts w:ascii="Times New Roman" w:hAnsi="Times New Roman"/>
          <w:sz w:val="20"/>
        </w:rPr>
        <w:t xml:space="preserve"> </w:t>
      </w:r>
    </w:p>
    <w:p>
      <w:pPr>
        <w:pStyle w:val="TextBody"/>
        <w:spacing w:lineRule="auto" w:line="273" w:before="120" w:after="0"/>
        <w:jc w:val="left"/>
        <w:rPr>
          <w:rFonts w:ascii="Times New Roman" w:hAnsi="Times New Roman"/>
          <w:sz w:val="20"/>
        </w:rPr>
      </w:pPr>
      <w:r>
        <w:rPr>
          <w:rFonts w:ascii="Times New Roman" w:hAnsi="Times New Roman"/>
          <w:b w:val="false"/>
          <w:sz w:val="20"/>
        </w:rPr>
        <w:t>From time to time, we may publicly disclose preliminary, interim or topline data from our clinical trials, such as the preliminary data analysis for the pivotal Phase 2 of our tovorafenib (DAY101) trial. These updates are based on a preliminary analysis of then-available data, and the results and related findings and conclusions are subject to change following a more comprehensive review of the data related to the particular study or trial. Additionally, interim data from clinical trials that we may complete are subject to the risk that one or more of the clinical outcomes may materially change as patient enrollment continues and more patient data become available. Therefore, positive interim or initial results in any ongoing clinical trial may not be predictive of such results in the completed study or trial. We also make assumptions, estimations, calculations and conclusions as part of our analyses of data, and we may not have received or had the opportunity to fully and carefully evaluate all data. As a result, the initial or topline results that we report may differ from future results of the same studies, or different conclusions or considerations may qualify such results, once additional data have been received and fully evaluated. Initial or topline data also remain subject to audit and verification procedures that may result in the final data being materially different from the preliminary data we previously published.</w:t>
      </w:r>
      <w:r>
        <w:rPr>
          <w:rFonts w:ascii="Times New Roman" w:hAnsi="Times New Roman"/>
          <w:sz w:val="20"/>
        </w:rPr>
        <w:t xml:space="preserve"> </w:t>
      </w:r>
    </w:p>
    <w:p>
      <w:pPr>
        <w:pStyle w:val="TextBody"/>
        <w:spacing w:lineRule="auto" w:line="273" w:before="240" w:after="0"/>
        <w:jc w:val="left"/>
        <w:rPr>
          <w:rFonts w:ascii="Times New Roman" w:hAnsi="Times New Roman"/>
          <w:sz w:val="20"/>
        </w:rPr>
      </w:pPr>
      <w:r>
        <w:rPr>
          <w:rFonts w:ascii="Times New Roman" w:hAnsi="Times New Roman"/>
          <w:b w:val="false"/>
          <w:sz w:val="20"/>
        </w:rPr>
        <w:t>Further, others, including regulatory agencies, may not accept or agree with our assumptions, estimates, calculations, conclusions or analyses or may interpret or weigh the importance of data differently, which could impact the value of the particular program, the approvability or commercialization of the particular product candidate or product and our Company in general. In addition, the information we choose to publicly disclose regarding a particular study or clinical trial is based on what is typically extensive information, and you or others may not agree with what we determine is the material or otherwise appropriate information to include in our disclosure, and any information we determine not to disclose may ultimately be deemed significant with respect to future decisions, conclusions, views, activities or otherwise regarding a particular drug, drug candidate or our business. If the topline data that we report differ from actual results, or if others, including regulatory authorities, disagree with the conclusions reached, our ability to obtain approval for, and commercialize, our product candidates may be harmed, which could harm our business, operating results, prospects or financial condition.</w:t>
      </w:r>
      <w:r>
        <w:rPr>
          <w:rFonts w:ascii="Times New Roman" w:hAnsi="Times New Roman"/>
          <w:sz w:val="20"/>
        </w:rPr>
        <w:t xml:space="preserve"> </w:t>
      </w:r>
    </w:p>
    <w:p>
      <w:pPr>
        <w:pStyle w:val="TextBody"/>
        <w:spacing w:lineRule="auto" w:line="273" w:before="360" w:after="0"/>
        <w:jc w:val="left"/>
        <w:rPr>
          <w:rFonts w:ascii="Times New Roman" w:hAnsi="Times New Roman"/>
          <w:sz w:val="20"/>
        </w:rPr>
      </w:pPr>
      <w:r>
        <w:rPr>
          <w:rFonts w:ascii="Times New Roman" w:hAnsi="Times New Roman"/>
          <w:b/>
          <w:i/>
          <w:sz w:val="20"/>
        </w:rPr>
        <w:t>We may expend our limited resources to pursue a particular product candidate or indication and fail to capitalize on product candidates or indications that may be more profitable or for which there is a greater likelihood of success.</w:t>
      </w:r>
      <w:r>
        <w:rPr>
          <w:rFonts w:ascii="Times New Roman" w:hAnsi="Times New Roman"/>
          <w:sz w:val="20"/>
        </w:rPr>
        <w:t xml:space="preserve"> </w:t>
      </w:r>
    </w:p>
    <w:p>
      <w:pPr>
        <w:pStyle w:val="TextBody"/>
        <w:spacing w:lineRule="auto" w:line="273" w:before="120" w:after="0"/>
        <w:jc w:val="left"/>
        <w:rPr>
          <w:rFonts w:ascii="Times New Roman" w:hAnsi="Times New Roman"/>
          <w:sz w:val="20"/>
        </w:rPr>
      </w:pPr>
      <w:r>
        <w:rPr>
          <w:rFonts w:ascii="Times New Roman" w:hAnsi="Times New Roman"/>
          <w:b w:val="false"/>
          <w:sz w:val="20"/>
        </w:rPr>
        <w:t>Because we have limited financial and managerial resources, we focus on research programs and product candidates that we identify for specific indications. As a result, we may forego or delay pursuit of opportunities with other product candidates or for other indications that later prove to have greater commercial potential. Our resource allocation decisions may cause us to fail to capitalize on viable commercial products or profitable market opportunities. Our spending on current and future research and development programs and product candidates for specific indications may not yield any commercially viable products. If we do not accurately evaluate the commercial potential or target market for a particular product candidate, we may relinquish valuable rights to that product candidate through collaboration, licensing or other royalty arrangements in cases in which it would have been more advantageous for us to retain sole development and commercialization rights to such product candidate.</w:t>
      </w:r>
      <w:r>
        <w:rPr>
          <w:rFonts w:ascii="Times New Roman" w:hAnsi="Times New Roman"/>
          <w:sz w:val="20"/>
        </w:rPr>
        <w:t xml:space="preserve"> </w:t>
      </w:r>
    </w:p>
    <w:p>
      <w:pPr>
        <w:pStyle w:val="TextBody"/>
        <w:spacing w:lineRule="auto" w:line="273" w:before="360" w:after="0"/>
        <w:jc w:val="left"/>
        <w:rPr>
          <w:rFonts w:ascii="Times New Roman" w:hAnsi="Times New Roman"/>
          <w:sz w:val="20"/>
        </w:rPr>
      </w:pPr>
      <w:r>
        <w:rPr>
          <w:rFonts w:ascii="Times New Roman" w:hAnsi="Times New Roman"/>
          <w:b/>
          <w:i/>
          <w:sz w:val="20"/>
        </w:rPr>
        <w:t>The market opportunities for any product candidates we develop, if approved, may be limited to certain smaller patient subsets and may be smaller than we estimate them to be.</w:t>
      </w:r>
      <w:r>
        <w:rPr>
          <w:rFonts w:ascii="Times New Roman" w:hAnsi="Times New Roman"/>
          <w:sz w:val="20"/>
        </w:rPr>
        <w:t xml:space="preserve"> </w:t>
      </w:r>
    </w:p>
    <w:p>
      <w:pPr>
        <w:pStyle w:val="TextBody"/>
        <w:spacing w:lineRule="auto" w:line="273" w:before="120" w:after="0"/>
        <w:jc w:val="left"/>
        <w:rPr>
          <w:rFonts w:ascii="Times New Roman" w:hAnsi="Times New Roman"/>
          <w:sz w:val="20"/>
        </w:rPr>
      </w:pPr>
      <w:r>
        <w:rPr>
          <w:rFonts w:ascii="Times New Roman" w:hAnsi="Times New Roman"/>
          <w:b w:val="false"/>
          <w:sz w:val="20"/>
        </w:rPr>
        <w:t>We plan to seek approval of tovorafenib (DAY101) as a treatment of both naïve and relapsed/progressive pLGG. There is no guarantee that our product candidates would be approved for either line of treatment, and prior to any such approvals we may have to conduct additional clinical trials that may be costly, time-consuming and subject to risk.</w:t>
      </w:r>
      <w:r>
        <w:rPr>
          <w:rFonts w:ascii="Times New Roman" w:hAnsi="Times New Roman"/>
          <w:sz w:val="20"/>
        </w:rPr>
        <w:t xml:space="preserve"> </w:t>
      </w:r>
    </w:p>
    <w:p>
      <w:pPr>
        <w:pStyle w:val="TextBody"/>
        <w:spacing w:lineRule="auto" w:line="273" w:before="0" w:after="0"/>
        <w:jc w:val="center"/>
        <w:rPr>
          <w:rFonts w:ascii="Times New Roman" w:hAnsi="Times New Roman"/>
          <w:b w:val="false"/>
          <w:sz w:val="20"/>
        </w:rPr>
      </w:pPr>
      <w:r>
        <w:rPr>
          <w:rFonts w:ascii="Times New Roman" w:hAnsi="Times New Roman"/>
          <w:b w:val="false"/>
          <w:sz w:val="20"/>
        </w:rPr>
        <w:t>43</w:t>
      </w:r>
    </w:p>
    <w:p>
      <w:pPr>
        <w:pStyle w:val="HorizontalLine"/>
        <w:rPr/>
      </w:pPr>
      <w:r>
        <w:rPr/>
      </w:r>
    </w:p>
    <w:p>
      <w:pPr>
        <w:pStyle w:val="TextBody"/>
        <w:spacing w:lineRule="auto" w:line="273" w:before="0" w:after="0"/>
        <w:jc w:val="left"/>
        <w:rPr/>
      </w:pPr>
      <w:r>
        <w:rPr/>
        <w:t> </w:t>
      </w:r>
    </w:p>
    <w:p>
      <w:pPr>
        <w:pStyle w:val="TextBody"/>
        <w:spacing w:lineRule="auto" w:line="273" w:before="240" w:after="0"/>
        <w:jc w:val="left"/>
        <w:rPr>
          <w:rFonts w:ascii="Times New Roman" w:hAnsi="Times New Roman"/>
          <w:sz w:val="20"/>
        </w:rPr>
      </w:pPr>
      <w:r>
        <w:rPr>
          <w:rFonts w:ascii="Times New Roman" w:hAnsi="Times New Roman"/>
          <w:b w:val="false"/>
          <w:sz w:val="20"/>
        </w:rPr>
        <w:t>Our projections of both the number of people who have the cancers we are targeting, as well as the subset of people with these cancers in a position to receive a particular line of therapy and who have the potential to benefit from treatment with our product candidates, are based on our beliefs and estimates. For example, pLGG is a rare disease, and as such, our projections of both the number of people who have this disease, as well as the subset of people with pLGG who have the potential to benefit from treatment with our product candidates, are based on estimates. These estimates have been derived from a variety of sources, including scientific literature, surveys of clinics, patient foundations or market research, and may prove to be incorrect. Further, new studies may change the estimated incidence or prevalence of the cancers that we are targeting. The potentially addressable patient population for our product candidates may be limited or may not be amenable to treatment with our product candidates. Consequently, even if our product candidates are approved, the number of patients that may be eligible for treatment with our product candidates may turn out to be much lower than expected. In addition, we have not yet conducted market research to determine how treating physicians would expect to prescribe a product that is approved for multiple tumor types if there are different lines of approved therapies for each such tumor type. Even if we obtain significant market share for our products, if approved, if the potential target populations are small, we may never achieve profitability without obtaining regulatory approval for additional indications.</w:t>
      </w:r>
      <w:r>
        <w:rPr>
          <w:rFonts w:ascii="Times New Roman" w:hAnsi="Times New Roman"/>
          <w:sz w:val="20"/>
        </w:rPr>
        <w:t xml:space="preserve"> </w:t>
      </w:r>
    </w:p>
    <w:p>
      <w:pPr>
        <w:pStyle w:val="TextBody"/>
        <w:spacing w:lineRule="auto" w:line="273" w:before="360" w:after="0"/>
        <w:jc w:val="left"/>
        <w:rPr>
          <w:rFonts w:ascii="Times New Roman" w:hAnsi="Times New Roman"/>
          <w:sz w:val="20"/>
        </w:rPr>
      </w:pPr>
      <w:r>
        <w:rPr>
          <w:rFonts w:ascii="Times New Roman" w:hAnsi="Times New Roman"/>
          <w:b/>
          <w:i/>
          <w:sz w:val="20"/>
        </w:rPr>
        <w:t>Our clinical development activities are primarily focused on the development of targeted therapeutics for patients with genomically defined cancers, which is a rapidly evolving area of science, and the approach we are taking to discover and develop drugs is novel and may never lead to approved or marketable products.</w:t>
      </w:r>
      <w:r>
        <w:rPr>
          <w:rFonts w:ascii="Times New Roman" w:hAnsi="Times New Roman"/>
          <w:sz w:val="20"/>
        </w:rPr>
        <w:t xml:space="preserve"> </w:t>
      </w:r>
    </w:p>
    <w:p>
      <w:pPr>
        <w:pStyle w:val="TextBody"/>
        <w:spacing w:lineRule="auto" w:line="273" w:before="120" w:after="0"/>
        <w:jc w:val="left"/>
        <w:rPr>
          <w:rFonts w:ascii="Times New Roman" w:hAnsi="Times New Roman"/>
          <w:sz w:val="20"/>
        </w:rPr>
      </w:pPr>
      <w:r>
        <w:rPr>
          <w:rFonts w:ascii="Times New Roman" w:hAnsi="Times New Roman"/>
          <w:b w:val="false"/>
          <w:sz w:val="20"/>
        </w:rPr>
        <w:t>The discovery and development of targeted therapeutics for patients with genomically defined cancers is an emerging field, and the scientific discoveries that form the basis for our efforts to discover, identify and develop product candidates are relatively new. The scientific evidence to support the feasibility of developing product candidates based on these discoveries is both preliminary and limited. Although we believe, based on our product candidates’ preclinical trial results and our clinical work, that the genomic alterations targeted by our programs are oncogenic drivers, clinical results may not confirm this hypothesis or may only confirm it for certain alterations or certain tumor types. The patient populations for our product candidates are limited to those with specific target alterations and may not be completely defined but are substantially smaller than the general treated cancer population, and we will need to screen and identify these patients with targeted alterations. Successful identification of patients is dependent on several factors, including achieving certainty as to how specific alterations respond to our product candidates and the ability to identify such alterations. Furthermore, even if we are successful in identifying patients, we cannot be certain that the resulting patient populations for each mutation will be large enough to allow us to successfully obtain approval for each mutation type and commercialize our product candidates and achieve profitability. In addition, even if our approach is successful in showing clinical benefit for RAF-driven cancers for our tovorafenib (DAY101) program, we may never successfully identify additional oncogenic alterations sensitive to tovorafenib (DAY101) in other MAPK-driven tumors. Therefore, we do not know if our approach of treating patients with genomically defined cancers will be successful, and if our approach is unsuccessful, our business will suffer.</w:t>
      </w:r>
      <w:r>
        <w:rPr>
          <w:rFonts w:ascii="Times New Roman" w:hAnsi="Times New Roman"/>
          <w:sz w:val="20"/>
        </w:rPr>
        <w:t xml:space="preserve"> </w:t>
      </w:r>
    </w:p>
    <w:p>
      <w:pPr>
        <w:pStyle w:val="TextBody"/>
        <w:spacing w:lineRule="auto" w:line="273" w:before="360" w:after="0"/>
        <w:jc w:val="left"/>
        <w:rPr>
          <w:rFonts w:ascii="Times New Roman" w:hAnsi="Times New Roman"/>
          <w:sz w:val="20"/>
        </w:rPr>
      </w:pPr>
      <w:r>
        <w:rPr>
          <w:rFonts w:ascii="Times New Roman" w:hAnsi="Times New Roman"/>
          <w:b/>
          <w:i/>
          <w:sz w:val="20"/>
        </w:rPr>
        <w:t>Our product candidates may not achieve adequate market acceptance among physicians, patients or their families, healthcare payors and others in the medical community necessary for commercial success.</w:t>
      </w:r>
      <w:r>
        <w:rPr>
          <w:rFonts w:ascii="Times New Roman" w:hAnsi="Times New Roman"/>
          <w:sz w:val="20"/>
        </w:rPr>
        <w:t xml:space="preserve"> </w:t>
      </w:r>
    </w:p>
    <w:p>
      <w:pPr>
        <w:pStyle w:val="TextBody"/>
        <w:spacing w:lineRule="auto" w:line="273" w:before="120" w:after="0"/>
        <w:jc w:val="left"/>
        <w:rPr>
          <w:rFonts w:ascii="Times New Roman" w:hAnsi="Times New Roman"/>
          <w:sz w:val="20"/>
        </w:rPr>
      </w:pPr>
      <w:r>
        <w:rPr>
          <w:rFonts w:ascii="Times New Roman" w:hAnsi="Times New Roman"/>
          <w:b w:val="false"/>
          <w:sz w:val="20"/>
        </w:rPr>
        <w:t>Even if our product candidates receive regulatory approval, they may not gain adequate market acceptance among physicians, patients or their families, third-party payors and others in the medical community. The degree of market acceptance of any of our approved product candidates will depend on a number of factors, including:</w:t>
      </w:r>
      <w:r>
        <w:rPr>
          <w:rFonts w:ascii="Times New Roman" w:hAnsi="Times New Roman"/>
          <w:sz w:val="20"/>
        </w:rPr>
        <w:t xml:space="preserve"> </w:t>
      </w:r>
    </w:p>
    <w:p>
      <w:pPr>
        <w:pStyle w:val="TextBody"/>
        <w:spacing w:lineRule="auto" w:line="273" w:before="120" w:after="0"/>
        <w:jc w:val="left"/>
        <w:rPr/>
      </w:pPr>
      <w:r>
        <w:rPr/>
        <w:t>•</w:t>
      </w:r>
    </w:p>
    <w:p>
      <w:pPr>
        <w:pStyle w:val="TextBody"/>
        <w:spacing w:lineRule="auto" w:line="273" w:before="120" w:after="0"/>
        <w:jc w:val="left"/>
        <w:rPr>
          <w:rFonts w:ascii="Times New Roman" w:hAnsi="Times New Roman"/>
          <w:b w:val="false"/>
          <w:sz w:val="20"/>
        </w:rPr>
      </w:pPr>
      <w:r>
        <w:rPr>
          <w:rFonts w:ascii="Times New Roman" w:hAnsi="Times New Roman"/>
          <w:b w:val="false"/>
          <w:sz w:val="20"/>
        </w:rPr>
        <w:t xml:space="preserve">the efficacy, durability and safety profile as demonstrated in clinical trials compared to alternative treatments, in addition to functional, quality, or patient-reported outcomes; </w:t>
      </w:r>
    </w:p>
    <w:p>
      <w:pPr>
        <w:pStyle w:val="TextBody"/>
        <w:spacing w:lineRule="auto" w:line="273" w:before="120" w:after="0"/>
        <w:jc w:val="left"/>
        <w:rPr/>
      </w:pPr>
      <w:r>
        <w:rPr/>
        <w:t>•</w:t>
      </w:r>
    </w:p>
    <w:p>
      <w:pPr>
        <w:pStyle w:val="TextBody"/>
        <w:spacing w:lineRule="auto" w:line="273" w:before="120" w:after="0"/>
        <w:jc w:val="left"/>
        <w:rPr>
          <w:rFonts w:ascii="Times New Roman" w:hAnsi="Times New Roman"/>
          <w:b w:val="false"/>
          <w:sz w:val="20"/>
        </w:rPr>
      </w:pPr>
      <w:r>
        <w:rPr>
          <w:rFonts w:ascii="Times New Roman" w:hAnsi="Times New Roman"/>
          <w:b w:val="false"/>
          <w:sz w:val="20"/>
        </w:rPr>
        <w:t xml:space="preserve">the timing of market introduction of the product candidate as well as competitive products; </w:t>
      </w:r>
    </w:p>
    <w:p>
      <w:pPr>
        <w:pStyle w:val="TextBody"/>
        <w:spacing w:lineRule="auto" w:line="273" w:before="120" w:after="0"/>
        <w:jc w:val="left"/>
        <w:rPr/>
      </w:pPr>
      <w:r>
        <w:rPr/>
        <w:t>•</w:t>
      </w:r>
    </w:p>
    <w:p>
      <w:pPr>
        <w:pStyle w:val="TextBody"/>
        <w:spacing w:lineRule="auto" w:line="273" w:before="120" w:after="0"/>
        <w:jc w:val="left"/>
        <w:rPr>
          <w:rFonts w:ascii="Times New Roman" w:hAnsi="Times New Roman"/>
          <w:b w:val="false"/>
          <w:sz w:val="20"/>
        </w:rPr>
      </w:pPr>
      <w:r>
        <w:rPr>
          <w:rFonts w:ascii="Times New Roman" w:hAnsi="Times New Roman"/>
          <w:b w:val="false"/>
          <w:sz w:val="20"/>
        </w:rPr>
        <w:t xml:space="preserve">the clinical indications for which a product candidate is approved; </w:t>
      </w:r>
    </w:p>
    <w:p>
      <w:pPr>
        <w:pStyle w:val="TextBody"/>
        <w:spacing w:lineRule="auto" w:line="273" w:before="120" w:after="0"/>
        <w:jc w:val="left"/>
        <w:rPr/>
      </w:pPr>
      <w:r>
        <w:rPr/>
        <w:t>•</w:t>
      </w:r>
    </w:p>
    <w:p>
      <w:pPr>
        <w:pStyle w:val="TextBody"/>
        <w:spacing w:lineRule="auto" w:line="273" w:before="120" w:after="0"/>
        <w:jc w:val="left"/>
        <w:rPr>
          <w:rFonts w:ascii="Times New Roman" w:hAnsi="Times New Roman"/>
          <w:b w:val="false"/>
          <w:sz w:val="20"/>
        </w:rPr>
      </w:pPr>
      <w:r>
        <w:rPr>
          <w:rFonts w:ascii="Times New Roman" w:hAnsi="Times New Roman"/>
          <w:b w:val="false"/>
          <w:sz w:val="20"/>
        </w:rPr>
        <w:t xml:space="preserve">restrictions on the use of product candidates in the labeling approved by regulatory authorities, such as boxed warnings or contraindications in labeling, or a REMS, if any, which may not be required of alternative treatments and competitor products; </w:t>
      </w:r>
    </w:p>
    <w:p>
      <w:pPr>
        <w:pStyle w:val="TextBody"/>
        <w:spacing w:lineRule="auto" w:line="273" w:before="120" w:after="0"/>
        <w:jc w:val="left"/>
        <w:rPr/>
      </w:pPr>
      <w:r>
        <w:rPr/>
        <w:t>•</w:t>
      </w:r>
    </w:p>
    <w:p>
      <w:pPr>
        <w:pStyle w:val="TextBody"/>
        <w:spacing w:lineRule="auto" w:line="273" w:before="120" w:after="0"/>
        <w:jc w:val="left"/>
        <w:rPr>
          <w:rFonts w:ascii="Times New Roman" w:hAnsi="Times New Roman"/>
          <w:b w:val="false"/>
          <w:sz w:val="20"/>
        </w:rPr>
      </w:pPr>
      <w:r>
        <w:rPr>
          <w:rFonts w:ascii="Times New Roman" w:hAnsi="Times New Roman"/>
          <w:b w:val="false"/>
          <w:sz w:val="20"/>
        </w:rPr>
        <w:t xml:space="preserve">the potential and perceived advantages of our product candidates over alternative treatments; </w:t>
      </w:r>
    </w:p>
    <w:p>
      <w:pPr>
        <w:pStyle w:val="TextBody"/>
        <w:spacing w:lineRule="auto" w:line="273" w:before="120" w:after="0"/>
        <w:jc w:val="left"/>
        <w:rPr/>
      </w:pPr>
      <w:r>
        <w:rPr/>
        <w:t>•</w:t>
      </w:r>
    </w:p>
    <w:p>
      <w:pPr>
        <w:pStyle w:val="TextBody"/>
        <w:spacing w:lineRule="auto" w:line="273" w:before="120" w:after="0"/>
        <w:jc w:val="left"/>
        <w:rPr>
          <w:rFonts w:ascii="Times New Roman" w:hAnsi="Times New Roman"/>
          <w:b w:val="false"/>
          <w:sz w:val="20"/>
        </w:rPr>
      </w:pPr>
      <w:r>
        <w:rPr>
          <w:rFonts w:ascii="Times New Roman" w:hAnsi="Times New Roman"/>
          <w:b w:val="false"/>
          <w:sz w:val="20"/>
        </w:rPr>
        <w:t xml:space="preserve">the cost of treatment in relation to alternative treatments and the cost/benefit ratios of each; </w:t>
      </w:r>
    </w:p>
    <w:p>
      <w:pPr>
        <w:pStyle w:val="TextBody"/>
        <w:spacing w:lineRule="auto" w:line="273" w:before="120" w:after="0"/>
        <w:jc w:val="left"/>
        <w:rPr/>
      </w:pPr>
      <w:r>
        <w:rPr/>
        <w:t>•</w:t>
      </w:r>
    </w:p>
    <w:p>
      <w:pPr>
        <w:pStyle w:val="TextBody"/>
        <w:spacing w:lineRule="auto" w:line="273" w:before="120" w:after="0"/>
        <w:jc w:val="left"/>
        <w:rPr>
          <w:rFonts w:ascii="Times New Roman" w:hAnsi="Times New Roman"/>
          <w:b w:val="false"/>
          <w:sz w:val="20"/>
        </w:rPr>
      </w:pPr>
      <w:r>
        <w:rPr>
          <w:rFonts w:ascii="Times New Roman" w:hAnsi="Times New Roman"/>
          <w:b w:val="false"/>
          <w:sz w:val="20"/>
        </w:rPr>
        <w:t xml:space="preserve">the availability of coverage and adequate reimbursement by third-party payors, including government authorities, and timing of relevant formulary decision-making resulting in this coverage and reimbursement; </w:t>
      </w:r>
    </w:p>
    <w:p>
      <w:pPr>
        <w:pStyle w:val="TextBody"/>
        <w:spacing w:lineRule="auto" w:line="273" w:before="120" w:after="0"/>
        <w:jc w:val="left"/>
        <w:rPr/>
      </w:pPr>
      <w:r>
        <w:rPr/>
        <w:t>•</w:t>
      </w:r>
    </w:p>
    <w:p>
      <w:pPr>
        <w:pStyle w:val="TextBody"/>
        <w:spacing w:lineRule="auto" w:line="273" w:before="120" w:after="0"/>
        <w:jc w:val="left"/>
        <w:rPr>
          <w:rFonts w:ascii="Times New Roman" w:hAnsi="Times New Roman"/>
          <w:b w:val="false"/>
          <w:sz w:val="20"/>
        </w:rPr>
      </w:pPr>
      <w:r>
        <w:rPr>
          <w:rFonts w:ascii="Times New Roman" w:hAnsi="Times New Roman"/>
          <w:b w:val="false"/>
          <w:sz w:val="20"/>
        </w:rPr>
        <w:t xml:space="preserve">the availability of an approved product candidate for use as a combination therapy; </w:t>
      </w:r>
    </w:p>
    <w:p>
      <w:pPr>
        <w:pStyle w:val="TextBody"/>
        <w:spacing w:lineRule="auto" w:line="273" w:before="120" w:after="0"/>
        <w:jc w:val="left"/>
        <w:rPr/>
      </w:pPr>
      <w:r>
        <w:rPr/>
        <w:t>•</w:t>
      </w:r>
    </w:p>
    <w:p>
      <w:pPr>
        <w:pStyle w:val="TextBody"/>
        <w:spacing w:lineRule="auto" w:line="273" w:before="120" w:after="283"/>
        <w:jc w:val="left"/>
        <w:rPr>
          <w:rFonts w:ascii="Times New Roman" w:hAnsi="Times New Roman"/>
          <w:b w:val="false"/>
          <w:sz w:val="20"/>
        </w:rPr>
      </w:pPr>
      <w:r>
        <w:rPr>
          <w:rFonts w:ascii="Times New Roman" w:hAnsi="Times New Roman"/>
          <w:b w:val="false"/>
          <w:sz w:val="20"/>
        </w:rPr>
        <w:t xml:space="preserve">relative convenience and ease of administration in relation to competition; </w:t>
      </w:r>
    </w:p>
    <w:p>
      <w:pPr>
        <w:pStyle w:val="TextBody"/>
        <w:spacing w:lineRule="auto" w:line="273" w:before="0" w:after="0"/>
        <w:jc w:val="center"/>
        <w:rPr>
          <w:rFonts w:ascii="Times New Roman" w:hAnsi="Times New Roman"/>
          <w:b w:val="false"/>
          <w:sz w:val="20"/>
        </w:rPr>
      </w:pPr>
      <w:r>
        <w:rPr>
          <w:rFonts w:ascii="Times New Roman" w:hAnsi="Times New Roman"/>
          <w:b w:val="false"/>
          <w:sz w:val="20"/>
        </w:rPr>
        <w:t>44</w:t>
      </w:r>
    </w:p>
    <w:p>
      <w:pPr>
        <w:pStyle w:val="HorizontalLine"/>
        <w:rPr/>
      </w:pPr>
      <w:r>
        <w:rPr/>
      </w:r>
    </w:p>
    <w:p>
      <w:pPr>
        <w:pStyle w:val="TextBody"/>
        <w:spacing w:lineRule="auto" w:line="273" w:before="0" w:after="0"/>
        <w:jc w:val="left"/>
        <w:rPr/>
      </w:pPr>
      <w:r>
        <w:rPr/>
        <w:t> </w:t>
      </w:r>
    </w:p>
    <w:p>
      <w:pPr>
        <w:pStyle w:val="TextBody"/>
        <w:spacing w:lineRule="auto" w:line="273" w:before="120" w:after="0"/>
        <w:jc w:val="left"/>
        <w:rPr/>
      </w:pPr>
      <w:r>
        <w:rPr/>
        <w:t>•</w:t>
      </w:r>
    </w:p>
    <w:p>
      <w:pPr>
        <w:pStyle w:val="TextBody"/>
        <w:spacing w:lineRule="auto" w:line="273" w:before="120" w:after="0"/>
        <w:jc w:val="left"/>
        <w:rPr>
          <w:rFonts w:ascii="Times New Roman" w:hAnsi="Times New Roman"/>
          <w:b w:val="false"/>
          <w:sz w:val="20"/>
        </w:rPr>
      </w:pPr>
      <w:r>
        <w:rPr>
          <w:rFonts w:ascii="Times New Roman" w:hAnsi="Times New Roman"/>
          <w:b w:val="false"/>
          <w:sz w:val="20"/>
        </w:rPr>
        <w:t xml:space="preserve">the willingness of the target patient population (which may include willingness of our pediatric patients’ parents) to try new therapies and undergo required diagnostic screening to determine treatment eligibility and of physicians to prescribe these therapies and diagnostic tests; </w:t>
      </w:r>
    </w:p>
    <w:p>
      <w:pPr>
        <w:pStyle w:val="TextBody"/>
        <w:spacing w:lineRule="auto" w:line="273" w:before="120" w:after="0"/>
        <w:jc w:val="left"/>
        <w:rPr/>
      </w:pPr>
      <w:r>
        <w:rPr/>
        <w:t>•</w:t>
      </w:r>
    </w:p>
    <w:p>
      <w:pPr>
        <w:pStyle w:val="TextBody"/>
        <w:spacing w:lineRule="auto" w:line="273" w:before="120" w:after="0"/>
        <w:jc w:val="left"/>
        <w:rPr>
          <w:rFonts w:ascii="Times New Roman" w:hAnsi="Times New Roman"/>
          <w:b w:val="false"/>
          <w:sz w:val="20"/>
        </w:rPr>
      </w:pPr>
      <w:r>
        <w:rPr>
          <w:rFonts w:ascii="Times New Roman" w:hAnsi="Times New Roman"/>
          <w:b w:val="false"/>
          <w:sz w:val="20"/>
        </w:rPr>
        <w:t xml:space="preserve">the effectiveness of sales, marketing efforts and market access; </w:t>
      </w:r>
    </w:p>
    <w:p>
      <w:pPr>
        <w:pStyle w:val="TextBody"/>
        <w:spacing w:lineRule="auto" w:line="273" w:before="120" w:after="0"/>
        <w:jc w:val="left"/>
        <w:rPr/>
      </w:pPr>
      <w:r>
        <w:rPr/>
        <w:t>•</w:t>
      </w:r>
    </w:p>
    <w:p>
      <w:pPr>
        <w:pStyle w:val="TextBody"/>
        <w:spacing w:lineRule="auto" w:line="273" w:before="120" w:after="0"/>
        <w:jc w:val="left"/>
        <w:rPr>
          <w:rFonts w:ascii="Times New Roman" w:hAnsi="Times New Roman"/>
          <w:b w:val="false"/>
          <w:sz w:val="20"/>
        </w:rPr>
      </w:pPr>
      <w:r>
        <w:rPr>
          <w:rFonts w:ascii="Times New Roman" w:hAnsi="Times New Roman"/>
          <w:b w:val="false"/>
          <w:sz w:val="20"/>
        </w:rPr>
        <w:t xml:space="preserve">unfavorable publicity relating to our product candidates; and </w:t>
      </w:r>
    </w:p>
    <w:p>
      <w:pPr>
        <w:pStyle w:val="TextBody"/>
        <w:spacing w:lineRule="auto" w:line="273" w:before="120" w:after="0"/>
        <w:jc w:val="left"/>
        <w:rPr/>
      </w:pPr>
      <w:r>
        <w:rPr/>
        <w:t>•</w:t>
      </w:r>
    </w:p>
    <w:p>
      <w:pPr>
        <w:pStyle w:val="TextBody"/>
        <w:spacing w:lineRule="auto" w:line="273" w:before="120" w:after="283"/>
        <w:jc w:val="left"/>
        <w:rPr>
          <w:rFonts w:ascii="Times New Roman" w:hAnsi="Times New Roman"/>
          <w:b w:val="false"/>
          <w:sz w:val="20"/>
        </w:rPr>
      </w:pPr>
      <w:r>
        <w:rPr>
          <w:rFonts w:ascii="Times New Roman" w:hAnsi="Times New Roman"/>
          <w:b w:val="false"/>
          <w:sz w:val="20"/>
        </w:rPr>
        <w:t xml:space="preserve">the approval of other new therapies for the same indications. </w:t>
      </w:r>
    </w:p>
    <w:p>
      <w:pPr>
        <w:pStyle w:val="TextBody"/>
        <w:spacing w:lineRule="auto" w:line="273" w:before="240" w:after="0"/>
        <w:jc w:val="left"/>
        <w:rPr>
          <w:rFonts w:ascii="Times New Roman" w:hAnsi="Times New Roman"/>
          <w:sz w:val="20"/>
        </w:rPr>
      </w:pPr>
      <w:r>
        <w:rPr>
          <w:rFonts w:ascii="Times New Roman" w:hAnsi="Times New Roman"/>
          <w:b w:val="false"/>
          <w:sz w:val="20"/>
        </w:rPr>
        <w:t>If any of our product candidates are approved but do not achieve an adequate level of acceptance by physicians, hospitals, healthcare payors and patients, we may not generate or derive sufficient revenue from that product candidate and our financial results could be negatively impacted.</w:t>
      </w:r>
      <w:r>
        <w:rPr>
          <w:rFonts w:ascii="Times New Roman" w:hAnsi="Times New Roman"/>
          <w:sz w:val="20"/>
        </w:rPr>
        <w:t xml:space="preserve"> </w:t>
      </w:r>
    </w:p>
    <w:p>
      <w:pPr>
        <w:pStyle w:val="TextBody"/>
        <w:spacing w:lineRule="auto" w:line="273" w:before="360" w:after="0"/>
        <w:jc w:val="left"/>
        <w:rPr>
          <w:rFonts w:ascii="Times New Roman" w:hAnsi="Times New Roman"/>
          <w:sz w:val="20"/>
        </w:rPr>
      </w:pPr>
      <w:r>
        <w:rPr>
          <w:rFonts w:ascii="Times New Roman" w:hAnsi="Times New Roman"/>
          <w:b/>
          <w:i/>
          <w:sz w:val="20"/>
        </w:rPr>
        <w:t>Any product candidates we develop may become subject to unfavorable third-party coverage and reimbursement practices, as well as pricing regulations.</w:t>
      </w:r>
      <w:r>
        <w:rPr>
          <w:rFonts w:ascii="Times New Roman" w:hAnsi="Times New Roman"/>
          <w:sz w:val="20"/>
        </w:rPr>
        <w:t xml:space="preserve"> </w:t>
      </w:r>
    </w:p>
    <w:p>
      <w:pPr>
        <w:pStyle w:val="TextBody"/>
        <w:spacing w:lineRule="auto" w:line="273" w:before="120" w:after="0"/>
        <w:jc w:val="left"/>
        <w:rPr>
          <w:rFonts w:ascii="Times New Roman" w:hAnsi="Times New Roman"/>
          <w:sz w:val="20"/>
        </w:rPr>
      </w:pPr>
      <w:r>
        <w:rPr>
          <w:rFonts w:ascii="Times New Roman" w:hAnsi="Times New Roman"/>
          <w:b w:val="false"/>
          <w:sz w:val="20"/>
        </w:rPr>
        <w:t>The availability and extent of coverage and adequate reimbursement by third-party payors, including government health administration authorities, private health coverage insurers, managed care organizations and other third-party payors is essential for most patients to be able to afford expensive treatments. Sales of any of our product candidates that receive marketing approval will depend substantially, both in the United States and internationally, on the extent to which the costs of such product candidates will be covered and reimbursed by third-party payors. If reimbursement is not available, or is available only to limited levels, we may not be able to successfully commercialize our product candidates. Even if coverage is provided, the approved reimbursement amount may not be high enough to allow us to establish or maintain pricing sufficient to realize an adequate return on our investment. Coverage and reimbursement may impact the demand for, or the price of, any product candidate for which we obtain marketing approval. If coverage and reimbursement are not available or reimbursement is available only to limited levels, we may not successfully commercialize any product candidate for which we obtain marketing approval.</w:t>
      </w:r>
      <w:r>
        <w:rPr>
          <w:rFonts w:ascii="Times New Roman" w:hAnsi="Times New Roman"/>
          <w:sz w:val="20"/>
        </w:rPr>
        <w:t xml:space="preserve"> </w:t>
      </w:r>
    </w:p>
    <w:p>
      <w:pPr>
        <w:pStyle w:val="TextBody"/>
        <w:spacing w:lineRule="auto" w:line="273" w:before="180" w:after="0"/>
        <w:jc w:val="left"/>
        <w:rPr/>
      </w:pPr>
      <w:r>
        <w:rPr/>
        <w:t> </w:t>
      </w:r>
    </w:p>
    <w:p>
      <w:pPr>
        <w:pStyle w:val="TextBody"/>
        <w:spacing w:lineRule="auto" w:line="273" w:before="0" w:after="0"/>
        <w:jc w:val="left"/>
        <w:rPr>
          <w:rFonts w:ascii="Times New Roman" w:hAnsi="Times New Roman"/>
          <w:sz w:val="20"/>
        </w:rPr>
      </w:pPr>
      <w:r>
        <w:rPr>
          <w:rFonts w:ascii="Times New Roman" w:hAnsi="Times New Roman"/>
          <w:b w:val="false"/>
          <w:sz w:val="20"/>
        </w:rPr>
        <w:t>There is significant uncertainty related to third-party payor coverage and reimbursement of newly approved products. The payor mix for pediatric products in the United States is a fragmented combination of state-specific Medicaid policies and a broad universe of private insurance companies. There is no consistent policy or leading payor to inform other price setting entities. National payor policies are expected to be critical to our ability to achieve broad payment coverage. However, one third-party payor’s determination to provide coverage for a product candidate does not assure that other payors will also provide coverage for the product candidate. As a result, the coverage determination process is often time-consuming and costly. This process will require us to provide scientific and clinical support for the use of our products to each third-party payor separately, with no assurance that coverage and adequate reimbursement will be applied consistently or obtained in the first instance.</w:t>
      </w:r>
      <w:r>
        <w:rPr>
          <w:rFonts w:ascii="Times New Roman" w:hAnsi="Times New Roman"/>
          <w:sz w:val="20"/>
        </w:rPr>
        <w:t xml:space="preserve"> </w:t>
      </w:r>
    </w:p>
    <w:p>
      <w:pPr>
        <w:pStyle w:val="TextBody"/>
        <w:spacing w:lineRule="auto" w:line="273" w:before="240" w:after="0"/>
        <w:jc w:val="left"/>
        <w:rPr>
          <w:rFonts w:ascii="Times New Roman" w:hAnsi="Times New Roman"/>
          <w:sz w:val="20"/>
        </w:rPr>
      </w:pPr>
      <w:r>
        <w:rPr>
          <w:rFonts w:ascii="Times New Roman" w:hAnsi="Times New Roman"/>
          <w:b w:val="false"/>
          <w:sz w:val="20"/>
        </w:rPr>
        <w:t>As federal and state governments implement additional health care cost containment measures, including measures to lower prescription drug pricing, we cannot be sure that our products, if approved, will be covered by private or public payors, and if covered, whether the reimbursement will be adequate or competitive with other marketed products. For example, the former president of the United States signed executive orders aimed at lowering prescription drug prices and the current president of the United States has expressed an intention to address prescription drug costs. These and other actions by federal and state governments and health plans may put additional downward pressure on pharmaceutical pricing and health care costs, which could negatively impact coverage and reimbursement for our products if approved, our revenue, and our ability to compete with other marketed products and to recoup the costs of our research and development.</w:t>
      </w:r>
      <w:r>
        <w:rPr>
          <w:rFonts w:ascii="Times New Roman" w:hAnsi="Times New Roman"/>
          <w:sz w:val="20"/>
        </w:rPr>
        <w:t xml:space="preserve"> </w:t>
      </w:r>
    </w:p>
    <w:p>
      <w:pPr>
        <w:pStyle w:val="TextBody"/>
        <w:spacing w:lineRule="auto" w:line="273" w:before="240" w:after="0"/>
        <w:jc w:val="left"/>
        <w:rPr>
          <w:rFonts w:ascii="Times New Roman" w:hAnsi="Times New Roman"/>
          <w:sz w:val="20"/>
        </w:rPr>
      </w:pPr>
      <w:r>
        <w:rPr>
          <w:rFonts w:ascii="Times New Roman" w:hAnsi="Times New Roman"/>
          <w:b w:val="false"/>
          <w:sz w:val="20"/>
        </w:rPr>
        <w:t>Increasingly, third-party payors are requiring that drug companies provide them with predetermined discounts from list prices and are challenging the prices charged for medical products. Further, such payors are increasingly challenging the price, examining the medical necessity and reviewing the cost effectiveness of medical product candidates. There may be especially significant delays in obtaining coverage and reimbursement for newly approved drugs. Third-party payors may limit coverage to specific product candidates on an approved list, known as a formulary, which might not include all FDA-approved drugs for a particular indication. We plan to conduct expensive pharmaco-economic studies to demonstrate the medical necessity and cost effectiveness of our products. Nonetheless, our product candidates may not be considered medically necessary or cost effective. We cannot be sure that coverage and reimbursement will be available for any product that we commercialize and, if reimbursement is available, what the level of reimbursement will be.</w:t>
      </w:r>
      <w:r>
        <w:rPr>
          <w:rFonts w:ascii="Times New Roman" w:hAnsi="Times New Roman"/>
          <w:sz w:val="20"/>
        </w:rPr>
        <w:t xml:space="preserve"> </w:t>
      </w:r>
    </w:p>
    <w:p>
      <w:pPr>
        <w:pStyle w:val="TextBody"/>
        <w:spacing w:lineRule="auto" w:line="273" w:before="240" w:after="0"/>
        <w:jc w:val="left"/>
        <w:rPr>
          <w:rFonts w:ascii="Times New Roman" w:hAnsi="Times New Roman"/>
          <w:sz w:val="20"/>
        </w:rPr>
      </w:pPr>
      <w:r>
        <w:rPr>
          <w:rFonts w:ascii="Times New Roman" w:hAnsi="Times New Roman"/>
          <w:b w:val="false"/>
          <w:sz w:val="20"/>
        </w:rPr>
        <w:t>In addition, companion diagnostic tests require coverage and reimbursement separate and apart from the coverage and reimbursement for their companion pharmaceutical or biological products. Similar challenges to obtaining coverage and reimbursement, applicable to pharmaceutical or biological products, will apply to companion diagnostics. Additionally, if any companion diagnostic provider is unable to obtain reimbursement or is inadequately reimbursed, that may limit the availability of such companion diagnostic, which would negatively impact prescriptions for our product candidates, if approved.</w:t>
      </w:r>
      <w:r>
        <w:rPr>
          <w:rFonts w:ascii="Times New Roman" w:hAnsi="Times New Roman"/>
          <w:sz w:val="20"/>
        </w:rPr>
        <w:t xml:space="preserve"> </w:t>
      </w:r>
    </w:p>
    <w:p>
      <w:pPr>
        <w:pStyle w:val="TextBody"/>
        <w:spacing w:lineRule="auto" w:line="273" w:before="0" w:after="0"/>
        <w:jc w:val="center"/>
        <w:rPr>
          <w:rFonts w:ascii="Times New Roman" w:hAnsi="Times New Roman"/>
          <w:b w:val="false"/>
          <w:sz w:val="20"/>
        </w:rPr>
      </w:pPr>
      <w:r>
        <w:rPr>
          <w:rFonts w:ascii="Times New Roman" w:hAnsi="Times New Roman"/>
          <w:b w:val="false"/>
          <w:sz w:val="20"/>
        </w:rPr>
        <w:t>45</w:t>
      </w:r>
    </w:p>
    <w:p>
      <w:pPr>
        <w:pStyle w:val="HorizontalLine"/>
        <w:rPr/>
      </w:pPr>
      <w:r>
        <w:rPr/>
      </w:r>
    </w:p>
    <w:p>
      <w:pPr>
        <w:pStyle w:val="TextBody"/>
        <w:spacing w:lineRule="auto" w:line="273" w:before="0" w:after="0"/>
        <w:jc w:val="left"/>
        <w:rPr/>
      </w:pPr>
      <w:r>
        <w:rPr/>
        <w:t> </w:t>
      </w:r>
    </w:p>
    <w:p>
      <w:pPr>
        <w:pStyle w:val="TextBody"/>
        <w:spacing w:lineRule="auto" w:line="273" w:before="240" w:after="0"/>
        <w:jc w:val="left"/>
        <w:rPr>
          <w:rFonts w:ascii="Times New Roman" w:hAnsi="Times New Roman"/>
          <w:sz w:val="20"/>
        </w:rPr>
      </w:pPr>
      <w:r>
        <w:rPr>
          <w:rFonts w:ascii="Times New Roman" w:hAnsi="Times New Roman"/>
          <w:b w:val="false"/>
          <w:sz w:val="20"/>
        </w:rPr>
        <w:t>Outside the United States, the commercialization of therapeutics is generally subject to extensive governmental price controls and other market regulations, and we believe the increasing emphasis on cost containment initiatives in Europe, Canada and other countries has and will continue to put pressure on the pricing and usage of therapeutics such as our product candidates. In many countries, particularly the countries of the European Union, or EU, medical product prices are subject to varying price control mechanisms as part of national health systems. In these countries, pricing negotiations with governmental authorities can take considerable time after a product receives marketing approval. To obtain reimbursement or pricing approval in some countries, we may be required to conduct a clinical trial that compares the cost-effectiveness of our product candidate to other available therapies. In general, product prices under such systems are substantially lower than in the United States. Other countries allow companies to fix their own prices for products but monitor and control company profits. Additional foreign price controls or other changes in pricing regulation could restrict the amount that we are able to charge for our product candidates. Accordingly, in markets outside the United States, the reimbursement for our products may be reduced compared with the United States and may be insufficient to generate commercially reasonable revenue and profits.</w:t>
      </w:r>
      <w:r>
        <w:rPr>
          <w:rFonts w:ascii="Times New Roman" w:hAnsi="Times New Roman"/>
          <w:sz w:val="20"/>
        </w:rPr>
        <w:t xml:space="preserve"> </w:t>
      </w:r>
    </w:p>
    <w:p>
      <w:pPr>
        <w:pStyle w:val="TextBody"/>
        <w:spacing w:lineRule="auto" w:line="273" w:before="240" w:after="0"/>
        <w:jc w:val="left"/>
        <w:rPr>
          <w:rFonts w:ascii="Times New Roman" w:hAnsi="Times New Roman"/>
          <w:sz w:val="20"/>
        </w:rPr>
      </w:pPr>
      <w:r>
        <w:rPr>
          <w:rFonts w:ascii="Times New Roman" w:hAnsi="Times New Roman"/>
          <w:b w:val="false"/>
          <w:sz w:val="20"/>
        </w:rPr>
        <w:t>If we are unable to establish or sustain coverage and adequate reimbursement for any product candidates from third-party payors, the adoption of those products and sales revenue will be adversely affected, which, in turn, could adversely affect the ability to market or sell those product candidates, if approved. Coverage policies and third-party payor reimbursement rates may change at any time. Even if favorable coverage and reimbursement status is attained for one or more products for which we receive regulatory approval, less favorable coverage policies and reimbursement rates may be implemented in the future.</w:t>
      </w:r>
      <w:r>
        <w:rPr>
          <w:rFonts w:ascii="Times New Roman" w:hAnsi="Times New Roman"/>
          <w:sz w:val="20"/>
        </w:rPr>
        <w:t xml:space="preserve"> </w:t>
      </w:r>
    </w:p>
    <w:p>
      <w:pPr>
        <w:pStyle w:val="TextBody"/>
        <w:spacing w:lineRule="auto" w:line="273" w:before="360" w:after="0"/>
        <w:jc w:val="left"/>
        <w:rPr>
          <w:rFonts w:ascii="Times New Roman" w:hAnsi="Times New Roman"/>
          <w:sz w:val="20"/>
        </w:rPr>
      </w:pPr>
      <w:r>
        <w:rPr>
          <w:rFonts w:ascii="Times New Roman" w:hAnsi="Times New Roman"/>
          <w:b/>
          <w:i/>
          <w:sz w:val="20"/>
        </w:rPr>
        <w:t>Our business entails a significant risk of product liability and if we are unable to obtain sufficient insurance coverage such inability could have an adverse effect on our business and financial condition.</w:t>
      </w:r>
      <w:r>
        <w:rPr>
          <w:rFonts w:ascii="Times New Roman" w:hAnsi="Times New Roman"/>
          <w:sz w:val="20"/>
        </w:rPr>
        <w:t xml:space="preserve"> </w:t>
      </w:r>
    </w:p>
    <w:p>
      <w:pPr>
        <w:pStyle w:val="TextBody"/>
        <w:spacing w:lineRule="auto" w:line="273" w:before="120" w:after="0"/>
        <w:jc w:val="left"/>
        <w:rPr>
          <w:rFonts w:ascii="Times New Roman" w:hAnsi="Times New Roman"/>
          <w:sz w:val="20"/>
        </w:rPr>
      </w:pPr>
      <w:r>
        <w:rPr>
          <w:rFonts w:ascii="Times New Roman" w:hAnsi="Times New Roman"/>
          <w:b w:val="false"/>
          <w:sz w:val="20"/>
        </w:rPr>
        <w:t>Our business exposes us to significant product liability risks inherent in the development, testing, manufacturing and marketing of therapeutic treatments. Product liability claims could delay or prevent completion of our development programs. If we succeed in marketing products, such claims could result in an FDA or other regulatory authority investigation of the safety and effectiveness of our products, our manufacturing processes and facilities or our marketing programs. FDA or other regulatory authority investigations could potentially lead to a recall of our products or more serious enforcement action, limitations on the approved indications for which they may be used or suspension or withdrawal of approvals. Regardless of the merits or eventual outcome, liability claims may also result in decreased demand for our products, injury to our reputation, costs to defend the related litigation, a diversion of management’s time and our resources and substantial monetary awards to trial participants or patients. We currently have product liability insurance that we believe is appropriate for our stage of development and may need to obtain higher levels prior to advancing our product candidates into clinical trials or marketing any of our product candidates, if approved. Any insurance we have or may obtain may not provide sufficient coverage against potential liabilities. Furthermore, clinical trial and product liability insurance is becoming increasingly expensive. As a result, we may be unable to obtain sufficient insurance at a reasonable cost to protect us against losses caused by product liability claims that could have an adverse effect on our business and financial condition.</w:t>
      </w:r>
      <w:r>
        <w:rPr>
          <w:rFonts w:ascii="Times New Roman" w:hAnsi="Times New Roman"/>
          <w:sz w:val="20"/>
        </w:rPr>
        <w:t xml:space="preserve"> </w:t>
      </w:r>
    </w:p>
    <w:p>
      <w:pPr>
        <w:pStyle w:val="TextBody"/>
        <w:spacing w:lineRule="auto" w:line="273" w:before="360" w:after="0"/>
        <w:jc w:val="left"/>
        <w:rPr>
          <w:rFonts w:ascii="Times New Roman" w:hAnsi="Times New Roman"/>
          <w:sz w:val="20"/>
        </w:rPr>
      </w:pPr>
      <w:r>
        <w:rPr>
          <w:rFonts w:ascii="Times New Roman" w:hAnsi="Times New Roman"/>
          <w:b/>
          <w:sz w:val="20"/>
        </w:rPr>
        <w:t>Risks related to government regulation</w:t>
      </w:r>
      <w:r>
        <w:rPr>
          <w:rFonts w:ascii="Times New Roman" w:hAnsi="Times New Roman"/>
          <w:sz w:val="20"/>
        </w:rPr>
        <w:t xml:space="preserve"> </w:t>
      </w:r>
    </w:p>
    <w:p>
      <w:pPr>
        <w:pStyle w:val="TextBody"/>
        <w:spacing w:lineRule="auto" w:line="273" w:before="120" w:after="0"/>
        <w:jc w:val="left"/>
        <w:rPr>
          <w:rFonts w:ascii="Times New Roman" w:hAnsi="Times New Roman"/>
          <w:sz w:val="20"/>
        </w:rPr>
      </w:pPr>
      <w:r>
        <w:rPr>
          <w:rFonts w:ascii="Times New Roman" w:hAnsi="Times New Roman"/>
          <w:b/>
          <w:i/>
          <w:sz w:val="20"/>
        </w:rPr>
        <w:t>The development and commercialization of pharmaceutical products are subject to extensive regulation, and we may not obtain regulatory approvals for tovorafenib (DAY101), pimasertib or any future product candidates, on a timely basis or at all.</w:t>
      </w:r>
      <w:r>
        <w:rPr>
          <w:rFonts w:ascii="Times New Roman" w:hAnsi="Times New Roman"/>
          <w:sz w:val="20"/>
        </w:rPr>
        <w:t xml:space="preserve"> </w:t>
      </w:r>
    </w:p>
    <w:p>
      <w:pPr>
        <w:pStyle w:val="TextBody"/>
        <w:spacing w:lineRule="auto" w:line="273" w:before="120" w:after="0"/>
        <w:jc w:val="left"/>
        <w:rPr>
          <w:rFonts w:ascii="Times New Roman" w:hAnsi="Times New Roman"/>
          <w:sz w:val="20"/>
        </w:rPr>
      </w:pPr>
      <w:r>
        <w:rPr>
          <w:rFonts w:ascii="Times New Roman" w:hAnsi="Times New Roman"/>
          <w:b w:val="false"/>
          <w:sz w:val="20"/>
        </w:rPr>
        <w:t>The clinical development, manufacturing, labeling, packaging, storage, recordkeeping, advertising, promotion, export, import, marketing, distribution, adverse event reporting, including the submission of safety and other post-marketing information and reports, and other possible activities relating to tovorafenib (DAY101) and pimasertib, currently our only product candidates in planned or ongoing clinical trials, as well as any other product candidate that we may develop in the future, are subject to extensive regulation. Marketing approval of drugs in the United States requires the submission of an NDA to the FDA, and we are not permitted to market any product candidate in the United States until we obtain approval from the FDA of the NDA for that product. An NDA must be supported by extensive clinical and preclinical data, as well as extensive information regarding pharmacology, chemistry, manufacturing and controls. Our product candidates must be approved by comparable regulatory authorities in other jurisdictions prior to commercialization.</w:t>
      </w:r>
      <w:r>
        <w:rPr>
          <w:rFonts w:ascii="Times New Roman" w:hAnsi="Times New Roman"/>
          <w:sz w:val="20"/>
        </w:rPr>
        <w:t xml:space="preserve"> </w:t>
      </w:r>
    </w:p>
    <w:p>
      <w:pPr>
        <w:pStyle w:val="TextBody"/>
        <w:spacing w:lineRule="auto" w:line="273" w:before="240" w:after="0"/>
        <w:jc w:val="left"/>
        <w:rPr>
          <w:rFonts w:ascii="Times New Roman" w:hAnsi="Times New Roman"/>
          <w:sz w:val="20"/>
        </w:rPr>
      </w:pPr>
      <w:r>
        <w:rPr>
          <w:rFonts w:ascii="Times New Roman" w:hAnsi="Times New Roman"/>
          <w:b w:val="false"/>
          <w:sz w:val="20"/>
        </w:rPr>
        <w:t>FDA approval of an NDA is not guaranteed, and the review and approval process is an expensive and uncertain process that may take several years. Of the large number of drugs in development in the United States, only a small percentage will successfully complete the FDA regulatory approval process and will be commercialized. Accordingly, there can be no assurance that any of our product candidates will receive regulatory approval in the United States, or other jurisdictions.</w:t>
      </w:r>
      <w:r>
        <w:rPr>
          <w:rFonts w:ascii="Times New Roman" w:hAnsi="Times New Roman"/>
          <w:sz w:val="20"/>
        </w:rPr>
        <w:t xml:space="preserve"> </w:t>
      </w:r>
    </w:p>
    <w:p>
      <w:pPr>
        <w:pStyle w:val="TextBody"/>
        <w:spacing w:lineRule="auto" w:line="273" w:before="0" w:after="0"/>
        <w:jc w:val="center"/>
        <w:rPr>
          <w:rFonts w:ascii="Times New Roman" w:hAnsi="Times New Roman"/>
          <w:b w:val="false"/>
          <w:sz w:val="20"/>
        </w:rPr>
      </w:pPr>
      <w:r>
        <w:rPr>
          <w:rFonts w:ascii="Times New Roman" w:hAnsi="Times New Roman"/>
          <w:b w:val="false"/>
          <w:sz w:val="20"/>
        </w:rPr>
        <w:t>46</w:t>
      </w:r>
    </w:p>
    <w:p>
      <w:pPr>
        <w:pStyle w:val="HorizontalLine"/>
        <w:rPr/>
      </w:pPr>
      <w:r>
        <w:rPr/>
      </w:r>
    </w:p>
    <w:p>
      <w:pPr>
        <w:pStyle w:val="TextBody"/>
        <w:spacing w:lineRule="auto" w:line="273" w:before="0" w:after="0"/>
        <w:jc w:val="left"/>
        <w:rPr/>
      </w:pPr>
      <w:r>
        <w:rPr/>
        <w:t> </w:t>
      </w:r>
    </w:p>
    <w:p>
      <w:pPr>
        <w:pStyle w:val="TextBody"/>
        <w:spacing w:lineRule="auto" w:line="273" w:before="240" w:after="0"/>
        <w:jc w:val="left"/>
        <w:rPr>
          <w:rFonts w:ascii="Times New Roman" w:hAnsi="Times New Roman"/>
          <w:sz w:val="20"/>
        </w:rPr>
      </w:pPr>
      <w:r>
        <w:rPr>
          <w:rFonts w:ascii="Times New Roman" w:hAnsi="Times New Roman"/>
          <w:b w:val="false"/>
          <w:sz w:val="20"/>
        </w:rPr>
        <w:t>The FDA also has substantial discretion in the approval process. The number and types of preclinical studies and clinical trials that will be required for NDA approval varies depending on the product candidate, the disease or the condition that the product candidate is designed to treat and the regulations applicable to any particular product candidate. For example, if successful, we believe that the pivotal Phase 2 clinical trial of tovorafenib (DAY101) may be sufficient to support FDA approval of an NDA for tovorafenib (DAY101), but the FDA may disagree with the sufficiency of our data and require additional clinical trials. Additionally, depending upon the results of the Phase 2 clinical trial of tovorafenib (DAY101), we may receive accelerated approval for tovorafenib (DAY101), which would require additional data and potentially a confirmatory trial to validate the clinical benefit of the drug. Despite the time and expense associated with preclinical studies and clinical trials, failure can occur at any stage. The results of preclinical and early clinical trials of tovorafenib (DAY101) or pimasertib or any other product candidate may not be predictive of the results of our later-stage clinical trials. For example, while we may believe certain results in patients, such as stable disease, suggest encouraging clinical activity, stable disease is not considered a response for regulatory purposes in an endpoint assessing objective response rate, or ORR.</w:t>
      </w:r>
      <w:r>
        <w:rPr>
          <w:rFonts w:ascii="Times New Roman" w:hAnsi="Times New Roman"/>
          <w:sz w:val="20"/>
        </w:rPr>
        <w:t xml:space="preserve"> </w:t>
      </w:r>
    </w:p>
    <w:p>
      <w:pPr>
        <w:pStyle w:val="TextBody"/>
        <w:spacing w:lineRule="auto" w:line="273" w:before="240" w:after="0"/>
        <w:jc w:val="left"/>
        <w:rPr>
          <w:rFonts w:ascii="Times New Roman" w:hAnsi="Times New Roman"/>
          <w:sz w:val="20"/>
        </w:rPr>
      </w:pPr>
      <w:r>
        <w:rPr>
          <w:rFonts w:ascii="Times New Roman" w:hAnsi="Times New Roman"/>
          <w:b w:val="false"/>
          <w:sz w:val="20"/>
        </w:rPr>
        <w:t>Clinical trial failure may result from a multitude of factors including flaws in trial design, dose selection, placebo effect, patient enrollment criteria and failure to demonstrate favorable safety or efficacy traits, and failure in clinical trials can occur at any stage. Companies in the pharmaceutical industry frequently suffer setbacks in the advancement of clinical trials due to lack of efficacy or adverse safety profiles, notwithstanding promising results in earlier trials. Based upon negative or inconclusive results, we may decide, or regulators may require us, to conduct additional clinical trials or preclinical studies. In addition, data obtained from clinical trials are susceptible to varying interpretations, and regulators may not interpret our data as favorably as we do, which may further delay, limit or prevent marketing approval. The FDA could delay, limit or deny approval of a product candidate for many reasons, including because the FDA:</w:t>
      </w:r>
      <w:r>
        <w:rPr>
          <w:rFonts w:ascii="Times New Roman" w:hAnsi="Times New Roman"/>
          <w:sz w:val="20"/>
        </w:rPr>
        <w:t xml:space="preserve"> </w:t>
      </w:r>
    </w:p>
    <w:p>
      <w:pPr>
        <w:pStyle w:val="TextBody"/>
        <w:spacing w:lineRule="auto" w:line="273" w:before="120" w:after="0"/>
        <w:jc w:val="left"/>
        <w:rPr/>
      </w:pPr>
      <w:r>
        <w:rPr/>
        <w:t>•</w:t>
      </w:r>
    </w:p>
    <w:p>
      <w:pPr>
        <w:pStyle w:val="TextBody"/>
        <w:spacing w:lineRule="auto" w:line="273" w:before="120" w:after="0"/>
        <w:jc w:val="left"/>
        <w:rPr>
          <w:rFonts w:ascii="Times New Roman" w:hAnsi="Times New Roman"/>
          <w:b w:val="false"/>
          <w:sz w:val="20"/>
        </w:rPr>
      </w:pPr>
      <w:r>
        <w:rPr>
          <w:rFonts w:ascii="Times New Roman" w:hAnsi="Times New Roman"/>
          <w:b w:val="false"/>
          <w:sz w:val="20"/>
        </w:rPr>
        <w:t xml:space="preserve">may not deem our product candidate to be safe and effective; </w:t>
      </w:r>
    </w:p>
    <w:p>
      <w:pPr>
        <w:pStyle w:val="TextBody"/>
        <w:spacing w:lineRule="auto" w:line="273" w:before="120" w:after="0"/>
        <w:jc w:val="left"/>
        <w:rPr/>
      </w:pPr>
      <w:r>
        <w:rPr/>
        <w:t>•</w:t>
      </w:r>
    </w:p>
    <w:p>
      <w:pPr>
        <w:pStyle w:val="TextBody"/>
        <w:spacing w:lineRule="auto" w:line="273" w:before="120" w:after="0"/>
        <w:jc w:val="left"/>
        <w:rPr>
          <w:rFonts w:ascii="Times New Roman" w:hAnsi="Times New Roman"/>
          <w:b w:val="false"/>
          <w:sz w:val="20"/>
        </w:rPr>
      </w:pPr>
      <w:r>
        <w:rPr>
          <w:rFonts w:ascii="Times New Roman" w:hAnsi="Times New Roman"/>
          <w:b w:val="false"/>
          <w:sz w:val="20"/>
        </w:rPr>
        <w:t xml:space="preserve">determines that the product candidate does not have an acceptable benefit-risk profile; </w:t>
      </w:r>
    </w:p>
    <w:p>
      <w:pPr>
        <w:pStyle w:val="TextBody"/>
        <w:spacing w:lineRule="auto" w:line="273" w:before="120" w:after="0"/>
        <w:jc w:val="left"/>
        <w:rPr/>
      </w:pPr>
      <w:r>
        <w:rPr/>
        <w:t>•</w:t>
      </w:r>
    </w:p>
    <w:p>
      <w:pPr>
        <w:pStyle w:val="TextBody"/>
        <w:spacing w:lineRule="auto" w:line="273" w:before="120" w:after="0"/>
        <w:jc w:val="left"/>
        <w:rPr>
          <w:rFonts w:ascii="Times New Roman" w:hAnsi="Times New Roman"/>
          <w:b w:val="false"/>
          <w:sz w:val="20"/>
        </w:rPr>
      </w:pPr>
      <w:r>
        <w:rPr>
          <w:rFonts w:ascii="Times New Roman" w:hAnsi="Times New Roman"/>
          <w:b w:val="false"/>
          <w:sz w:val="20"/>
        </w:rPr>
        <w:t xml:space="preserve">determines in the case of an NDA seeking accelerated approval that the NDA does not provide evidence that the product candidate represents a meaningful advantage over available therapies; </w:t>
      </w:r>
    </w:p>
    <w:p>
      <w:pPr>
        <w:pStyle w:val="TextBody"/>
        <w:spacing w:lineRule="auto" w:line="273" w:before="120" w:after="0"/>
        <w:jc w:val="left"/>
        <w:rPr/>
      </w:pPr>
      <w:r>
        <w:rPr/>
        <w:t>•</w:t>
      </w:r>
    </w:p>
    <w:p>
      <w:pPr>
        <w:pStyle w:val="TextBody"/>
        <w:spacing w:lineRule="auto" w:line="273" w:before="120" w:after="0"/>
        <w:jc w:val="left"/>
        <w:rPr>
          <w:rFonts w:ascii="Times New Roman" w:hAnsi="Times New Roman"/>
          <w:b w:val="false"/>
          <w:sz w:val="20"/>
        </w:rPr>
      </w:pPr>
      <w:r>
        <w:rPr>
          <w:rFonts w:ascii="Times New Roman" w:hAnsi="Times New Roman"/>
          <w:b w:val="false"/>
          <w:sz w:val="20"/>
        </w:rPr>
        <w:t xml:space="preserve">determines that the ORR and duration of response are not clinically meaningful; </w:t>
      </w:r>
    </w:p>
    <w:p>
      <w:pPr>
        <w:pStyle w:val="TextBody"/>
        <w:spacing w:lineRule="auto" w:line="273" w:before="120" w:after="0"/>
        <w:jc w:val="left"/>
        <w:rPr/>
      </w:pPr>
      <w:r>
        <w:rPr/>
        <w:t>•</w:t>
      </w:r>
    </w:p>
    <w:p>
      <w:pPr>
        <w:pStyle w:val="TextBody"/>
        <w:spacing w:lineRule="auto" w:line="273" w:before="120" w:after="0"/>
        <w:jc w:val="left"/>
        <w:rPr>
          <w:rFonts w:ascii="Times New Roman" w:hAnsi="Times New Roman"/>
          <w:b w:val="false"/>
          <w:sz w:val="20"/>
        </w:rPr>
      </w:pPr>
      <w:r>
        <w:rPr>
          <w:rFonts w:ascii="Times New Roman" w:hAnsi="Times New Roman"/>
          <w:b w:val="false"/>
          <w:sz w:val="20"/>
        </w:rPr>
        <w:t xml:space="preserve">may not agree that the data collected from preclinical studies and clinical trials are acceptable or sufficient to support the submission of an NDA or other submission or to obtain regulatory approval, and may impose requirements for additional preclinical studies or clinical trials; </w:t>
      </w:r>
    </w:p>
    <w:p>
      <w:pPr>
        <w:pStyle w:val="TextBody"/>
        <w:spacing w:lineRule="auto" w:line="273" w:before="120" w:after="0"/>
        <w:jc w:val="left"/>
        <w:rPr/>
      </w:pPr>
      <w:r>
        <w:rPr/>
        <w:t>•</w:t>
      </w:r>
    </w:p>
    <w:p>
      <w:pPr>
        <w:pStyle w:val="TextBody"/>
        <w:spacing w:lineRule="auto" w:line="273" w:before="120" w:after="0"/>
        <w:jc w:val="left"/>
        <w:rPr>
          <w:rFonts w:ascii="Times New Roman" w:hAnsi="Times New Roman"/>
          <w:b w:val="false"/>
          <w:sz w:val="20"/>
        </w:rPr>
      </w:pPr>
      <w:r>
        <w:rPr>
          <w:rFonts w:ascii="Times New Roman" w:hAnsi="Times New Roman"/>
          <w:b w:val="false"/>
          <w:sz w:val="20"/>
        </w:rPr>
        <w:t>may determine that adverse events experienced by participants in our clinical trials represent an unacceptable level of risk;</w:t>
      </w:r>
    </w:p>
    <w:p>
      <w:pPr>
        <w:pStyle w:val="TextBody"/>
        <w:spacing w:lineRule="auto" w:line="273" w:before="120" w:after="0"/>
        <w:jc w:val="left"/>
        <w:rPr/>
      </w:pPr>
      <w:r>
        <w:rPr/>
        <w:t>•</w:t>
      </w:r>
    </w:p>
    <w:p>
      <w:pPr>
        <w:pStyle w:val="TextBody"/>
        <w:spacing w:lineRule="auto" w:line="273" w:before="120" w:after="0"/>
        <w:jc w:val="left"/>
        <w:rPr>
          <w:rFonts w:ascii="Times New Roman" w:hAnsi="Times New Roman"/>
          <w:b w:val="false"/>
          <w:sz w:val="20"/>
        </w:rPr>
      </w:pPr>
      <w:r>
        <w:rPr>
          <w:rFonts w:ascii="Times New Roman" w:hAnsi="Times New Roman"/>
          <w:b w:val="false"/>
          <w:sz w:val="20"/>
        </w:rPr>
        <w:t>may determine that the population studied in the clinical trial may not be sufficiently broad or representative to assure safety in the full population for which we seek approval;</w:t>
      </w:r>
    </w:p>
    <w:p>
      <w:pPr>
        <w:pStyle w:val="TextBody"/>
        <w:spacing w:lineRule="auto" w:line="273" w:before="120" w:after="0"/>
        <w:jc w:val="left"/>
        <w:rPr/>
      </w:pPr>
      <w:r>
        <w:rPr/>
        <w:t>•</w:t>
      </w:r>
    </w:p>
    <w:p>
      <w:pPr>
        <w:pStyle w:val="TextBody"/>
        <w:spacing w:lineRule="auto" w:line="273" w:before="120" w:after="0"/>
        <w:jc w:val="left"/>
        <w:rPr>
          <w:rFonts w:ascii="Times New Roman" w:hAnsi="Times New Roman"/>
          <w:b w:val="false"/>
          <w:sz w:val="20"/>
        </w:rPr>
      </w:pPr>
      <w:r>
        <w:rPr>
          <w:rFonts w:ascii="Times New Roman" w:hAnsi="Times New Roman"/>
          <w:b w:val="false"/>
          <w:sz w:val="20"/>
        </w:rPr>
        <w:t xml:space="preserve">may not accept clinical data from trials, which are conducted at clinical facilities or in countries where the standard of care is potentially different from that of the United States; </w:t>
      </w:r>
    </w:p>
    <w:p>
      <w:pPr>
        <w:pStyle w:val="TextBody"/>
        <w:spacing w:lineRule="auto" w:line="273" w:before="120" w:after="0"/>
        <w:jc w:val="left"/>
        <w:rPr/>
      </w:pPr>
      <w:r>
        <w:rPr/>
        <w:t>•</w:t>
      </w:r>
    </w:p>
    <w:p>
      <w:pPr>
        <w:pStyle w:val="TextBody"/>
        <w:spacing w:lineRule="auto" w:line="273" w:before="120" w:after="0"/>
        <w:jc w:val="left"/>
        <w:rPr>
          <w:rFonts w:ascii="Times New Roman" w:hAnsi="Times New Roman"/>
          <w:b w:val="false"/>
          <w:sz w:val="20"/>
        </w:rPr>
      </w:pPr>
      <w:r>
        <w:rPr>
          <w:rFonts w:ascii="Times New Roman" w:hAnsi="Times New Roman"/>
          <w:b w:val="false"/>
          <w:sz w:val="20"/>
        </w:rPr>
        <w:t xml:space="preserve">may disagree regarding the formulation, labeling and/or the specifications; </w:t>
      </w:r>
    </w:p>
    <w:p>
      <w:pPr>
        <w:pStyle w:val="TextBody"/>
        <w:spacing w:lineRule="auto" w:line="273" w:before="120" w:after="0"/>
        <w:jc w:val="left"/>
        <w:rPr/>
      </w:pPr>
      <w:r>
        <w:rPr/>
        <w:t>•</w:t>
      </w:r>
    </w:p>
    <w:p>
      <w:pPr>
        <w:pStyle w:val="TextBody"/>
        <w:spacing w:lineRule="auto" w:line="273" w:before="120" w:after="0"/>
        <w:jc w:val="left"/>
        <w:rPr>
          <w:rFonts w:ascii="Times New Roman" w:hAnsi="Times New Roman"/>
          <w:b w:val="false"/>
          <w:sz w:val="20"/>
        </w:rPr>
      </w:pPr>
      <w:r>
        <w:rPr>
          <w:rFonts w:ascii="Times New Roman" w:hAnsi="Times New Roman"/>
          <w:b w:val="false"/>
          <w:sz w:val="20"/>
        </w:rPr>
        <w:t xml:space="preserve">may not approve the manufacturing processes associated with our product candidate or may determine that a manufacturing facility does not have an acceptable compliance status; </w:t>
      </w:r>
    </w:p>
    <w:p>
      <w:pPr>
        <w:pStyle w:val="TextBody"/>
        <w:spacing w:lineRule="auto" w:line="273" w:before="120" w:after="0"/>
        <w:jc w:val="left"/>
        <w:rPr/>
      </w:pPr>
      <w:r>
        <w:rPr/>
        <w:t>•</w:t>
      </w:r>
    </w:p>
    <w:p>
      <w:pPr>
        <w:pStyle w:val="TextBody"/>
        <w:spacing w:lineRule="auto" w:line="273" w:before="120" w:after="0"/>
        <w:jc w:val="left"/>
        <w:rPr>
          <w:rFonts w:ascii="Times New Roman" w:hAnsi="Times New Roman"/>
          <w:b w:val="false"/>
          <w:sz w:val="20"/>
        </w:rPr>
      </w:pPr>
      <w:r>
        <w:rPr>
          <w:rFonts w:ascii="Times New Roman" w:hAnsi="Times New Roman"/>
          <w:b w:val="false"/>
          <w:sz w:val="20"/>
        </w:rPr>
        <w:t xml:space="preserve">may change approval policies or adopt new regulations; or </w:t>
      </w:r>
    </w:p>
    <w:p>
      <w:pPr>
        <w:pStyle w:val="TextBody"/>
        <w:spacing w:lineRule="auto" w:line="273" w:before="120" w:after="0"/>
        <w:jc w:val="left"/>
        <w:rPr/>
      </w:pPr>
      <w:r>
        <w:rPr/>
        <w:t>•</w:t>
      </w:r>
    </w:p>
    <w:p>
      <w:pPr>
        <w:pStyle w:val="TextBody"/>
        <w:spacing w:lineRule="auto" w:line="273" w:before="120" w:after="283"/>
        <w:jc w:val="left"/>
        <w:rPr>
          <w:rFonts w:ascii="Times New Roman" w:hAnsi="Times New Roman"/>
          <w:b w:val="false"/>
          <w:sz w:val="20"/>
        </w:rPr>
      </w:pPr>
      <w:r>
        <w:rPr>
          <w:rFonts w:ascii="Times New Roman" w:hAnsi="Times New Roman"/>
          <w:b w:val="false"/>
          <w:sz w:val="20"/>
        </w:rPr>
        <w:t xml:space="preserve">may not file a submission due to, among other reasons, the content or formatting of the submission. </w:t>
      </w:r>
    </w:p>
    <w:p>
      <w:pPr>
        <w:pStyle w:val="TextBody"/>
        <w:spacing w:lineRule="auto" w:line="273" w:before="240" w:after="0"/>
        <w:jc w:val="left"/>
        <w:rPr>
          <w:rFonts w:ascii="Times New Roman" w:hAnsi="Times New Roman"/>
          <w:b w:val="false"/>
          <w:sz w:val="20"/>
        </w:rPr>
      </w:pPr>
      <w:r>
        <w:rPr>
          <w:rFonts w:ascii="Times New Roman" w:hAnsi="Times New Roman"/>
          <w:b w:val="false"/>
          <w:sz w:val="20"/>
        </w:rPr>
        <w:t>We have not obtained FDA approval for any product. This lack of experience may impede our ability to obtain FDA approval in a timely manner, if at all, for our clinical product candidates. Furthermore, even if we receive FDA approval, there is no assurance that we will receive similar approval from comparable regulatory authorities in foreign jurisdictions, which may limit our addressable market and could adversely affect our business, prospects, financial condition and results of operations.</w:t>
      </w:r>
    </w:p>
    <w:p>
      <w:pPr>
        <w:pStyle w:val="TextBody"/>
        <w:spacing w:lineRule="auto" w:line="273" w:before="240" w:after="0"/>
        <w:jc w:val="left"/>
        <w:rPr>
          <w:rFonts w:ascii="Times New Roman" w:hAnsi="Times New Roman"/>
          <w:sz w:val="20"/>
        </w:rPr>
      </w:pPr>
      <w:r>
        <w:rPr>
          <w:rFonts w:ascii="Times New Roman" w:hAnsi="Times New Roman"/>
          <w:b w:val="false"/>
          <w:sz w:val="20"/>
        </w:rPr>
        <w:t>If we experience delays in obtaining approval or if we fail to obtain approval of tovorafenib (DAY101) or pimasertib, our commercial prospects will be harmed and our ability to generate revenues will be materially impaired, which would adversely affect our business, prospects, financial condition and results of operations.</w:t>
      </w:r>
      <w:r>
        <w:rPr>
          <w:rFonts w:ascii="Times New Roman" w:hAnsi="Times New Roman"/>
          <w:sz w:val="20"/>
        </w:rPr>
        <w:t xml:space="preserve"> </w:t>
      </w:r>
    </w:p>
    <w:p>
      <w:pPr>
        <w:pStyle w:val="TextBody"/>
        <w:spacing w:lineRule="auto" w:line="273" w:before="270" w:after="0"/>
        <w:jc w:val="left"/>
        <w:rPr/>
      </w:pPr>
      <w:r>
        <w:rPr/>
        <w:t> </w:t>
      </w:r>
    </w:p>
    <w:p>
      <w:pPr>
        <w:pStyle w:val="TextBody"/>
        <w:spacing w:lineRule="auto" w:line="273" w:before="0" w:after="0"/>
        <w:jc w:val="center"/>
        <w:rPr>
          <w:rFonts w:ascii="Times New Roman" w:hAnsi="Times New Roman"/>
          <w:b w:val="false"/>
          <w:sz w:val="20"/>
        </w:rPr>
      </w:pPr>
      <w:r>
        <w:rPr>
          <w:rFonts w:ascii="Times New Roman" w:hAnsi="Times New Roman"/>
          <w:b w:val="false"/>
          <w:sz w:val="20"/>
        </w:rPr>
        <w:t>47</w:t>
      </w:r>
    </w:p>
    <w:p>
      <w:pPr>
        <w:pStyle w:val="HorizontalLine"/>
        <w:rPr/>
      </w:pPr>
      <w:r>
        <w:rPr/>
      </w:r>
    </w:p>
    <w:p>
      <w:pPr>
        <w:pStyle w:val="TextBody"/>
        <w:spacing w:lineRule="auto" w:line="273" w:before="0" w:after="0"/>
        <w:jc w:val="left"/>
        <w:rPr/>
      </w:pPr>
      <w:r>
        <w:rPr/>
        <w:t> </w:t>
      </w:r>
    </w:p>
    <w:p>
      <w:pPr>
        <w:pStyle w:val="TextBody"/>
        <w:spacing w:lineRule="auto" w:line="273" w:before="0" w:after="0"/>
        <w:jc w:val="left"/>
        <w:rPr>
          <w:rFonts w:ascii="Times New Roman" w:hAnsi="Times New Roman"/>
          <w:sz w:val="20"/>
        </w:rPr>
      </w:pPr>
      <w:r>
        <w:rPr>
          <w:rFonts w:ascii="Times New Roman" w:hAnsi="Times New Roman"/>
          <w:b/>
          <w:i/>
          <w:sz w:val="20"/>
        </w:rPr>
        <w:t>The accelerated approval pathway for our product candidates may not lead to a faster development or regulatory review or approval process and does not increase the likelihood that our product candidates will receive marketing approval.</w:t>
      </w:r>
      <w:r>
        <w:rPr>
          <w:rFonts w:ascii="Times New Roman" w:hAnsi="Times New Roman"/>
          <w:sz w:val="20"/>
        </w:rPr>
        <w:t xml:space="preserve"> </w:t>
      </w:r>
    </w:p>
    <w:p>
      <w:pPr>
        <w:pStyle w:val="TextBody"/>
        <w:spacing w:lineRule="auto" w:line="273" w:before="120" w:after="0"/>
        <w:jc w:val="left"/>
        <w:rPr>
          <w:rFonts w:ascii="Times New Roman" w:hAnsi="Times New Roman"/>
          <w:sz w:val="20"/>
        </w:rPr>
      </w:pPr>
      <w:r>
        <w:rPr>
          <w:rFonts w:ascii="Times New Roman" w:hAnsi="Times New Roman"/>
          <w:b w:val="false"/>
          <w:sz w:val="20"/>
        </w:rPr>
        <w:t>Under the FDA’s accelerated approval program, the FDA may approve a drug for a serious or life-threatening illness that provides meaningful therapeutic benefit to patients over existing treatments based upon a surrogate endpoint that is reasonably likely to predict clinical benefit, or on a clinical endpoint that can be measured earlier than irreversible morbidity or mortality, that is reasonably likely to predict an effect on irreversible morbidity or mortality or other clinical benefit, taking into account the severity, rarity, or prevalence of the condition and the availability or lack of alternative treatments. We may seek accelerated approval for one or more of our product candidates on the basis of ORR, a surrogate endpoint that we believe is reasonably likely to predict clinical benefit.</w:t>
      </w:r>
      <w:r>
        <w:rPr>
          <w:rFonts w:ascii="Times New Roman" w:hAnsi="Times New Roman"/>
          <w:sz w:val="20"/>
        </w:rPr>
        <w:t xml:space="preserve"> </w:t>
      </w:r>
    </w:p>
    <w:p>
      <w:pPr>
        <w:pStyle w:val="TextBody"/>
        <w:spacing w:lineRule="auto" w:line="273" w:before="240" w:after="0"/>
        <w:jc w:val="left"/>
        <w:rPr>
          <w:rFonts w:ascii="Times New Roman" w:hAnsi="Times New Roman"/>
          <w:sz w:val="20"/>
        </w:rPr>
      </w:pPr>
      <w:r>
        <w:rPr>
          <w:rFonts w:ascii="Times New Roman" w:hAnsi="Times New Roman"/>
          <w:b w:val="false"/>
          <w:sz w:val="20"/>
        </w:rPr>
        <w:t>For drugs granted accelerated approval, post-marketing confirmatory trials are required to describe the anticipated effect on irreversible morbidity or mortality or other clinical benefit. These confirmatory trials must be completed with due diligence and, in most cases, the FDA may require that the trial be designed, initiated, and/or fully enrolled prior to approval. If any of our competitors were to receive full approval for an indication for which we are seeking accelerated approval before we receive accelerated approval, the indication we are seeking may no longer qualify as a condition for which there is an unmet medical need and accelerated approval of our product candidate would be more difficult or may not occur. Moreover, the FDA may withdraw approval of our product candidate approved under the accelerated approval pathway if, for example:</w:t>
      </w:r>
      <w:r>
        <w:rPr>
          <w:rFonts w:ascii="Times New Roman" w:hAnsi="Times New Roman"/>
          <w:sz w:val="20"/>
        </w:rPr>
        <w:t xml:space="preserve"> </w:t>
      </w:r>
    </w:p>
    <w:p>
      <w:pPr>
        <w:pStyle w:val="TextBody"/>
        <w:spacing w:lineRule="auto" w:line="273" w:before="120" w:after="0"/>
        <w:jc w:val="left"/>
        <w:rPr/>
      </w:pPr>
      <w:r>
        <w:rPr/>
        <w:t>•</w:t>
      </w:r>
    </w:p>
    <w:p>
      <w:pPr>
        <w:pStyle w:val="TextBody"/>
        <w:spacing w:lineRule="auto" w:line="273" w:before="120" w:after="0"/>
        <w:jc w:val="left"/>
        <w:rPr>
          <w:rFonts w:ascii="Times New Roman" w:hAnsi="Times New Roman"/>
          <w:b w:val="false"/>
          <w:sz w:val="20"/>
        </w:rPr>
      </w:pPr>
      <w:r>
        <w:rPr>
          <w:rFonts w:ascii="Times New Roman" w:hAnsi="Times New Roman"/>
          <w:b w:val="false"/>
          <w:sz w:val="20"/>
        </w:rPr>
        <w:t xml:space="preserve">the trial or trials required to verify the predicted clinical benefit of our product candidate fail to verify such benefit or do not demonstrate sufficient clinical benefit to justify the risks associated with the drug; </w:t>
      </w:r>
    </w:p>
    <w:p>
      <w:pPr>
        <w:pStyle w:val="TextBody"/>
        <w:spacing w:lineRule="auto" w:line="273" w:before="120" w:after="0"/>
        <w:jc w:val="left"/>
        <w:rPr/>
      </w:pPr>
      <w:r>
        <w:rPr/>
        <w:t>•</w:t>
      </w:r>
    </w:p>
    <w:p>
      <w:pPr>
        <w:pStyle w:val="TextBody"/>
        <w:spacing w:lineRule="auto" w:line="273" w:before="120" w:after="0"/>
        <w:jc w:val="left"/>
        <w:rPr>
          <w:rFonts w:ascii="Times New Roman" w:hAnsi="Times New Roman"/>
          <w:b w:val="false"/>
          <w:sz w:val="20"/>
        </w:rPr>
      </w:pPr>
      <w:r>
        <w:rPr>
          <w:rFonts w:ascii="Times New Roman" w:hAnsi="Times New Roman"/>
          <w:b w:val="false"/>
          <w:sz w:val="20"/>
        </w:rPr>
        <w:t xml:space="preserve">other evidence demonstrates that our product candidate is not shown to be safe or effective under the conditions of use; </w:t>
      </w:r>
    </w:p>
    <w:p>
      <w:pPr>
        <w:pStyle w:val="TextBody"/>
        <w:spacing w:lineRule="auto" w:line="273" w:before="120" w:after="0"/>
        <w:jc w:val="left"/>
        <w:rPr/>
      </w:pPr>
      <w:r>
        <w:rPr/>
        <w:t>•</w:t>
      </w:r>
    </w:p>
    <w:p>
      <w:pPr>
        <w:pStyle w:val="TextBody"/>
        <w:spacing w:lineRule="auto" w:line="273" w:before="120" w:after="0"/>
        <w:jc w:val="left"/>
        <w:rPr>
          <w:rFonts w:ascii="Times New Roman" w:hAnsi="Times New Roman"/>
          <w:b w:val="false"/>
          <w:sz w:val="20"/>
        </w:rPr>
      </w:pPr>
      <w:r>
        <w:rPr>
          <w:rFonts w:ascii="Times New Roman" w:hAnsi="Times New Roman"/>
          <w:b w:val="false"/>
          <w:sz w:val="20"/>
        </w:rPr>
        <w:t xml:space="preserve">we fail to conduct any required post-approval trial of our product candidate with due diligence; or </w:t>
      </w:r>
    </w:p>
    <w:p>
      <w:pPr>
        <w:pStyle w:val="TextBody"/>
        <w:spacing w:lineRule="auto" w:line="273" w:before="120" w:after="0"/>
        <w:jc w:val="left"/>
        <w:rPr/>
      </w:pPr>
      <w:r>
        <w:rPr/>
        <w:t>•</w:t>
      </w:r>
    </w:p>
    <w:p>
      <w:pPr>
        <w:pStyle w:val="TextBody"/>
        <w:spacing w:lineRule="auto" w:line="273" w:before="120" w:after="283"/>
        <w:jc w:val="left"/>
        <w:rPr>
          <w:rFonts w:ascii="Times New Roman" w:hAnsi="Times New Roman"/>
          <w:b w:val="false"/>
          <w:sz w:val="20"/>
        </w:rPr>
      </w:pPr>
      <w:r>
        <w:rPr>
          <w:rFonts w:ascii="Times New Roman" w:hAnsi="Times New Roman"/>
          <w:b w:val="false"/>
          <w:sz w:val="20"/>
        </w:rPr>
        <w:t xml:space="preserve">we disseminate false or misleading promotional materials relating to the relevant product candidate. </w:t>
      </w:r>
    </w:p>
    <w:p>
      <w:pPr>
        <w:pStyle w:val="TextBody"/>
        <w:spacing w:lineRule="auto" w:line="273" w:before="360" w:after="0"/>
        <w:jc w:val="left"/>
        <w:rPr>
          <w:rFonts w:ascii="Times New Roman" w:hAnsi="Times New Roman"/>
          <w:sz w:val="20"/>
        </w:rPr>
      </w:pPr>
      <w:r>
        <w:rPr>
          <w:rFonts w:ascii="Times New Roman" w:hAnsi="Times New Roman"/>
          <w:b/>
          <w:i/>
          <w:sz w:val="20"/>
        </w:rPr>
        <w:t>Even though we have received Breakthrough Therapy designation by the FDA for tovorafenib (DAY101) in treating pLGG, such designation may not lead to a faster development or regulatory review or approval process, and it does not increase the likelihood that tovorafenib (DAY101) will receive marketing approval.</w:t>
      </w:r>
      <w:r>
        <w:rPr>
          <w:rFonts w:ascii="Times New Roman" w:hAnsi="Times New Roman"/>
          <w:sz w:val="20"/>
        </w:rPr>
        <w:t xml:space="preserve"> </w:t>
      </w:r>
    </w:p>
    <w:p>
      <w:pPr>
        <w:pStyle w:val="TextBody"/>
        <w:spacing w:lineRule="auto" w:line="273" w:before="120" w:after="0"/>
        <w:jc w:val="left"/>
        <w:rPr>
          <w:rFonts w:ascii="Times New Roman" w:hAnsi="Times New Roman"/>
          <w:sz w:val="20"/>
        </w:rPr>
      </w:pPr>
      <w:r>
        <w:rPr>
          <w:rFonts w:ascii="Times New Roman" w:hAnsi="Times New Roman"/>
          <w:b w:val="false"/>
          <w:sz w:val="20"/>
        </w:rPr>
        <w:t>We have received Breakthrough Therapy designation by the FDA for tovorafenib (DAY101) in patients with advanced pLGG. A breakthrough therapy is defined as a drug that is intended, alone or in combination with one or more other drugs, to treat a serious or life-threatening disease or condition, and preliminary clinical evidence indicates that the drug may demonstrate substantial improvement over existing therapies on one or more clinically significant endpoints, such as substantial treatment effects observed early in clinical development. For drugs that have been designated as breakthrough therapies, interaction and communication between the FDA and the sponsor of the trial can help to identify the most efficient path for clinical development while minimizing the number of patients placed in ineffective control regimens. Drugs designated as breakthrough therapies by the FDA are also eligible for priority review if supported by clinical data at the time of the submission of the NDA.</w:t>
      </w:r>
      <w:r>
        <w:rPr>
          <w:rFonts w:ascii="Times New Roman" w:hAnsi="Times New Roman"/>
          <w:sz w:val="20"/>
        </w:rPr>
        <w:t xml:space="preserve"> </w:t>
      </w:r>
    </w:p>
    <w:p>
      <w:pPr>
        <w:pStyle w:val="TextBody"/>
        <w:spacing w:lineRule="auto" w:line="273" w:before="240" w:after="0"/>
        <w:jc w:val="left"/>
        <w:rPr>
          <w:rFonts w:ascii="Times New Roman" w:hAnsi="Times New Roman"/>
          <w:sz w:val="20"/>
        </w:rPr>
      </w:pPr>
      <w:r>
        <w:rPr>
          <w:rFonts w:ascii="Times New Roman" w:hAnsi="Times New Roman"/>
          <w:b w:val="false"/>
          <w:sz w:val="20"/>
        </w:rPr>
        <w:t>Although Breakthrough Therapy designation or access to any other expedited program may expedite the development or approval process, it does not change the standards for approval. Although we obtained Breakthrough Therapy designation for tovorafenib (DAY101) in advanced pLGG, we may not experience faster development timelines or achieve faster review or approval compared to conventional FDA procedures. For example, the time required to identify and resolve issues relating to manufacturing and controls, the acquisition of a sufficient supply of our product for clinical trial purposes or the need to conduct additional nonclinical or clinical studies may delay approval by the FDA, even if the product qualifies for Breakthrough Therapy designation or access to any other expedited program. Access to an expedited program may also be withdrawn by the FDA if it believes that the designation is no longer supported by data from our clinical development program. Additionally, qualification for any expedited review procedure does not ensure that we will ultimately obtain regulatory approval for such product.</w:t>
      </w:r>
      <w:r>
        <w:rPr>
          <w:rFonts w:ascii="Times New Roman" w:hAnsi="Times New Roman"/>
          <w:sz w:val="20"/>
        </w:rPr>
        <w:t xml:space="preserve"> </w:t>
      </w:r>
    </w:p>
    <w:p>
      <w:pPr>
        <w:pStyle w:val="TextBody"/>
        <w:spacing w:lineRule="auto" w:line="273" w:before="360" w:after="0"/>
        <w:jc w:val="left"/>
        <w:rPr>
          <w:rFonts w:ascii="Times New Roman" w:hAnsi="Times New Roman"/>
          <w:sz w:val="20"/>
        </w:rPr>
      </w:pPr>
      <w:r>
        <w:rPr>
          <w:rFonts w:ascii="Times New Roman" w:hAnsi="Times New Roman"/>
          <w:b/>
          <w:i/>
          <w:sz w:val="20"/>
        </w:rPr>
        <w:t>Our failure to obtain marketing approval in foreign jurisdictions would prevent our product candidates from being marketed in those jurisdictions, and any approval we are granted for our product candidates in the United States would not assure approval of product candidates in foreign jurisdictions.</w:t>
      </w:r>
      <w:r>
        <w:rPr>
          <w:rFonts w:ascii="Times New Roman" w:hAnsi="Times New Roman"/>
          <w:sz w:val="20"/>
        </w:rPr>
        <w:t xml:space="preserve"> </w:t>
      </w:r>
    </w:p>
    <w:p>
      <w:pPr>
        <w:pStyle w:val="TextBody"/>
        <w:spacing w:lineRule="auto" w:line="273" w:before="0" w:after="0"/>
        <w:jc w:val="center"/>
        <w:rPr>
          <w:rFonts w:ascii="Times New Roman" w:hAnsi="Times New Roman"/>
          <w:b w:val="false"/>
          <w:sz w:val="20"/>
        </w:rPr>
      </w:pPr>
      <w:r>
        <w:rPr>
          <w:rFonts w:ascii="Times New Roman" w:hAnsi="Times New Roman"/>
          <w:b w:val="false"/>
          <w:sz w:val="20"/>
        </w:rPr>
        <w:t>48</w:t>
      </w:r>
    </w:p>
    <w:p>
      <w:pPr>
        <w:pStyle w:val="HorizontalLine"/>
        <w:rPr/>
      </w:pPr>
      <w:r>
        <w:rPr/>
      </w:r>
    </w:p>
    <w:p>
      <w:pPr>
        <w:pStyle w:val="TextBody"/>
        <w:spacing w:lineRule="auto" w:line="273" w:before="0" w:after="0"/>
        <w:jc w:val="left"/>
        <w:rPr/>
      </w:pPr>
      <w:r>
        <w:rPr/>
        <w:t> </w:t>
      </w:r>
    </w:p>
    <w:p>
      <w:pPr>
        <w:pStyle w:val="TextBody"/>
        <w:spacing w:lineRule="auto" w:line="273" w:before="120" w:after="0"/>
        <w:jc w:val="left"/>
        <w:rPr>
          <w:rFonts w:ascii="Times New Roman" w:hAnsi="Times New Roman"/>
          <w:sz w:val="20"/>
        </w:rPr>
      </w:pPr>
      <w:r>
        <w:rPr>
          <w:rFonts w:ascii="Times New Roman" w:hAnsi="Times New Roman"/>
          <w:b w:val="false"/>
          <w:sz w:val="20"/>
        </w:rPr>
        <w:t>In order to market and sell our products in any jurisdiction outside the United States, we must obtain separate marketing approvals and comply with numerous and varying regulatory requirements. The approval procedure varies among countries and can involve additional testing. The time required to obtain approval may differ substantially from that required to obtain FDA approval. The regulatory approval process outside the United States generally includes all of the risks associated with obtaining FDA approval. In addition, in many countries outside the United States, it is required that the product be approved for reimbursement before the product can be approved for sale in that country. We may not obtain approvals from regulatory authorities outside the United States on a timely basis, if at all. Approval by the FDA does not ensure approval by regulatory authorities in other countries or jurisdictions, and approval by one regulatory authority outside the United States does not ensure approval by regulatory authorities in other countries or jurisdictions or by the FDA. We may not be able to submit for marketing approvals and may not receive necessary approvals to commercialize our products in any market.</w:t>
      </w:r>
      <w:r>
        <w:rPr>
          <w:rFonts w:ascii="Times New Roman" w:hAnsi="Times New Roman"/>
          <w:sz w:val="20"/>
        </w:rPr>
        <w:t xml:space="preserve"> </w:t>
      </w:r>
    </w:p>
    <w:p>
      <w:pPr>
        <w:pStyle w:val="TextBody"/>
        <w:spacing w:lineRule="auto" w:line="273" w:before="360" w:after="0"/>
        <w:jc w:val="left"/>
        <w:rPr>
          <w:rFonts w:ascii="Times New Roman" w:hAnsi="Times New Roman"/>
          <w:sz w:val="20"/>
        </w:rPr>
      </w:pPr>
      <w:r>
        <w:rPr>
          <w:rFonts w:ascii="Times New Roman" w:hAnsi="Times New Roman"/>
          <w:b/>
          <w:i/>
          <w:sz w:val="20"/>
        </w:rPr>
        <w:t>We may not be able to obtain or maintain orphan drug designation or exclusivity for our product candidates.</w:t>
      </w:r>
      <w:r>
        <w:rPr>
          <w:rFonts w:ascii="Times New Roman" w:hAnsi="Times New Roman"/>
          <w:sz w:val="20"/>
        </w:rPr>
        <w:t xml:space="preserve"> </w:t>
      </w:r>
    </w:p>
    <w:p>
      <w:pPr>
        <w:pStyle w:val="TextBody"/>
        <w:spacing w:lineRule="auto" w:line="273" w:before="120" w:after="0"/>
        <w:jc w:val="left"/>
        <w:rPr>
          <w:rFonts w:ascii="Times New Roman" w:hAnsi="Times New Roman"/>
          <w:sz w:val="20"/>
        </w:rPr>
      </w:pPr>
      <w:r>
        <w:rPr>
          <w:rFonts w:ascii="Times New Roman" w:hAnsi="Times New Roman"/>
          <w:b w:val="false"/>
          <w:sz w:val="20"/>
        </w:rPr>
        <w:t>We have obtained orphan drug designation in the United States and in the EU for use of tovorafenib (DAY101) in treating malignant glioma and glioma, respectively. We may seek orphan drug designation for tovorafenib (DAY101) in additional geographies or indications, or for pimasertib or any product candidates we develop in the future. Regulatory authorities in some jurisdictions, including the United States, may designate drugs for relatively small patient populations as “orphan drugs.” Under the Orphan Drug Act, the FDA may designate a drug as an orphan drug if it is intended to treat a rare disease or condition, which is generally defined as a patient population of fewer than 200,000 individuals in the United States, or if the disease or condition affects more than 200,000 individuals in the United States and there is no reasonable expectation that the cost of developing the drug for the type of disease or condition will be recovered from sales of the product in the United States.</w:t>
      </w:r>
      <w:r>
        <w:rPr>
          <w:rFonts w:ascii="Times New Roman" w:hAnsi="Times New Roman"/>
          <w:sz w:val="20"/>
        </w:rPr>
        <w:t xml:space="preserve"> </w:t>
      </w:r>
    </w:p>
    <w:p>
      <w:pPr>
        <w:pStyle w:val="TextBody"/>
        <w:spacing w:lineRule="auto" w:line="273" w:before="240" w:after="0"/>
        <w:jc w:val="left"/>
        <w:rPr>
          <w:rFonts w:ascii="Times New Roman" w:hAnsi="Times New Roman"/>
          <w:sz w:val="20"/>
        </w:rPr>
      </w:pPr>
      <w:r>
        <w:rPr>
          <w:rFonts w:ascii="Times New Roman" w:hAnsi="Times New Roman"/>
          <w:b w:val="false"/>
          <w:sz w:val="20"/>
        </w:rPr>
        <w:t>Generally, if a product with an orphan drug designation subsequently receives the first marketing approval for the indication for which it has such designation, the product is entitled to a period of marketing exclusivity, which precludes the FDA from approving another marketing application for the same drug for the same indication during that time period. The applicable period is seven years in the United States and ten years in the EU. The EU exclusivity period can be reduced to six years if a drug no longer meets the criteria for orphan drug designation or if the drug is sufficiently profitable so that market exclusivity is no longer justified. Orphan drug exclusivity in the United States may be lost if the FDA determines that the request for designation was materially defective or if the manufacturer is unable to assure sufficient quantity of the drug to meet the needs of patients with the rare disease or condition.</w:t>
      </w:r>
      <w:r>
        <w:rPr>
          <w:rFonts w:ascii="Times New Roman" w:hAnsi="Times New Roman"/>
          <w:sz w:val="20"/>
        </w:rPr>
        <w:t xml:space="preserve"> </w:t>
      </w:r>
    </w:p>
    <w:p>
      <w:pPr>
        <w:pStyle w:val="TextBody"/>
        <w:spacing w:lineRule="auto" w:line="273" w:before="240" w:after="0"/>
        <w:jc w:val="left"/>
        <w:rPr>
          <w:rFonts w:ascii="Times New Roman" w:hAnsi="Times New Roman"/>
          <w:sz w:val="20"/>
        </w:rPr>
      </w:pPr>
      <w:r>
        <w:rPr>
          <w:rFonts w:ascii="Times New Roman" w:hAnsi="Times New Roman"/>
          <w:b w:val="false"/>
          <w:sz w:val="20"/>
        </w:rPr>
        <w:t>The FDA may approve a subsequent application to market the same drug for the same indication during the exclusivity period in certain circumstances, such as if the subsequent product demonstrates clinical superiority (i.e., the subsequent product is safer, more effective or makes a major contribution to patient care) over the product with orphan exclusivity. Competitors, however, may receive approval of different products for the same indication for which the orphan product has exclusivity, or obtain approval for the same product but for a different indication than that for which the orphan product has exclusivity. Orphan drug designation also entitles a party to financial incentives, such as opportunities for grant funding towards clinical trial costs, tax advantages and user-fee waivers.</w:t>
      </w:r>
      <w:r>
        <w:rPr>
          <w:rFonts w:ascii="Times New Roman" w:hAnsi="Times New Roman"/>
          <w:sz w:val="20"/>
        </w:rPr>
        <w:t xml:space="preserve"> </w:t>
      </w:r>
    </w:p>
    <w:p>
      <w:pPr>
        <w:pStyle w:val="TextBody"/>
        <w:spacing w:lineRule="auto" w:line="273" w:before="240" w:after="0"/>
        <w:jc w:val="left"/>
        <w:rPr>
          <w:rFonts w:ascii="Times New Roman" w:hAnsi="Times New Roman"/>
          <w:b w:val="false"/>
          <w:sz w:val="20"/>
        </w:rPr>
      </w:pPr>
      <w:r>
        <w:rPr>
          <w:rFonts w:ascii="Times New Roman" w:hAnsi="Times New Roman"/>
          <w:b w:val="false"/>
          <w:sz w:val="20"/>
        </w:rPr>
        <w:t>We cannot assure you that any future application for orphan drug designation with respect to any other product candidate will be granted. If we are unable to obtain orphan drug designation with respect to other product candidates in the United States or other jurisdictions, we will not be eligible to obtain the period of market exclusivity that could result from orphan drug designation or be afforded the financial incentives associated with orphan drug designation.</w:t>
      </w:r>
    </w:p>
    <w:p>
      <w:pPr>
        <w:pStyle w:val="TextBody"/>
        <w:spacing w:lineRule="auto" w:line="273" w:before="240" w:after="0"/>
        <w:jc w:val="left"/>
        <w:rPr>
          <w:rFonts w:ascii="Times New Roman" w:hAnsi="Times New Roman"/>
          <w:sz w:val="20"/>
        </w:rPr>
      </w:pPr>
      <w:r>
        <w:rPr>
          <w:rFonts w:ascii="Times New Roman" w:hAnsi="Times New Roman"/>
          <w:b/>
          <w:i/>
          <w:sz w:val="20"/>
        </w:rPr>
        <w:t>We may seek a rare pediatric disease designation for one or more of our product candidates. Even if we were to obtain approval for our product candidates with the rare pediatric disease designation, the Rare Pediatric Disease Priority Review Voucher program may no longer be in effect at the time of such approval or we might not be able to capture the value of the Rare Pediatric Disease Priority Review Voucher program.</w:t>
      </w:r>
      <w:r>
        <w:rPr>
          <w:rFonts w:ascii="Times New Roman" w:hAnsi="Times New Roman"/>
          <w:sz w:val="20"/>
        </w:rPr>
        <w:t xml:space="preserve"> </w:t>
      </w:r>
    </w:p>
    <w:p>
      <w:pPr>
        <w:pStyle w:val="TextBody"/>
        <w:spacing w:lineRule="auto" w:line="273" w:before="120" w:after="0"/>
        <w:jc w:val="left"/>
        <w:rPr>
          <w:rFonts w:ascii="Times New Roman" w:hAnsi="Times New Roman"/>
          <w:b w:val="false"/>
          <w:sz w:val="20"/>
        </w:rPr>
      </w:pPr>
      <w:r>
        <w:rPr>
          <w:rFonts w:ascii="Times New Roman" w:hAnsi="Times New Roman"/>
          <w:b w:val="false"/>
          <w:sz w:val="20"/>
        </w:rPr>
        <w:t>Tovorafenib (DAY101) was granted rare pediatric designation by the FDA in May 2021 for tovorafenib (DAY101) in the treatment of low-grade gliomas, or LGGs, harboring an activating RAF alteration that disproportionately affects children. We intend to submit the initial tovorafenib (DAY101) NDA as a rare pediatric designation marketing application which may or may not be designated as such by the FDA upon review.</w:t>
      </w:r>
    </w:p>
    <w:p>
      <w:pPr>
        <w:pStyle w:val="TextBody"/>
        <w:spacing w:lineRule="auto" w:line="273" w:before="120" w:after="0"/>
        <w:jc w:val="left"/>
        <w:rPr>
          <w:rFonts w:ascii="Times New Roman" w:hAnsi="Times New Roman"/>
          <w:sz w:val="20"/>
        </w:rPr>
      </w:pPr>
      <w:r>
        <w:rPr>
          <w:rFonts w:ascii="Times New Roman" w:hAnsi="Times New Roman"/>
          <w:b w:val="false"/>
          <w:sz w:val="20"/>
        </w:rPr>
        <w:t>Congress authorized the FDA to award priority review vouchers to sponsors of certain rare pediatric disease product applications that meet the specified criteria. These vouchers are designed to encourage development of new drug and biological products for prevention and treatment of certain rare pediatric diseases.</w:t>
      </w:r>
      <w:r>
        <w:rPr>
          <w:rFonts w:ascii="Times New Roman" w:hAnsi="Times New Roman"/>
          <w:sz w:val="20"/>
        </w:rPr>
        <w:t xml:space="preserve"> </w:t>
      </w:r>
    </w:p>
    <w:p>
      <w:pPr>
        <w:pStyle w:val="TextBody"/>
        <w:spacing w:lineRule="auto" w:line="273" w:before="0" w:after="0"/>
        <w:jc w:val="center"/>
        <w:rPr>
          <w:rFonts w:ascii="Times New Roman" w:hAnsi="Times New Roman"/>
          <w:b w:val="false"/>
          <w:sz w:val="20"/>
        </w:rPr>
      </w:pPr>
      <w:r>
        <w:rPr>
          <w:rFonts w:ascii="Times New Roman" w:hAnsi="Times New Roman"/>
          <w:b w:val="false"/>
          <w:sz w:val="20"/>
        </w:rPr>
        <w:t>49</w:t>
      </w:r>
    </w:p>
    <w:p>
      <w:pPr>
        <w:pStyle w:val="HorizontalLine"/>
        <w:rPr/>
      </w:pPr>
      <w:r>
        <w:rPr/>
      </w:r>
    </w:p>
    <w:p>
      <w:pPr>
        <w:pStyle w:val="TextBody"/>
        <w:spacing w:lineRule="auto" w:line="273" w:before="0" w:after="0"/>
        <w:jc w:val="left"/>
        <w:rPr/>
      </w:pPr>
      <w:r>
        <w:rPr/>
        <w:t> </w:t>
      </w:r>
    </w:p>
    <w:p>
      <w:pPr>
        <w:pStyle w:val="TextBody"/>
        <w:spacing w:lineRule="auto" w:line="273" w:before="240" w:after="0"/>
        <w:jc w:val="left"/>
        <w:rPr>
          <w:rFonts w:ascii="Times New Roman" w:hAnsi="Times New Roman"/>
          <w:sz w:val="20"/>
        </w:rPr>
      </w:pPr>
      <w:r>
        <w:rPr>
          <w:rFonts w:ascii="Times New Roman" w:hAnsi="Times New Roman"/>
          <w:b w:val="false"/>
          <w:sz w:val="20"/>
        </w:rPr>
        <w:t>Specifically, under this program, a sponsor who receives an approval for a drug or biologic for a “rare pediatric disease” may qualify for a voucher that can be redeemed to receive a priority review of a subsequent marketing application for a different product. The sponsor of a rare pediatric disease drug product receiving a priority review voucher may transfer (including by sale) the voucher to another sponsor. The voucher may be further transferred any number of times before the voucher is used, as long as the sponsor making the transfer has not yet submitted the application. Although the voucher can be sold or transferred to third parties, there is no guarantee that we will be able to receive such voucher, or realize any value if we receive and were to sell the voucher.</w:t>
      </w:r>
      <w:r>
        <w:rPr>
          <w:rFonts w:ascii="Times New Roman" w:hAnsi="Times New Roman"/>
          <w:sz w:val="20"/>
        </w:rPr>
        <w:t xml:space="preserve"> </w:t>
      </w:r>
    </w:p>
    <w:p>
      <w:pPr>
        <w:pStyle w:val="TextBody"/>
        <w:spacing w:lineRule="auto" w:line="273" w:before="240" w:after="0"/>
        <w:jc w:val="left"/>
        <w:rPr>
          <w:rFonts w:ascii="Times New Roman" w:hAnsi="Times New Roman"/>
          <w:sz w:val="20"/>
        </w:rPr>
      </w:pPr>
      <w:r>
        <w:rPr>
          <w:rFonts w:ascii="Times New Roman" w:hAnsi="Times New Roman"/>
          <w:b w:val="false"/>
          <w:sz w:val="20"/>
        </w:rPr>
        <w:t>For the purposes of this program, a rare pediatric disease is a (i) serious or life-threatening disease in which the serious or life-threatening manifestations primarily affect individuals aged from birth to 18 years, including age groups often called neonates, infants, children, and adolescents; and (ii) rare disease or condition within the meaning of the Orphan Drug Act. The FDA may determine that an application for one or more of our product candidates does not meet the eligibility criteria for a priority review voucher upon approval.</w:t>
      </w:r>
      <w:r>
        <w:rPr>
          <w:rFonts w:ascii="Times New Roman" w:hAnsi="Times New Roman"/>
          <w:sz w:val="20"/>
        </w:rPr>
        <w:t xml:space="preserve"> </w:t>
      </w:r>
    </w:p>
    <w:p>
      <w:pPr>
        <w:pStyle w:val="TextBody"/>
        <w:spacing w:lineRule="auto" w:line="273" w:before="240" w:after="0"/>
        <w:jc w:val="left"/>
        <w:rPr>
          <w:rFonts w:ascii="Times New Roman" w:hAnsi="Times New Roman"/>
          <w:sz w:val="20"/>
        </w:rPr>
      </w:pPr>
      <w:r>
        <w:rPr>
          <w:rFonts w:ascii="Times New Roman" w:hAnsi="Times New Roman"/>
          <w:b w:val="false"/>
          <w:sz w:val="20"/>
        </w:rPr>
        <w:t>Moreover, while the opportunity to receive a priority review voucher was meant to expire for those companies that had not received a designation by September 30, 2020, the Rare Pediatric Disease Priority Review Voucher program was extended by Congress in December 2020. Under the current statutory sunset provisions, after September 30, 2024, the FDA may only award a voucher for an approved rare pediatric disease product application if the sponsor has rare pediatric disease designation for the drug, and that designation was granted by September 30, 2024. After September 30, 2026, the FDA may not award any rare pediatric disease priority review vouchers.</w:t>
      </w:r>
      <w:r>
        <w:rPr>
          <w:rFonts w:ascii="Times New Roman" w:hAnsi="Times New Roman"/>
          <w:sz w:val="20"/>
        </w:rPr>
        <w:t xml:space="preserve"> </w:t>
      </w:r>
    </w:p>
    <w:p>
      <w:pPr>
        <w:pStyle w:val="TextBody"/>
        <w:spacing w:lineRule="auto" w:line="273" w:before="360" w:after="0"/>
        <w:jc w:val="left"/>
        <w:rPr>
          <w:rFonts w:ascii="Times New Roman" w:hAnsi="Times New Roman"/>
          <w:sz w:val="20"/>
        </w:rPr>
      </w:pPr>
      <w:r>
        <w:rPr>
          <w:rFonts w:ascii="Times New Roman" w:hAnsi="Times New Roman"/>
          <w:b/>
          <w:i/>
          <w:sz w:val="20"/>
        </w:rPr>
        <w:t>If we are unable to successfully develop, validate, obtain regulatory approval of and commercialize companion diagnostic tests for any product candidates that require such tests, or experience significant delays in doing so, we may not realize the full commercial potential of these product candidates.</w:t>
      </w:r>
      <w:r>
        <w:rPr>
          <w:rFonts w:ascii="Times New Roman" w:hAnsi="Times New Roman"/>
          <w:sz w:val="20"/>
        </w:rPr>
        <w:t xml:space="preserve"> </w:t>
      </w:r>
    </w:p>
    <w:p>
      <w:pPr>
        <w:pStyle w:val="TextBody"/>
        <w:spacing w:lineRule="auto" w:line="273" w:before="120" w:after="0"/>
        <w:jc w:val="left"/>
        <w:rPr>
          <w:rFonts w:ascii="Times New Roman" w:hAnsi="Times New Roman"/>
          <w:sz w:val="20"/>
        </w:rPr>
      </w:pPr>
      <w:r>
        <w:rPr>
          <w:rFonts w:ascii="Times New Roman" w:hAnsi="Times New Roman"/>
          <w:b w:val="false"/>
          <w:sz w:val="20"/>
        </w:rPr>
        <w:t>A companion diagnostic is a medical device, often an</w:t>
      </w:r>
      <w:r>
        <w:rPr>
          <w:rFonts w:ascii="Times New Roman" w:hAnsi="Times New Roman"/>
          <w:sz w:val="20"/>
        </w:rPr>
        <w:t xml:space="preserve"> </w:t>
      </w:r>
      <w:r>
        <w:rPr>
          <w:rFonts w:ascii="Times New Roman" w:hAnsi="Times New Roman"/>
          <w:b w:val="false"/>
          <w:i/>
          <w:sz w:val="20"/>
        </w:rPr>
        <w:t>in vitro</w:t>
      </w:r>
      <w:r>
        <w:rPr>
          <w:rFonts w:ascii="Times New Roman" w:hAnsi="Times New Roman"/>
          <w:sz w:val="20"/>
        </w:rPr>
        <w:t xml:space="preserve"> </w:t>
      </w:r>
      <w:r>
        <w:rPr>
          <w:rFonts w:ascii="Times New Roman" w:hAnsi="Times New Roman"/>
          <w:b w:val="false"/>
          <w:sz w:val="20"/>
        </w:rPr>
        <w:t>device, which provides information that is essential for the safe and effective use of a corresponding therapeutic drug product. A companion diagnostic can be used to identify patients who are most likely to benefit from the therapeutic product. In the future, if required to develop a companion diagnostic, we may evaluate opportunities to develop, either by ourselves or with collaborators, companion diagnostic tests for our product candidates for certain indications.</w:t>
      </w:r>
      <w:r>
        <w:rPr>
          <w:rFonts w:ascii="Times New Roman" w:hAnsi="Times New Roman"/>
          <w:sz w:val="20"/>
        </w:rPr>
        <w:t xml:space="preserve"> </w:t>
      </w:r>
    </w:p>
    <w:p>
      <w:pPr>
        <w:pStyle w:val="TextBody"/>
        <w:spacing w:lineRule="auto" w:line="273" w:before="240" w:after="0"/>
        <w:jc w:val="left"/>
        <w:rPr>
          <w:rFonts w:ascii="Times New Roman" w:hAnsi="Times New Roman"/>
          <w:sz w:val="20"/>
        </w:rPr>
      </w:pPr>
      <w:r>
        <w:rPr>
          <w:rFonts w:ascii="Times New Roman" w:hAnsi="Times New Roman"/>
          <w:b w:val="false"/>
          <w:sz w:val="20"/>
        </w:rPr>
        <w:t>A companion diagnostic is generally developed in conjunction with the clinical program for an associated therapeutic product. To date, the FDA has required premarket approval of the vast majority of companion diagnostics for cancer therapies. Generally, when a companion diagnostic is essential to the safe and effective use of a drug product, the FDA requires that the companion diagnostic be approved before or concurrent with approval of the therapeutic product and before a product can be commercialized. The approval of a companion diagnostic as part of the therapeutic product’s labeling limits the use of the therapeutic product to only those patients who express the specific genetic alteration that the companion diagnostic was developed to detect.</w:t>
      </w:r>
      <w:r>
        <w:rPr>
          <w:rFonts w:ascii="Times New Roman" w:hAnsi="Times New Roman"/>
          <w:sz w:val="20"/>
        </w:rPr>
        <w:t xml:space="preserve"> </w:t>
      </w:r>
    </w:p>
    <w:p>
      <w:pPr>
        <w:pStyle w:val="TextBody"/>
        <w:spacing w:lineRule="auto" w:line="273" w:before="240" w:after="0"/>
        <w:jc w:val="left"/>
        <w:rPr>
          <w:rFonts w:ascii="Times New Roman" w:hAnsi="Times New Roman"/>
          <w:sz w:val="20"/>
        </w:rPr>
      </w:pPr>
      <w:r>
        <w:rPr>
          <w:rFonts w:ascii="Times New Roman" w:hAnsi="Times New Roman"/>
          <w:b w:val="false"/>
          <w:sz w:val="20"/>
        </w:rPr>
        <w:t>Development of a companion diagnostic could include additional meetings with regulatory authorities, such as a pre-submission meeting and the requirement to submit an investigational device exemption application. In the case of a companion diagnostic that is designated as “significant risk device,” approval of an investigational device exemption by the FDA and IRB is required before such diagnostic is used in conjunction with the clinical trials for a corresponding product candidate.</w:t>
      </w:r>
      <w:r>
        <w:rPr>
          <w:rFonts w:ascii="Times New Roman" w:hAnsi="Times New Roman"/>
          <w:sz w:val="20"/>
        </w:rPr>
        <w:t xml:space="preserve"> </w:t>
      </w:r>
    </w:p>
    <w:p>
      <w:pPr>
        <w:pStyle w:val="TextBody"/>
        <w:spacing w:lineRule="auto" w:line="273" w:before="0" w:after="0"/>
        <w:jc w:val="center"/>
        <w:rPr>
          <w:rFonts w:ascii="Times New Roman" w:hAnsi="Times New Roman"/>
          <w:b w:val="false"/>
          <w:sz w:val="20"/>
        </w:rPr>
      </w:pPr>
      <w:r>
        <w:rPr>
          <w:rFonts w:ascii="Times New Roman" w:hAnsi="Times New Roman"/>
          <w:b w:val="false"/>
          <w:sz w:val="20"/>
        </w:rPr>
        <w:t>50</w:t>
      </w:r>
    </w:p>
    <w:p>
      <w:pPr>
        <w:pStyle w:val="HorizontalLine"/>
        <w:rPr/>
      </w:pPr>
      <w:r>
        <w:rPr/>
      </w:r>
    </w:p>
    <w:p>
      <w:pPr>
        <w:pStyle w:val="TextBody"/>
        <w:spacing w:lineRule="auto" w:line="273" w:before="0" w:after="0"/>
        <w:jc w:val="left"/>
        <w:rPr/>
      </w:pPr>
      <w:r>
        <w:rPr/>
        <w:t> </w:t>
      </w:r>
    </w:p>
    <w:p>
      <w:pPr>
        <w:pStyle w:val="TextBody"/>
        <w:spacing w:lineRule="auto" w:line="273" w:before="240" w:after="0"/>
        <w:jc w:val="left"/>
        <w:rPr>
          <w:rFonts w:ascii="Times New Roman" w:hAnsi="Times New Roman"/>
          <w:sz w:val="20"/>
        </w:rPr>
      </w:pPr>
      <w:r>
        <w:rPr>
          <w:rFonts w:ascii="Times New Roman" w:hAnsi="Times New Roman"/>
          <w:b w:val="false"/>
          <w:sz w:val="20"/>
        </w:rPr>
        <w:t>To be successful in developing, validating, obtaining approval of and commercializing a companion diagnostic, we or our collaborators will need to address a number of scientific, technical, regulatory and logistical challenges. We have no prior experience with medical device or diagnostic test development. If we choose to develop and seek FDA approval for companion diagnostic tests on our own, we will require additional personnel. We may rely on third parties for the design, development, testing, validation and manufacture of companion diagnostic tests for our therapeutic product candidates that require such tests, the application for and receipt of any required regulatory approvals, and the commercial supply of these companion diagnostics. If these parties are unable to successfully develop companion diagnostics for these therapeutic product candidates, or experience delays in doing so, we may be unable to enroll enough patients for our current and planned clinical trials, the development of these therapeutic product candidates may be adversely affected, these therapeutic product candidates may not obtain marketing approval, and we may not realize the full commercial potential of any of these therapeutics that obtain marketing approval. For any product candidate for which a companion diagnostic is necessary to select patients who may benefit from use of the product candidate, any failure to successfully develop a companion diagnostic may cause or contribute to delayed enrollment of our clinical trials, and may prevent us from initiating a pivotal trial. In addition, the commercial success of any of our product candidates that require a companion diagnostic will be tied to and dependent upon the receipt of required regulatory approvals and the continued ability of such third parties to make the companion diagnostic commercially available to us on reasonable terms in the relevant geographies. There is no guarantee that physicians will adopt any particular companion diagnostic, be willing to understand how to use it, how to obtain reimbursement for it, how to explain it to patients, or dedicate staff to using it. Any failure to do so could materially harm our business, results of operations and financial condition.</w:t>
      </w:r>
      <w:r>
        <w:rPr>
          <w:rFonts w:ascii="Times New Roman" w:hAnsi="Times New Roman"/>
          <w:sz w:val="20"/>
        </w:rPr>
        <w:t xml:space="preserve"> </w:t>
      </w:r>
    </w:p>
    <w:p>
      <w:pPr>
        <w:pStyle w:val="TextBody"/>
        <w:spacing w:lineRule="auto" w:line="273" w:before="360" w:after="0"/>
        <w:jc w:val="left"/>
        <w:rPr>
          <w:rFonts w:ascii="Times New Roman" w:hAnsi="Times New Roman"/>
          <w:sz w:val="20"/>
        </w:rPr>
      </w:pPr>
      <w:r>
        <w:rPr>
          <w:rFonts w:ascii="Times New Roman" w:hAnsi="Times New Roman"/>
          <w:b/>
          <w:i/>
          <w:sz w:val="20"/>
        </w:rPr>
        <w:t>If we decide to pursue a Fast Track Designation by the FDA, it may not lead to a faster development or regulatory review or approval process.</w:t>
      </w:r>
      <w:r>
        <w:rPr>
          <w:rFonts w:ascii="Times New Roman" w:hAnsi="Times New Roman"/>
          <w:sz w:val="20"/>
        </w:rPr>
        <w:t xml:space="preserve"> </w:t>
      </w:r>
    </w:p>
    <w:p>
      <w:pPr>
        <w:pStyle w:val="TextBody"/>
        <w:spacing w:lineRule="auto" w:line="273" w:before="120" w:after="0"/>
        <w:jc w:val="left"/>
        <w:rPr>
          <w:rFonts w:ascii="Times New Roman" w:hAnsi="Times New Roman"/>
          <w:sz w:val="20"/>
        </w:rPr>
      </w:pPr>
      <w:r>
        <w:rPr>
          <w:rFonts w:ascii="Times New Roman" w:hAnsi="Times New Roman"/>
          <w:b w:val="false"/>
          <w:sz w:val="20"/>
        </w:rPr>
        <w:t>We may seek Fast Track Designation for one or more of our product candidates. If a drug is intended for the treatment of a serious or life-threatening condition and the drug demonstrates the potential to address unmet medical needs for this condition, the product sponsor may apply for FDA Fast Track Designation. The FDA has broad discretion whether to grant this designation, so even if we believe a particular product candidate is eligible for this designation, we cannot assure you that the FDA would decide to grant it. Even if we do receive Fast Track Designation, we may not experience a faster development process, review or approval compared to conventional FDA procedures. The FDA may withdraw Fast Track Designation if it believes that the designation is no longer supported by data from our clinical development program.</w:t>
      </w:r>
      <w:r>
        <w:rPr>
          <w:rFonts w:ascii="Times New Roman" w:hAnsi="Times New Roman"/>
          <w:sz w:val="20"/>
        </w:rPr>
        <w:t xml:space="preserve"> </w:t>
      </w:r>
    </w:p>
    <w:p>
      <w:pPr>
        <w:pStyle w:val="TextBody"/>
        <w:spacing w:lineRule="auto" w:line="273" w:before="360" w:after="0"/>
        <w:jc w:val="left"/>
        <w:rPr>
          <w:rFonts w:ascii="Times New Roman" w:hAnsi="Times New Roman"/>
          <w:sz w:val="20"/>
        </w:rPr>
      </w:pPr>
      <w:r>
        <w:rPr>
          <w:rFonts w:ascii="Times New Roman" w:hAnsi="Times New Roman"/>
          <w:b/>
          <w:i/>
          <w:sz w:val="20"/>
        </w:rPr>
        <w:t>Even if we obtain marketing approval for our product candidates, the terms of approvals, ongoing regulation of our products or other post-approval restrictions may limit how we manufacture and market our products and compliance with such requirements may involve substantial resources, which could materially impair our ability to generate revenue.</w:t>
      </w:r>
      <w:r>
        <w:rPr>
          <w:rFonts w:ascii="Times New Roman" w:hAnsi="Times New Roman"/>
          <w:sz w:val="20"/>
        </w:rPr>
        <w:t xml:space="preserve"> </w:t>
      </w:r>
    </w:p>
    <w:p>
      <w:pPr>
        <w:pStyle w:val="TextBody"/>
        <w:spacing w:lineRule="auto" w:line="273" w:before="120" w:after="0"/>
        <w:jc w:val="left"/>
        <w:rPr>
          <w:rFonts w:ascii="Times New Roman" w:hAnsi="Times New Roman"/>
          <w:sz w:val="20"/>
        </w:rPr>
      </w:pPr>
      <w:r>
        <w:rPr>
          <w:rFonts w:ascii="Times New Roman" w:hAnsi="Times New Roman"/>
          <w:b w:val="false"/>
          <w:sz w:val="20"/>
        </w:rPr>
        <w:t>Any product candidates for which we receive accelerated approval from the FDA are required to undergo one or more confirmatory clinical trials. If such a product candidate fails to meet its safety and efficacy endpoints in such confirmatory clinical trials, the regulatory authority may withdraw its conditional approval. There is no assurance that any such product will successfully advance through its confirmatory clinical trial(s). Therefore, even if a product candidate receives accelerated approval from the FDA, such approval may be withdrawn at a later date. Even if marketing approval of a product candidate is granted, an approved product and its manufacturer and marketer, are subject to ongoing review and extensive regulation, which may include the requirement to implement a REMS or to conduct costly post-marketing studies or clinical trials and surveillance to monitor the safety or efficacy of the product.</w:t>
      </w:r>
      <w:r>
        <w:rPr>
          <w:rFonts w:ascii="Times New Roman" w:hAnsi="Times New Roman"/>
          <w:sz w:val="20"/>
        </w:rPr>
        <w:t xml:space="preserve"> </w:t>
      </w:r>
    </w:p>
    <w:p>
      <w:pPr>
        <w:pStyle w:val="TextBody"/>
        <w:spacing w:lineRule="auto" w:line="273" w:before="240" w:after="0"/>
        <w:jc w:val="left"/>
        <w:rPr>
          <w:rFonts w:ascii="Times New Roman" w:hAnsi="Times New Roman"/>
          <w:sz w:val="20"/>
        </w:rPr>
      </w:pPr>
      <w:r>
        <w:rPr>
          <w:rFonts w:ascii="Times New Roman" w:hAnsi="Times New Roman"/>
          <w:b w:val="false"/>
          <w:sz w:val="20"/>
        </w:rPr>
        <w:t>We must also comply with requirements concerning advertising and promotion for any of our product candidates for which we obtain marketing approval. Promotional communications with respect to prescription drugs are subject to a variety of legal and regulatory restrictions and must be consistent with the information in the product’s approved labeling. Thus, we will not be able to promote any products we develop for indications or uses for which they are not approved.</w:t>
      </w:r>
      <w:r>
        <w:rPr>
          <w:rFonts w:ascii="Times New Roman" w:hAnsi="Times New Roman"/>
          <w:sz w:val="20"/>
        </w:rPr>
        <w:t xml:space="preserve"> </w:t>
      </w:r>
    </w:p>
    <w:p>
      <w:pPr>
        <w:pStyle w:val="TextBody"/>
        <w:spacing w:lineRule="auto" w:line="273" w:before="240" w:after="0"/>
        <w:jc w:val="left"/>
        <w:rPr>
          <w:rFonts w:ascii="Times New Roman" w:hAnsi="Times New Roman"/>
          <w:sz w:val="20"/>
        </w:rPr>
      </w:pPr>
      <w:r>
        <w:rPr>
          <w:rFonts w:ascii="Times New Roman" w:hAnsi="Times New Roman"/>
          <w:b w:val="false"/>
          <w:sz w:val="20"/>
        </w:rPr>
        <w:t>In addition, manufacturers of approved products and those manufacturers’ facilities are required to ensure that quality control and manufacturing procedures conform to current good manufacturing practices, or cGMPs, which include requirements relating to quality control and quality assurance as well as the corresponding maintenance of records and documentation and reporting requirements. We and our CMOs could be subject to periodic unannounced inspections by the FDA to monitor and ensure compliance with cGMPs.</w:t>
      </w:r>
      <w:r>
        <w:rPr>
          <w:rFonts w:ascii="Times New Roman" w:hAnsi="Times New Roman"/>
          <w:sz w:val="20"/>
        </w:rPr>
        <w:t xml:space="preserve"> </w:t>
      </w:r>
    </w:p>
    <w:p>
      <w:pPr>
        <w:pStyle w:val="TextBody"/>
        <w:spacing w:lineRule="auto" w:line="273" w:before="0" w:after="0"/>
        <w:jc w:val="left"/>
        <w:rPr>
          <w:rFonts w:ascii="Times New Roman" w:hAnsi="Times New Roman"/>
          <w:sz w:val="20"/>
        </w:rPr>
      </w:pPr>
      <w:r>
        <w:rPr>
          <w:rFonts w:ascii="Times New Roman" w:hAnsi="Times New Roman"/>
          <w:b w:val="false"/>
          <w:sz w:val="20"/>
        </w:rPr>
        <w:t>Accordingly, assuming we obtain marketing approval for one or more of our product candidates, we and our CMOs will continue to expend time, money and effort in all areas of regulatory compliance, including manufacturing, production, product surveillance and quality control. If we are not able to comply with post-approval regulatory requirements, we could have the marketing approvals for our products withdrawn by regulatory authorities and our ability to market any future products could be limited, which could adversely affect our ability to achieve or sustain profitability. As a result, the cost of compliance with post-approval regulations may have a negative effect on our operating results and financial condition.</w:t>
      </w:r>
      <w:r>
        <w:rPr>
          <w:rFonts w:ascii="Times New Roman" w:hAnsi="Times New Roman"/>
          <w:sz w:val="20"/>
        </w:rPr>
        <w:t xml:space="preserve"> </w:t>
      </w:r>
    </w:p>
    <w:p>
      <w:pPr>
        <w:pStyle w:val="TextBody"/>
        <w:spacing w:lineRule="auto" w:line="273" w:before="0" w:after="0"/>
        <w:jc w:val="center"/>
        <w:rPr>
          <w:rFonts w:ascii="Times New Roman" w:hAnsi="Times New Roman"/>
          <w:b w:val="false"/>
          <w:sz w:val="20"/>
        </w:rPr>
      </w:pPr>
      <w:r>
        <w:rPr>
          <w:rFonts w:ascii="Times New Roman" w:hAnsi="Times New Roman"/>
          <w:b w:val="false"/>
          <w:sz w:val="20"/>
        </w:rPr>
        <w:t>51</w:t>
      </w:r>
    </w:p>
    <w:p>
      <w:pPr>
        <w:pStyle w:val="HorizontalLine"/>
        <w:rPr/>
      </w:pPr>
      <w:r>
        <w:rPr/>
      </w:r>
    </w:p>
    <w:p>
      <w:pPr>
        <w:pStyle w:val="TextBody"/>
        <w:spacing w:lineRule="auto" w:line="273" w:before="0" w:after="0"/>
        <w:jc w:val="left"/>
        <w:rPr/>
      </w:pPr>
      <w:r>
        <w:rPr/>
        <w:t> </w:t>
      </w:r>
    </w:p>
    <w:p>
      <w:pPr>
        <w:pStyle w:val="TextBody"/>
        <w:spacing w:lineRule="auto" w:line="273" w:before="360" w:after="0"/>
        <w:jc w:val="left"/>
        <w:rPr>
          <w:rFonts w:ascii="Times New Roman" w:hAnsi="Times New Roman"/>
          <w:sz w:val="20"/>
        </w:rPr>
      </w:pPr>
      <w:r>
        <w:rPr>
          <w:rFonts w:ascii="Times New Roman" w:hAnsi="Times New Roman"/>
          <w:b/>
          <w:i/>
          <w:sz w:val="20"/>
        </w:rPr>
        <w:t>Any product candidate for which we obtain marketing approval will be subject to ongoing enforcement of post-marketing requirements by regulatory agencies, and we could be subject to substantial penalties, including withdrawal of our product from the market, if we fail to comply with all regulatory requirements or if we experience unanticipated problems with our products, when and if any of them are approved.</w:t>
      </w:r>
      <w:r>
        <w:rPr>
          <w:rFonts w:ascii="Times New Roman" w:hAnsi="Times New Roman"/>
          <w:sz w:val="20"/>
        </w:rPr>
        <w:t xml:space="preserve"> </w:t>
      </w:r>
    </w:p>
    <w:p>
      <w:pPr>
        <w:pStyle w:val="TextBody"/>
        <w:spacing w:lineRule="auto" w:line="273" w:before="120" w:after="0"/>
        <w:jc w:val="left"/>
        <w:rPr>
          <w:rFonts w:ascii="Times New Roman" w:hAnsi="Times New Roman"/>
          <w:sz w:val="20"/>
        </w:rPr>
      </w:pPr>
      <w:r>
        <w:rPr>
          <w:rFonts w:ascii="Times New Roman" w:hAnsi="Times New Roman"/>
          <w:b w:val="false"/>
          <w:sz w:val="20"/>
        </w:rPr>
        <w:t>Any product candidate for which we obtain marketing approval, along with the manufacturing processes, post-approval clinical data, labeling, advertising and promotional activities for such product, will be subject to continual requirements of and review by the FDA and other regulatory authorities. These requirements include, but are not limited to, restrictions governing promotion of an approved product, submissions of safety and other post-marketing information and reports, registration and listing requirements, cGMP requirements relating to manufacturing, quality control, quality assurance and corresponding maintenance of records and documents, and requirements regarding drug distribution and the distribution of samples to physicians and recordkeeping.</w:t>
      </w:r>
      <w:r>
        <w:rPr>
          <w:rFonts w:ascii="Times New Roman" w:hAnsi="Times New Roman"/>
          <w:sz w:val="20"/>
        </w:rPr>
        <w:t xml:space="preserve"> </w:t>
      </w:r>
    </w:p>
    <w:p>
      <w:pPr>
        <w:pStyle w:val="TextBody"/>
        <w:spacing w:lineRule="auto" w:line="273" w:before="240" w:after="0"/>
        <w:jc w:val="left"/>
        <w:rPr>
          <w:rFonts w:ascii="Times New Roman" w:hAnsi="Times New Roman"/>
          <w:sz w:val="20"/>
        </w:rPr>
      </w:pPr>
      <w:r>
        <w:rPr>
          <w:rFonts w:ascii="Times New Roman" w:hAnsi="Times New Roman"/>
          <w:b w:val="false"/>
          <w:sz w:val="20"/>
        </w:rPr>
        <w:t>The FDA and other federal and state agencies, including the Department of Justice, closely regulate compliance with all requirements governing prescription drug products, including requirements pertaining to marketing and promotion of drugs in accordance with the provisions of the approved labeling and manufacturing of products in accordance with cGMP requirements. For example, the FDA and other agencies actively enforce the laws and regulations prohibiting the promotion of off-label uses, and a company that is found to have improperly promoted off-label uses may be subject to significant liability. Violations of such requirements may lead to investigations alleging violations of the Federal Food, Drug, and Cosmetic Act, or FDCA, and other statutes, including the False Claims Act and other federal and state healthcare fraud and abuse laws as well as state consumer protection laws. Our failure to comply with all regulatory requirements, and later discovery of previously unknown adverse events or other problems with our products, manufacturers or manufacturing processes, may yield various results, including:</w:t>
      </w:r>
      <w:r>
        <w:rPr>
          <w:rFonts w:ascii="Times New Roman" w:hAnsi="Times New Roman"/>
          <w:sz w:val="20"/>
        </w:rPr>
        <w:t xml:space="preserve"> </w:t>
      </w:r>
    </w:p>
    <w:p>
      <w:pPr>
        <w:pStyle w:val="TextBody"/>
        <w:spacing w:lineRule="auto" w:line="273" w:before="120" w:after="0"/>
        <w:jc w:val="left"/>
        <w:rPr/>
      </w:pPr>
      <w:r>
        <w:rPr/>
        <w:t>•</w:t>
      </w:r>
    </w:p>
    <w:p>
      <w:pPr>
        <w:pStyle w:val="TextBody"/>
        <w:spacing w:lineRule="auto" w:line="273" w:before="120" w:after="0"/>
        <w:jc w:val="left"/>
        <w:rPr>
          <w:rFonts w:ascii="Times New Roman" w:hAnsi="Times New Roman"/>
          <w:b w:val="false"/>
          <w:sz w:val="20"/>
        </w:rPr>
      </w:pPr>
      <w:r>
        <w:rPr>
          <w:rFonts w:ascii="Times New Roman" w:hAnsi="Times New Roman"/>
          <w:b w:val="false"/>
          <w:sz w:val="20"/>
        </w:rPr>
        <w:t xml:space="preserve">litigation involving patients taking our products; </w:t>
      </w:r>
    </w:p>
    <w:p>
      <w:pPr>
        <w:pStyle w:val="TextBody"/>
        <w:spacing w:lineRule="auto" w:line="273" w:before="120" w:after="0"/>
        <w:jc w:val="left"/>
        <w:rPr/>
      </w:pPr>
      <w:r>
        <w:rPr/>
        <w:t>•</w:t>
      </w:r>
    </w:p>
    <w:p>
      <w:pPr>
        <w:pStyle w:val="TextBody"/>
        <w:spacing w:lineRule="auto" w:line="273" w:before="120" w:after="0"/>
        <w:jc w:val="left"/>
        <w:rPr>
          <w:rFonts w:ascii="Times New Roman" w:hAnsi="Times New Roman"/>
          <w:b w:val="false"/>
          <w:sz w:val="20"/>
        </w:rPr>
      </w:pPr>
      <w:r>
        <w:rPr>
          <w:rFonts w:ascii="Times New Roman" w:hAnsi="Times New Roman"/>
          <w:b w:val="false"/>
          <w:sz w:val="20"/>
        </w:rPr>
        <w:t xml:space="preserve">restrictions on such products, manufacturers or manufacturing processes; </w:t>
      </w:r>
    </w:p>
    <w:p>
      <w:pPr>
        <w:pStyle w:val="TextBody"/>
        <w:spacing w:lineRule="auto" w:line="273" w:before="120" w:after="0"/>
        <w:jc w:val="left"/>
        <w:rPr/>
      </w:pPr>
      <w:r>
        <w:rPr/>
        <w:t>•</w:t>
      </w:r>
    </w:p>
    <w:p>
      <w:pPr>
        <w:pStyle w:val="TextBody"/>
        <w:spacing w:lineRule="auto" w:line="273" w:before="120" w:after="0"/>
        <w:jc w:val="left"/>
        <w:rPr>
          <w:rFonts w:ascii="Times New Roman" w:hAnsi="Times New Roman"/>
          <w:b w:val="false"/>
          <w:sz w:val="20"/>
        </w:rPr>
      </w:pPr>
      <w:r>
        <w:rPr>
          <w:rFonts w:ascii="Times New Roman" w:hAnsi="Times New Roman"/>
          <w:b w:val="false"/>
          <w:sz w:val="20"/>
        </w:rPr>
        <w:t xml:space="preserve">restrictions on the labeling or marketing of a product; </w:t>
      </w:r>
    </w:p>
    <w:p>
      <w:pPr>
        <w:pStyle w:val="TextBody"/>
        <w:spacing w:lineRule="auto" w:line="273" w:before="120" w:after="0"/>
        <w:jc w:val="left"/>
        <w:rPr/>
      </w:pPr>
      <w:r>
        <w:rPr/>
        <w:t>•</w:t>
      </w:r>
    </w:p>
    <w:p>
      <w:pPr>
        <w:pStyle w:val="TextBody"/>
        <w:spacing w:lineRule="auto" w:line="273" w:before="120" w:after="0"/>
        <w:jc w:val="left"/>
        <w:rPr>
          <w:rFonts w:ascii="Times New Roman" w:hAnsi="Times New Roman"/>
          <w:b w:val="false"/>
          <w:sz w:val="20"/>
        </w:rPr>
      </w:pPr>
      <w:r>
        <w:rPr>
          <w:rFonts w:ascii="Times New Roman" w:hAnsi="Times New Roman"/>
          <w:b w:val="false"/>
          <w:sz w:val="20"/>
        </w:rPr>
        <w:t xml:space="preserve">restrictions on product distribution or use; </w:t>
      </w:r>
    </w:p>
    <w:p>
      <w:pPr>
        <w:pStyle w:val="TextBody"/>
        <w:spacing w:lineRule="auto" w:line="273" w:before="120" w:after="0"/>
        <w:jc w:val="left"/>
        <w:rPr/>
      </w:pPr>
      <w:r>
        <w:rPr/>
        <w:t>•</w:t>
      </w:r>
    </w:p>
    <w:p>
      <w:pPr>
        <w:pStyle w:val="TextBody"/>
        <w:spacing w:lineRule="auto" w:line="273" w:before="120" w:after="0"/>
        <w:jc w:val="left"/>
        <w:rPr>
          <w:rFonts w:ascii="Times New Roman" w:hAnsi="Times New Roman"/>
          <w:b w:val="false"/>
          <w:sz w:val="20"/>
        </w:rPr>
      </w:pPr>
      <w:r>
        <w:rPr>
          <w:rFonts w:ascii="Times New Roman" w:hAnsi="Times New Roman"/>
          <w:b w:val="false"/>
          <w:sz w:val="20"/>
        </w:rPr>
        <w:t xml:space="preserve">requirements to conduct post-marketing studies or clinical trials; </w:t>
      </w:r>
    </w:p>
    <w:p>
      <w:pPr>
        <w:pStyle w:val="TextBody"/>
        <w:spacing w:lineRule="auto" w:line="273" w:before="120" w:after="0"/>
        <w:jc w:val="left"/>
        <w:rPr/>
      </w:pPr>
      <w:r>
        <w:rPr/>
        <w:t>•</w:t>
      </w:r>
    </w:p>
    <w:p>
      <w:pPr>
        <w:pStyle w:val="TextBody"/>
        <w:spacing w:lineRule="auto" w:line="273" w:before="120" w:after="0"/>
        <w:jc w:val="left"/>
        <w:rPr>
          <w:rFonts w:ascii="Times New Roman" w:hAnsi="Times New Roman"/>
          <w:b w:val="false"/>
          <w:sz w:val="20"/>
        </w:rPr>
      </w:pPr>
      <w:r>
        <w:rPr>
          <w:rFonts w:ascii="Times New Roman" w:hAnsi="Times New Roman"/>
          <w:b w:val="false"/>
          <w:sz w:val="20"/>
        </w:rPr>
        <w:t xml:space="preserve">warning or untitled letters; </w:t>
      </w:r>
    </w:p>
    <w:p>
      <w:pPr>
        <w:pStyle w:val="TextBody"/>
        <w:spacing w:lineRule="auto" w:line="273" w:before="120" w:after="0"/>
        <w:jc w:val="left"/>
        <w:rPr/>
      </w:pPr>
      <w:r>
        <w:rPr/>
        <w:t>•</w:t>
      </w:r>
    </w:p>
    <w:p>
      <w:pPr>
        <w:pStyle w:val="TextBody"/>
        <w:spacing w:lineRule="auto" w:line="273" w:before="120" w:after="0"/>
        <w:jc w:val="left"/>
        <w:rPr>
          <w:rFonts w:ascii="Times New Roman" w:hAnsi="Times New Roman"/>
          <w:b w:val="false"/>
          <w:sz w:val="20"/>
        </w:rPr>
      </w:pPr>
      <w:r>
        <w:rPr>
          <w:rFonts w:ascii="Times New Roman" w:hAnsi="Times New Roman"/>
          <w:b w:val="false"/>
          <w:sz w:val="20"/>
        </w:rPr>
        <w:t xml:space="preserve">withdrawal of the products from the market; </w:t>
      </w:r>
    </w:p>
    <w:p>
      <w:pPr>
        <w:pStyle w:val="TextBody"/>
        <w:spacing w:lineRule="auto" w:line="273" w:before="120" w:after="0"/>
        <w:jc w:val="left"/>
        <w:rPr/>
      </w:pPr>
      <w:r>
        <w:rPr/>
        <w:t>•</w:t>
      </w:r>
    </w:p>
    <w:p>
      <w:pPr>
        <w:pStyle w:val="TextBody"/>
        <w:spacing w:lineRule="auto" w:line="273" w:before="120" w:after="0"/>
        <w:jc w:val="left"/>
        <w:rPr>
          <w:rFonts w:ascii="Times New Roman" w:hAnsi="Times New Roman"/>
          <w:b w:val="false"/>
          <w:sz w:val="20"/>
        </w:rPr>
      </w:pPr>
      <w:r>
        <w:rPr>
          <w:rFonts w:ascii="Times New Roman" w:hAnsi="Times New Roman"/>
          <w:b w:val="false"/>
          <w:sz w:val="20"/>
        </w:rPr>
        <w:t xml:space="preserve">refusal to approve pending applications or supplements to approved applications that we submit; </w:t>
      </w:r>
    </w:p>
    <w:p>
      <w:pPr>
        <w:pStyle w:val="TextBody"/>
        <w:spacing w:lineRule="auto" w:line="273" w:before="120" w:after="0"/>
        <w:jc w:val="left"/>
        <w:rPr/>
      </w:pPr>
      <w:r>
        <w:rPr/>
        <w:t>•</w:t>
      </w:r>
    </w:p>
    <w:p>
      <w:pPr>
        <w:pStyle w:val="TextBody"/>
        <w:spacing w:lineRule="auto" w:line="273" w:before="120" w:after="0"/>
        <w:jc w:val="left"/>
        <w:rPr>
          <w:rFonts w:ascii="Times New Roman" w:hAnsi="Times New Roman"/>
          <w:b w:val="false"/>
          <w:sz w:val="20"/>
        </w:rPr>
      </w:pPr>
      <w:r>
        <w:rPr>
          <w:rFonts w:ascii="Times New Roman" w:hAnsi="Times New Roman"/>
          <w:b w:val="false"/>
          <w:sz w:val="20"/>
        </w:rPr>
        <w:t xml:space="preserve">recall of products; </w:t>
      </w:r>
    </w:p>
    <w:p>
      <w:pPr>
        <w:pStyle w:val="TextBody"/>
        <w:spacing w:lineRule="auto" w:line="273" w:before="120" w:after="0"/>
        <w:jc w:val="left"/>
        <w:rPr/>
      </w:pPr>
      <w:r>
        <w:rPr/>
        <w:t>•</w:t>
      </w:r>
    </w:p>
    <w:p>
      <w:pPr>
        <w:pStyle w:val="TextBody"/>
        <w:spacing w:lineRule="auto" w:line="273" w:before="120" w:after="0"/>
        <w:jc w:val="left"/>
        <w:rPr>
          <w:rFonts w:ascii="Times New Roman" w:hAnsi="Times New Roman"/>
          <w:b w:val="false"/>
          <w:sz w:val="20"/>
        </w:rPr>
      </w:pPr>
      <w:r>
        <w:rPr>
          <w:rFonts w:ascii="Times New Roman" w:hAnsi="Times New Roman"/>
          <w:b w:val="false"/>
          <w:sz w:val="20"/>
        </w:rPr>
        <w:t xml:space="preserve">fines, restitution or disgorgement of profits or revenues; </w:t>
      </w:r>
    </w:p>
    <w:p>
      <w:pPr>
        <w:pStyle w:val="TextBody"/>
        <w:spacing w:lineRule="auto" w:line="273" w:before="120" w:after="0"/>
        <w:jc w:val="left"/>
        <w:rPr/>
      </w:pPr>
      <w:r>
        <w:rPr/>
        <w:t>•</w:t>
      </w:r>
    </w:p>
    <w:p>
      <w:pPr>
        <w:pStyle w:val="TextBody"/>
        <w:spacing w:lineRule="auto" w:line="273" w:before="120" w:after="0"/>
        <w:jc w:val="left"/>
        <w:rPr>
          <w:rFonts w:ascii="Times New Roman" w:hAnsi="Times New Roman"/>
          <w:b w:val="false"/>
          <w:sz w:val="20"/>
        </w:rPr>
      </w:pPr>
      <w:r>
        <w:rPr>
          <w:rFonts w:ascii="Times New Roman" w:hAnsi="Times New Roman"/>
          <w:b w:val="false"/>
          <w:sz w:val="20"/>
        </w:rPr>
        <w:t xml:space="preserve">suspension or withdrawal of marketing approvals; </w:t>
      </w:r>
    </w:p>
    <w:p>
      <w:pPr>
        <w:pStyle w:val="TextBody"/>
        <w:spacing w:lineRule="auto" w:line="273" w:before="120" w:after="0"/>
        <w:jc w:val="left"/>
        <w:rPr/>
      </w:pPr>
      <w:r>
        <w:rPr/>
        <w:t>•</w:t>
      </w:r>
    </w:p>
    <w:p>
      <w:pPr>
        <w:pStyle w:val="TextBody"/>
        <w:spacing w:lineRule="auto" w:line="273" w:before="120" w:after="0"/>
        <w:jc w:val="left"/>
        <w:rPr>
          <w:rFonts w:ascii="Times New Roman" w:hAnsi="Times New Roman"/>
          <w:b w:val="false"/>
          <w:sz w:val="20"/>
        </w:rPr>
      </w:pPr>
      <w:r>
        <w:rPr>
          <w:rFonts w:ascii="Times New Roman" w:hAnsi="Times New Roman"/>
          <w:b w:val="false"/>
          <w:sz w:val="20"/>
        </w:rPr>
        <w:t xml:space="preserve">damage to relationships with any potential collaborators; </w:t>
      </w:r>
    </w:p>
    <w:p>
      <w:pPr>
        <w:pStyle w:val="TextBody"/>
        <w:spacing w:lineRule="auto" w:line="273" w:before="120" w:after="0"/>
        <w:jc w:val="left"/>
        <w:rPr/>
      </w:pPr>
      <w:r>
        <w:rPr/>
        <w:t>•</w:t>
      </w:r>
    </w:p>
    <w:p>
      <w:pPr>
        <w:pStyle w:val="TextBody"/>
        <w:spacing w:lineRule="auto" w:line="273" w:before="120" w:after="0"/>
        <w:jc w:val="left"/>
        <w:rPr>
          <w:rFonts w:ascii="Times New Roman" w:hAnsi="Times New Roman"/>
          <w:b w:val="false"/>
          <w:sz w:val="20"/>
        </w:rPr>
      </w:pPr>
      <w:r>
        <w:rPr>
          <w:rFonts w:ascii="Times New Roman" w:hAnsi="Times New Roman"/>
          <w:b w:val="false"/>
          <w:sz w:val="20"/>
        </w:rPr>
        <w:t xml:space="preserve">unfavorable press coverage and damage to our reputation; </w:t>
      </w:r>
    </w:p>
    <w:p>
      <w:pPr>
        <w:pStyle w:val="TextBody"/>
        <w:spacing w:lineRule="auto" w:line="273" w:before="120" w:after="0"/>
        <w:jc w:val="left"/>
        <w:rPr/>
      </w:pPr>
      <w:r>
        <w:rPr/>
        <w:t>•</w:t>
      </w:r>
    </w:p>
    <w:p>
      <w:pPr>
        <w:pStyle w:val="TextBody"/>
        <w:spacing w:lineRule="auto" w:line="273" w:before="120" w:after="0"/>
        <w:jc w:val="left"/>
        <w:rPr>
          <w:rFonts w:ascii="Times New Roman" w:hAnsi="Times New Roman"/>
          <w:b w:val="false"/>
          <w:sz w:val="20"/>
        </w:rPr>
      </w:pPr>
      <w:r>
        <w:rPr>
          <w:rFonts w:ascii="Times New Roman" w:hAnsi="Times New Roman"/>
          <w:b w:val="false"/>
          <w:sz w:val="20"/>
        </w:rPr>
        <w:t xml:space="preserve">refusal to permit the import or export of our products; </w:t>
      </w:r>
    </w:p>
    <w:p>
      <w:pPr>
        <w:pStyle w:val="TextBody"/>
        <w:spacing w:lineRule="auto" w:line="273" w:before="120" w:after="0"/>
        <w:jc w:val="left"/>
        <w:rPr/>
      </w:pPr>
      <w:r>
        <w:rPr/>
        <w:t>•</w:t>
      </w:r>
    </w:p>
    <w:p>
      <w:pPr>
        <w:pStyle w:val="TextBody"/>
        <w:spacing w:lineRule="auto" w:line="273" w:before="120" w:after="0"/>
        <w:jc w:val="left"/>
        <w:rPr>
          <w:rFonts w:ascii="Times New Roman" w:hAnsi="Times New Roman"/>
          <w:b w:val="false"/>
          <w:sz w:val="20"/>
        </w:rPr>
      </w:pPr>
      <w:r>
        <w:rPr>
          <w:rFonts w:ascii="Times New Roman" w:hAnsi="Times New Roman"/>
          <w:b w:val="false"/>
          <w:sz w:val="20"/>
        </w:rPr>
        <w:t xml:space="preserve">product seizure; or </w:t>
      </w:r>
    </w:p>
    <w:p>
      <w:pPr>
        <w:pStyle w:val="TextBody"/>
        <w:spacing w:lineRule="auto" w:line="273" w:before="120" w:after="0"/>
        <w:jc w:val="left"/>
        <w:rPr/>
      </w:pPr>
      <w:r>
        <w:rPr/>
        <w:t>•</w:t>
      </w:r>
    </w:p>
    <w:p>
      <w:pPr>
        <w:pStyle w:val="TextBody"/>
        <w:spacing w:lineRule="auto" w:line="273" w:before="120" w:after="283"/>
        <w:jc w:val="left"/>
        <w:rPr>
          <w:rFonts w:ascii="Times New Roman" w:hAnsi="Times New Roman"/>
          <w:b w:val="false"/>
          <w:sz w:val="20"/>
        </w:rPr>
      </w:pPr>
      <w:r>
        <w:rPr>
          <w:rFonts w:ascii="Times New Roman" w:hAnsi="Times New Roman"/>
          <w:b w:val="false"/>
          <w:sz w:val="20"/>
        </w:rPr>
        <w:t xml:space="preserve">injunctions or the imposition of civil or criminal penalties. </w:t>
      </w:r>
    </w:p>
    <w:p>
      <w:pPr>
        <w:pStyle w:val="TextBody"/>
        <w:spacing w:lineRule="auto" w:line="273" w:before="240" w:after="0"/>
        <w:jc w:val="left"/>
        <w:rPr>
          <w:rFonts w:ascii="Times New Roman" w:hAnsi="Times New Roman"/>
          <w:sz w:val="20"/>
        </w:rPr>
      </w:pPr>
      <w:r>
        <w:rPr>
          <w:rFonts w:ascii="Times New Roman" w:hAnsi="Times New Roman"/>
          <w:b w:val="false"/>
          <w:sz w:val="20"/>
        </w:rPr>
        <w:t>Non-compliance by us or any future collaborator with regulatory requirements, including safety monitoring or pharmacovigilance, and with requirements related to the development of products for the pediatric population can also result in significant financial penalties.</w:t>
      </w:r>
      <w:r>
        <w:rPr>
          <w:rFonts w:ascii="Times New Roman" w:hAnsi="Times New Roman"/>
          <w:sz w:val="20"/>
        </w:rPr>
        <w:t xml:space="preserve"> </w:t>
      </w:r>
    </w:p>
    <w:p>
      <w:pPr>
        <w:pStyle w:val="TextBody"/>
        <w:spacing w:lineRule="auto" w:line="273" w:before="0" w:after="0"/>
        <w:jc w:val="center"/>
        <w:rPr>
          <w:rFonts w:ascii="Times New Roman" w:hAnsi="Times New Roman"/>
          <w:b w:val="false"/>
          <w:sz w:val="20"/>
        </w:rPr>
      </w:pPr>
      <w:r>
        <w:rPr>
          <w:rFonts w:ascii="Times New Roman" w:hAnsi="Times New Roman"/>
          <w:b w:val="false"/>
          <w:sz w:val="20"/>
        </w:rPr>
        <w:t>52</w:t>
      </w:r>
    </w:p>
    <w:p>
      <w:pPr>
        <w:pStyle w:val="HorizontalLine"/>
        <w:rPr/>
      </w:pPr>
      <w:r>
        <w:rPr/>
      </w:r>
    </w:p>
    <w:p>
      <w:pPr>
        <w:pStyle w:val="TextBody"/>
        <w:spacing w:lineRule="auto" w:line="273" w:before="0" w:after="0"/>
        <w:jc w:val="left"/>
        <w:rPr/>
      </w:pPr>
      <w:r>
        <w:rPr/>
        <w:t> </w:t>
      </w:r>
    </w:p>
    <w:p>
      <w:pPr>
        <w:pStyle w:val="TextBody"/>
        <w:spacing w:lineRule="auto" w:line="273" w:before="360" w:after="0"/>
        <w:jc w:val="left"/>
        <w:rPr>
          <w:rFonts w:ascii="Times New Roman" w:hAnsi="Times New Roman"/>
          <w:sz w:val="20"/>
        </w:rPr>
      </w:pPr>
      <w:r>
        <w:rPr>
          <w:rFonts w:ascii="Times New Roman" w:hAnsi="Times New Roman"/>
          <w:b/>
          <w:i/>
          <w:sz w:val="20"/>
        </w:rPr>
        <w:t>Our current and future relationships with customers and third-party payors may be subject to applicable anti-kickback, fraud and abuse, transparency, health privacy, and other healthcare laws and regulations, which could expose us to significant penalties, including criminal, civil, and administrative penalties, contractual damages, reputational harm and diminished profits and future earnings.</w:t>
      </w:r>
      <w:r>
        <w:rPr>
          <w:rFonts w:ascii="Times New Roman" w:hAnsi="Times New Roman"/>
          <w:sz w:val="20"/>
        </w:rPr>
        <w:t xml:space="preserve"> </w:t>
      </w:r>
    </w:p>
    <w:p>
      <w:pPr>
        <w:pStyle w:val="TextBody"/>
        <w:spacing w:lineRule="auto" w:line="273" w:before="120" w:after="0"/>
        <w:jc w:val="left"/>
        <w:rPr>
          <w:rFonts w:ascii="Times New Roman" w:hAnsi="Times New Roman"/>
          <w:sz w:val="20"/>
        </w:rPr>
      </w:pPr>
      <w:r>
        <w:rPr>
          <w:rFonts w:ascii="Times New Roman" w:hAnsi="Times New Roman"/>
          <w:b w:val="false"/>
          <w:sz w:val="20"/>
        </w:rPr>
        <w:t>Healthcare providers, including physicians, and third-party payors will play a primary role in the recommendation and prescription of any product candidates for which we obtain marketing approval. Our current and future arrangements with healthcare providers, third-party payors and customers may expose us to broadly applicable fraud and abuse and other healthcare laws and regulations that may constrain the business or financial arrangements and relationships through which we research, as well as, market, sell and distribute any products for which we obtain marketing approval. Restrictions under applicable federal and state healthcare laws and regulations that may be applicable to our business include the following:</w:t>
      </w:r>
      <w:r>
        <w:rPr>
          <w:rFonts w:ascii="Times New Roman" w:hAnsi="Times New Roman"/>
          <w:sz w:val="20"/>
        </w:rPr>
        <w:t xml:space="preserve"> </w:t>
      </w:r>
    </w:p>
    <w:p>
      <w:pPr>
        <w:pStyle w:val="TextBody"/>
        <w:spacing w:lineRule="auto" w:line="273" w:before="120" w:after="0"/>
        <w:jc w:val="left"/>
        <w:rPr/>
      </w:pPr>
      <w:r>
        <w:rPr/>
        <w:t>•</w:t>
      </w:r>
    </w:p>
    <w:p>
      <w:pPr>
        <w:pStyle w:val="TextBody"/>
        <w:spacing w:lineRule="auto" w:line="273" w:before="120" w:after="0"/>
        <w:jc w:val="left"/>
        <w:rPr>
          <w:rFonts w:ascii="Times New Roman" w:hAnsi="Times New Roman"/>
          <w:b w:val="false"/>
          <w:sz w:val="20"/>
        </w:rPr>
      </w:pPr>
      <w:r>
        <w:rPr>
          <w:rFonts w:ascii="Times New Roman" w:hAnsi="Times New Roman"/>
          <w:b w:val="false"/>
          <w:sz w:val="20"/>
        </w:rPr>
        <w:t xml:space="preserve">the federal Anti-Kickback Statute prohibits, among other things, persons and entities from knowingly and willfully soliciting, offering, receiving or providing remuneration, directly or indirectly, in cash or in kind, to induce or reward, or in return for, either the referral of an individual for, or the purchase, order or recommendation of, any good or service, for which payment may be made under a federal healthcare program such as Medicare and Medicaid; </w:t>
      </w:r>
    </w:p>
    <w:p>
      <w:pPr>
        <w:pStyle w:val="TextBody"/>
        <w:spacing w:lineRule="auto" w:line="273" w:before="120" w:after="0"/>
        <w:jc w:val="left"/>
        <w:rPr/>
      </w:pPr>
      <w:r>
        <w:rPr/>
        <w:t>•</w:t>
      </w:r>
    </w:p>
    <w:p>
      <w:pPr>
        <w:pStyle w:val="TextBody"/>
        <w:spacing w:lineRule="auto" w:line="273" w:before="120" w:after="0"/>
        <w:jc w:val="left"/>
        <w:rPr>
          <w:rFonts w:ascii="Times New Roman" w:hAnsi="Times New Roman"/>
          <w:b w:val="false"/>
          <w:sz w:val="20"/>
        </w:rPr>
      </w:pPr>
      <w:r>
        <w:rPr>
          <w:rFonts w:ascii="Times New Roman" w:hAnsi="Times New Roman"/>
          <w:b w:val="false"/>
          <w:sz w:val="20"/>
        </w:rPr>
        <w:t xml:space="preserve">the federal civil false claims laws, including the False Claims Act, which can be enforced by civil whistleblower or qui tam actions on behalf of the government, and criminal false claims laws and the civil monetary penalties law, prohibit individuals or entities from, among other things, knowingly presenting, or causing to be presented false or fraudulent claims for payment by a federal government program, or making a false statement or record material to payment of a false claim or avoiding, decreasing or concealing an obligation to pay money to the federal government; </w:t>
      </w:r>
    </w:p>
    <w:p>
      <w:pPr>
        <w:pStyle w:val="TextBody"/>
        <w:spacing w:lineRule="auto" w:line="273" w:before="120" w:after="0"/>
        <w:jc w:val="left"/>
        <w:rPr/>
      </w:pPr>
      <w:r>
        <w:rPr/>
        <w:t>•</w:t>
      </w:r>
    </w:p>
    <w:p>
      <w:pPr>
        <w:pStyle w:val="TextBody"/>
        <w:spacing w:lineRule="auto" w:line="273" w:before="120" w:after="0"/>
        <w:jc w:val="left"/>
        <w:rPr>
          <w:rFonts w:ascii="Times New Roman" w:hAnsi="Times New Roman"/>
          <w:b w:val="false"/>
          <w:sz w:val="20"/>
        </w:rPr>
      </w:pPr>
      <w:r>
        <w:rPr>
          <w:rFonts w:ascii="Times New Roman" w:hAnsi="Times New Roman"/>
          <w:b w:val="false"/>
          <w:sz w:val="20"/>
        </w:rPr>
        <w:t xml:space="preserve">the federal Health Insurance Portability and Accountability Act of 1996, or HIPAA, prohibits, among other things, knowingly and willfully executing, or attempting to execute, a scheme to defraud any healthcare benefit program, regardless of the payor (e.g. public or private), and knowingly and willfully falsifying, concealing or covering up by any trick or device a material fact or making any materially false, fictitious or fraudulent statements in connection with the delivery of, or payment for, healthcare benefits, items or services relating to healthcare matters; </w:t>
      </w:r>
    </w:p>
    <w:p>
      <w:pPr>
        <w:pStyle w:val="TextBody"/>
        <w:spacing w:lineRule="auto" w:line="273" w:before="120" w:after="0"/>
        <w:jc w:val="left"/>
        <w:rPr/>
      </w:pPr>
      <w:r>
        <w:rPr/>
        <w:t>•</w:t>
      </w:r>
    </w:p>
    <w:p>
      <w:pPr>
        <w:pStyle w:val="TextBody"/>
        <w:spacing w:lineRule="auto" w:line="273" w:before="120" w:after="0"/>
        <w:jc w:val="left"/>
        <w:rPr>
          <w:rFonts w:ascii="Times New Roman" w:hAnsi="Times New Roman"/>
          <w:b w:val="false"/>
          <w:sz w:val="20"/>
        </w:rPr>
      </w:pPr>
      <w:r>
        <w:rPr>
          <w:rFonts w:ascii="Times New Roman" w:hAnsi="Times New Roman"/>
          <w:b w:val="false"/>
          <w:sz w:val="20"/>
        </w:rPr>
        <w:t xml:space="preserve">HIPAA, as amended by the Health Information Technology for Economic and Clinical Health Act, or HITECH, and their implementing regulations, imposes requirements on certain covered healthcare providers, health plans, and healthcare clearinghouses as well as their respective business associates and their subcontractors that perform services for them that involve the use, or disclosure of, individually identifiable health information, relating to the privacy, security, and transmission of such individually identifiable health information; </w:t>
      </w:r>
    </w:p>
    <w:p>
      <w:pPr>
        <w:pStyle w:val="TextBody"/>
        <w:spacing w:lineRule="auto" w:line="273" w:before="120" w:after="0"/>
        <w:jc w:val="left"/>
        <w:rPr/>
      </w:pPr>
      <w:r>
        <w:rPr/>
        <w:t>•</w:t>
      </w:r>
    </w:p>
    <w:p>
      <w:pPr>
        <w:pStyle w:val="TextBody"/>
        <w:spacing w:lineRule="auto" w:line="273" w:before="120" w:after="0"/>
        <w:jc w:val="left"/>
        <w:rPr>
          <w:rFonts w:ascii="Times New Roman" w:hAnsi="Times New Roman"/>
          <w:b w:val="false"/>
          <w:sz w:val="20"/>
        </w:rPr>
      </w:pPr>
      <w:r>
        <w:rPr>
          <w:rFonts w:ascii="Times New Roman" w:hAnsi="Times New Roman"/>
          <w:b w:val="false"/>
          <w:sz w:val="20"/>
        </w:rPr>
        <w:t xml:space="preserve">the federal transparency requirements under the Patient Protection and Affordable Care Act, as amended by the Health Care and Education Reconciliation Act of 2010, collectively referred to as the ACA, require certain manufacturers of drugs, devices, biologics and medical supplies to annually report to the Centers for Medicare &amp; Medicaid Services, or CMS, information related to payments and other transfers of value provided to teaching hospitals, as well as ownership and investment interests held by physicians, defined to include doctors, dentists, optometrists, podiatrists and chiropractors, and their immediate family members. Beginning calendar year 2021, manufacturers must collect information regarding payments and transfers of value to physician assistants, nurse practitioners, clinical nurse specialists, anesthesiologist assistants, certified nurse anesthetists and certified nurse-midwives for reporting in the following year. The reported information is made available on a public website; and </w:t>
      </w:r>
    </w:p>
    <w:p>
      <w:pPr>
        <w:pStyle w:val="TextBody"/>
        <w:spacing w:lineRule="auto" w:line="273" w:before="120" w:after="0"/>
        <w:jc w:val="left"/>
        <w:rPr/>
      </w:pPr>
      <w:r>
        <w:rPr/>
        <w:t>•</w:t>
      </w:r>
    </w:p>
    <w:p>
      <w:pPr>
        <w:pStyle w:val="TextBody"/>
        <w:spacing w:lineRule="auto" w:line="273" w:before="120" w:after="283"/>
        <w:jc w:val="left"/>
        <w:rPr>
          <w:rFonts w:ascii="Times New Roman" w:hAnsi="Times New Roman"/>
          <w:b w:val="false"/>
          <w:sz w:val="20"/>
        </w:rPr>
      </w:pPr>
      <w:r>
        <w:rPr>
          <w:rFonts w:ascii="Times New Roman" w:hAnsi="Times New Roman"/>
          <w:b w:val="false"/>
          <w:sz w:val="20"/>
        </w:rPr>
        <w:t xml:space="preserve">analogous state laws and regulations such as state anti-kickback and false claims laws and analogous non-U.S. fraud and abuse laws and regulations, may apply to sales or marketing arrangements and claims involving healthcare items or services reimbursed by non-governmental third-party payors, including private insurers. Some state laws require pharmaceutical companies to comply with the pharmaceutical industry’s voluntary compliance guidelines and the relevant compliance regulations promulgated by the federal government and may require drug manufacturers to report information related to payments and other transfers of value to physicians and other healthcare providers, marketing expenditures, or drug pricing, including price increases. State and local laws require the registration of pharmaceutical sales representatives. State and non-U.S. laws that also govern the privacy and security of health information in some circumstances, many of which differ from each other in significant ways and often are not preempted by HIPAA, thus complicating compliance efforts. </w:t>
      </w:r>
    </w:p>
    <w:p>
      <w:pPr>
        <w:pStyle w:val="TextBody"/>
        <w:spacing w:lineRule="auto" w:line="273" w:before="0" w:after="0"/>
        <w:jc w:val="center"/>
        <w:rPr>
          <w:rFonts w:ascii="Times New Roman" w:hAnsi="Times New Roman"/>
          <w:b w:val="false"/>
          <w:sz w:val="20"/>
        </w:rPr>
      </w:pPr>
      <w:r>
        <w:rPr>
          <w:rFonts w:ascii="Times New Roman" w:hAnsi="Times New Roman"/>
          <w:b w:val="false"/>
          <w:sz w:val="20"/>
        </w:rPr>
        <w:t>53</w:t>
      </w:r>
    </w:p>
    <w:p>
      <w:pPr>
        <w:pStyle w:val="HorizontalLine"/>
        <w:rPr/>
      </w:pPr>
      <w:r>
        <w:rPr/>
      </w:r>
    </w:p>
    <w:p>
      <w:pPr>
        <w:pStyle w:val="TextBody"/>
        <w:spacing w:lineRule="auto" w:line="273" w:before="0" w:after="0"/>
        <w:jc w:val="left"/>
        <w:rPr/>
      </w:pPr>
      <w:r>
        <w:rPr/>
        <w:t> </w:t>
      </w:r>
    </w:p>
    <w:p>
      <w:pPr>
        <w:pStyle w:val="TextBody"/>
        <w:spacing w:lineRule="auto" w:line="273" w:before="240" w:after="0"/>
        <w:jc w:val="left"/>
        <w:rPr>
          <w:rFonts w:ascii="Times New Roman" w:hAnsi="Times New Roman"/>
          <w:sz w:val="20"/>
        </w:rPr>
      </w:pPr>
      <w:r>
        <w:rPr>
          <w:rFonts w:ascii="Times New Roman" w:hAnsi="Times New Roman"/>
          <w:b w:val="false"/>
          <w:sz w:val="20"/>
        </w:rPr>
        <w:t>Efforts to ensure that our internal business processes and business arrangements with third parties will comply with applicable healthcare laws and regulations will involve substantial costs. It is possible that governmental authorities will conclude that our business practices may not comply with current or future statutes, regulations or case law involving applicable fraud and abuse or other healthcare laws and regulations. If our operations are found to be in violation of any of these laws or any other governmental regulations that may apply to us, we may be subject to significant civil, criminal and administrative penalties, damages, fines, disgorgement, imprisonment, exclusion from government funded healthcare programs, such as Medicare and Medicaid and other federal healthcare programs, contractual damages, reputational harm, diminished profits and future earnings, additional integrity reporting and oversight obligations, and the curtailment or restructuring of our operations, any of which could adversely affect our ability to operate our business and our results of operations. If any of the physicians or other healthcare providers or entities with whom we expect to do business is found to be not in compliance with applicable laws, they may be subject to significant criminal, civil and administrative sanctions, including exclusions from government funded healthcare programs, which could have a material adverse effect on our business, results of operations, financial condition and prospects.</w:t>
      </w:r>
      <w:r>
        <w:rPr>
          <w:rFonts w:ascii="Times New Roman" w:hAnsi="Times New Roman"/>
          <w:sz w:val="20"/>
        </w:rPr>
        <w:t xml:space="preserve"> </w:t>
      </w:r>
    </w:p>
    <w:p>
      <w:pPr>
        <w:pStyle w:val="TextBody"/>
        <w:spacing w:lineRule="auto" w:line="273" w:before="360" w:after="0"/>
        <w:jc w:val="left"/>
        <w:rPr>
          <w:rFonts w:ascii="Times New Roman" w:hAnsi="Times New Roman"/>
          <w:sz w:val="20"/>
        </w:rPr>
      </w:pPr>
      <w:r>
        <w:rPr>
          <w:rFonts w:ascii="Times New Roman" w:hAnsi="Times New Roman"/>
          <w:b/>
          <w:i/>
          <w:sz w:val="20"/>
        </w:rPr>
        <w:t>Recently enacted and future legislation may increase the difficulty and cost for us to obtain marketing approval of and commercialize our product candidates and decrease the prices we may obtain.</w:t>
      </w:r>
      <w:r>
        <w:rPr>
          <w:rFonts w:ascii="Times New Roman" w:hAnsi="Times New Roman"/>
          <w:sz w:val="20"/>
        </w:rPr>
        <w:t xml:space="preserve"> </w:t>
      </w:r>
    </w:p>
    <w:p>
      <w:pPr>
        <w:pStyle w:val="TextBody"/>
        <w:spacing w:lineRule="auto" w:line="273" w:before="120" w:after="0"/>
        <w:jc w:val="left"/>
        <w:rPr>
          <w:rFonts w:ascii="Times New Roman" w:hAnsi="Times New Roman"/>
          <w:sz w:val="20"/>
        </w:rPr>
      </w:pPr>
      <w:r>
        <w:rPr>
          <w:rFonts w:ascii="Times New Roman" w:hAnsi="Times New Roman"/>
          <w:b w:val="false"/>
          <w:sz w:val="20"/>
        </w:rPr>
        <w:t>In the United States and some foreign jurisdictions, there have been a number of legislative and regulatory changes and proposed changes regarding the healthcare system that could prevent or delay marketing approval of our product candidates, restrict or regulate post-approval activities and affect our ability to profitably sell any product candidates for which we obtain marketing approval.</w:t>
      </w:r>
      <w:r>
        <w:rPr>
          <w:rFonts w:ascii="Times New Roman" w:hAnsi="Times New Roman"/>
          <w:sz w:val="20"/>
        </w:rPr>
        <w:t xml:space="preserve"> </w:t>
      </w:r>
    </w:p>
    <w:p>
      <w:pPr>
        <w:pStyle w:val="TextBody"/>
        <w:spacing w:lineRule="auto" w:line="273" w:before="240" w:after="0"/>
        <w:jc w:val="left"/>
        <w:rPr>
          <w:rFonts w:ascii="Times New Roman" w:hAnsi="Times New Roman"/>
          <w:sz w:val="20"/>
        </w:rPr>
      </w:pPr>
      <w:r>
        <w:rPr>
          <w:rFonts w:ascii="Times New Roman" w:hAnsi="Times New Roman"/>
          <w:b w:val="false"/>
          <w:sz w:val="20"/>
        </w:rPr>
        <w:t>For example, in March 2010, the ACA was signed into law. The ACA is a sweeping law intended to broaden access to health insurance, reduce or constrain the growth of healthcare spending, enhance remedies against fraud and abuse, add new transparency requirements for the healthcare and health insurance industries, impose new taxes and fees on the health industry and impose additional health policy reforms.</w:t>
      </w:r>
      <w:r>
        <w:rPr>
          <w:rFonts w:ascii="Times New Roman" w:hAnsi="Times New Roman"/>
          <w:sz w:val="20"/>
        </w:rPr>
        <w:t xml:space="preserve"> </w:t>
      </w:r>
    </w:p>
    <w:p>
      <w:pPr>
        <w:pStyle w:val="TextBody"/>
        <w:spacing w:lineRule="auto" w:line="273" w:before="240" w:after="0"/>
        <w:jc w:val="left"/>
        <w:rPr>
          <w:rFonts w:ascii="Times New Roman" w:hAnsi="Times New Roman"/>
          <w:sz w:val="20"/>
        </w:rPr>
      </w:pPr>
      <w:r>
        <w:rPr>
          <w:rFonts w:ascii="Times New Roman" w:hAnsi="Times New Roman"/>
          <w:b w:val="false"/>
          <w:sz w:val="20"/>
        </w:rPr>
        <w:t>Among the provisions of the ACA of importance to our potential product candidates are the following:</w:t>
      </w:r>
      <w:r>
        <w:rPr>
          <w:rFonts w:ascii="Times New Roman" w:hAnsi="Times New Roman"/>
          <w:sz w:val="20"/>
        </w:rPr>
        <w:t xml:space="preserve"> </w:t>
      </w:r>
    </w:p>
    <w:p>
      <w:pPr>
        <w:pStyle w:val="TextBody"/>
        <w:spacing w:lineRule="auto" w:line="273" w:before="120" w:after="0"/>
        <w:jc w:val="left"/>
        <w:rPr/>
      </w:pPr>
      <w:r>
        <w:rPr/>
        <w:t>•</w:t>
      </w:r>
    </w:p>
    <w:p>
      <w:pPr>
        <w:pStyle w:val="TextBody"/>
        <w:spacing w:lineRule="auto" w:line="273" w:before="120" w:after="0"/>
        <w:jc w:val="left"/>
        <w:rPr>
          <w:rFonts w:ascii="Times New Roman" w:hAnsi="Times New Roman"/>
          <w:b w:val="false"/>
          <w:sz w:val="20"/>
        </w:rPr>
      </w:pPr>
      <w:r>
        <w:rPr>
          <w:rFonts w:ascii="Times New Roman" w:hAnsi="Times New Roman"/>
          <w:b w:val="false"/>
          <w:sz w:val="20"/>
        </w:rPr>
        <w:t xml:space="preserve">annual fees and taxes on manufacturers of certain branded prescription drugs; </w:t>
      </w:r>
    </w:p>
    <w:p>
      <w:pPr>
        <w:pStyle w:val="TextBody"/>
        <w:spacing w:lineRule="auto" w:line="273" w:before="120" w:after="0"/>
        <w:jc w:val="left"/>
        <w:rPr/>
      </w:pPr>
      <w:r>
        <w:rPr/>
        <w:t>•</w:t>
      </w:r>
    </w:p>
    <w:p>
      <w:pPr>
        <w:pStyle w:val="TextBody"/>
        <w:spacing w:lineRule="auto" w:line="273" w:before="120" w:after="0"/>
        <w:jc w:val="left"/>
        <w:rPr>
          <w:rFonts w:ascii="Times New Roman" w:hAnsi="Times New Roman"/>
          <w:b w:val="false"/>
          <w:sz w:val="20"/>
        </w:rPr>
      </w:pPr>
      <w:r>
        <w:rPr>
          <w:rFonts w:ascii="Times New Roman" w:hAnsi="Times New Roman"/>
          <w:b w:val="false"/>
          <w:sz w:val="20"/>
        </w:rPr>
        <w:t xml:space="preserve">an annual, nondeductible fee on any entity that manufactures or imports specified branded prescription drugs and biologic products; </w:t>
      </w:r>
    </w:p>
    <w:p>
      <w:pPr>
        <w:pStyle w:val="TextBody"/>
        <w:spacing w:lineRule="auto" w:line="273" w:before="120" w:after="0"/>
        <w:jc w:val="left"/>
        <w:rPr/>
      </w:pPr>
      <w:r>
        <w:rPr/>
        <w:t>•</w:t>
      </w:r>
    </w:p>
    <w:p>
      <w:pPr>
        <w:pStyle w:val="TextBody"/>
        <w:spacing w:lineRule="auto" w:line="273" w:before="120" w:after="0"/>
        <w:jc w:val="left"/>
        <w:rPr>
          <w:rFonts w:ascii="Times New Roman" w:hAnsi="Times New Roman"/>
          <w:b w:val="false"/>
          <w:sz w:val="20"/>
        </w:rPr>
      </w:pPr>
      <w:r>
        <w:rPr>
          <w:rFonts w:ascii="Times New Roman" w:hAnsi="Times New Roman"/>
          <w:b w:val="false"/>
          <w:sz w:val="20"/>
        </w:rPr>
        <w:t xml:space="preserve">a Medicare Part D coverage gap discount program, in which manufacturers must now agree to offer 70% point-of-sale discounts off negotiated prices of applicable brand drugs to eligible beneficiaries during their coverage gap period, as a condition for the manufacturer’s outpatient drugs to be covered under Medicare Part D; </w:t>
      </w:r>
    </w:p>
    <w:p>
      <w:pPr>
        <w:pStyle w:val="TextBody"/>
        <w:spacing w:lineRule="auto" w:line="273" w:before="120" w:after="0"/>
        <w:jc w:val="left"/>
        <w:rPr/>
      </w:pPr>
      <w:r>
        <w:rPr/>
        <w:t>•</w:t>
      </w:r>
    </w:p>
    <w:p>
      <w:pPr>
        <w:pStyle w:val="TextBody"/>
        <w:spacing w:lineRule="auto" w:line="273" w:before="120" w:after="0"/>
        <w:jc w:val="left"/>
        <w:rPr>
          <w:rFonts w:ascii="Times New Roman" w:hAnsi="Times New Roman"/>
          <w:b w:val="false"/>
          <w:sz w:val="20"/>
        </w:rPr>
      </w:pPr>
      <w:r>
        <w:rPr>
          <w:rFonts w:ascii="Times New Roman" w:hAnsi="Times New Roman"/>
          <w:b w:val="false"/>
          <w:sz w:val="20"/>
        </w:rPr>
        <w:t xml:space="preserve">a new methodology by which rebates owed by manufacturers under the Medicaid Drug Rebate Program are calculated for drugs that are inhaled, infused, instilled, implanted or injected; </w:t>
      </w:r>
    </w:p>
    <w:p>
      <w:pPr>
        <w:pStyle w:val="TextBody"/>
        <w:spacing w:lineRule="auto" w:line="273" w:before="120" w:after="0"/>
        <w:jc w:val="left"/>
        <w:rPr/>
      </w:pPr>
      <w:r>
        <w:rPr/>
        <w:t>•</w:t>
      </w:r>
    </w:p>
    <w:p>
      <w:pPr>
        <w:pStyle w:val="TextBody"/>
        <w:spacing w:lineRule="auto" w:line="273" w:before="120" w:after="0"/>
        <w:jc w:val="left"/>
        <w:rPr>
          <w:rFonts w:ascii="Times New Roman" w:hAnsi="Times New Roman"/>
          <w:b w:val="false"/>
          <w:sz w:val="20"/>
        </w:rPr>
      </w:pPr>
      <w:r>
        <w:rPr>
          <w:rFonts w:ascii="Times New Roman" w:hAnsi="Times New Roman"/>
          <w:b w:val="false"/>
          <w:sz w:val="20"/>
        </w:rPr>
        <w:t xml:space="preserve">an increase in the statutory minimum rebates a manufacturer must pay under the Medicaid Drug Rebate Program and extended the rebate program to individuals enrolled in Medicaid managed care organizations; </w:t>
      </w:r>
    </w:p>
    <w:p>
      <w:pPr>
        <w:pStyle w:val="TextBody"/>
        <w:spacing w:lineRule="auto" w:line="273" w:before="120" w:after="0"/>
        <w:jc w:val="left"/>
        <w:rPr/>
      </w:pPr>
      <w:r>
        <w:rPr/>
        <w:t>•</w:t>
      </w:r>
    </w:p>
    <w:p>
      <w:pPr>
        <w:pStyle w:val="TextBody"/>
        <w:spacing w:lineRule="auto" w:line="273" w:before="120" w:after="0"/>
        <w:jc w:val="left"/>
        <w:rPr>
          <w:rFonts w:ascii="Times New Roman" w:hAnsi="Times New Roman"/>
          <w:b w:val="false"/>
          <w:sz w:val="20"/>
        </w:rPr>
      </w:pPr>
      <w:r>
        <w:rPr>
          <w:rFonts w:ascii="Times New Roman" w:hAnsi="Times New Roman"/>
          <w:b w:val="false"/>
          <w:sz w:val="20"/>
        </w:rPr>
        <w:t xml:space="preserve">expansion of healthcare fraud and abuse laws, including the False Claims Act and the federal Anti-Kickback Statute, new government investigative powers, and enhanced penalties for noncompliance; </w:t>
      </w:r>
    </w:p>
    <w:p>
      <w:pPr>
        <w:pStyle w:val="TextBody"/>
        <w:spacing w:lineRule="auto" w:line="273" w:before="120" w:after="0"/>
        <w:jc w:val="left"/>
        <w:rPr/>
      </w:pPr>
      <w:r>
        <w:rPr/>
        <w:t>•</w:t>
      </w:r>
    </w:p>
    <w:p>
      <w:pPr>
        <w:pStyle w:val="TextBody"/>
        <w:spacing w:lineRule="auto" w:line="273" w:before="120" w:after="0"/>
        <w:jc w:val="left"/>
        <w:rPr>
          <w:rFonts w:ascii="Times New Roman" w:hAnsi="Times New Roman"/>
          <w:b w:val="false"/>
          <w:sz w:val="20"/>
        </w:rPr>
      </w:pPr>
      <w:r>
        <w:rPr>
          <w:rFonts w:ascii="Times New Roman" w:hAnsi="Times New Roman"/>
          <w:b w:val="false"/>
          <w:sz w:val="20"/>
        </w:rPr>
        <w:t xml:space="preserve">extension of manufacturers’ Medicaid rebate liability; </w:t>
      </w:r>
    </w:p>
    <w:p>
      <w:pPr>
        <w:pStyle w:val="TextBody"/>
        <w:spacing w:lineRule="auto" w:line="273" w:before="120" w:after="0"/>
        <w:jc w:val="left"/>
        <w:rPr/>
      </w:pPr>
      <w:r>
        <w:rPr/>
        <w:t>•</w:t>
      </w:r>
    </w:p>
    <w:p>
      <w:pPr>
        <w:pStyle w:val="TextBody"/>
        <w:spacing w:lineRule="auto" w:line="273" w:before="120" w:after="0"/>
        <w:jc w:val="left"/>
        <w:rPr>
          <w:rFonts w:ascii="Times New Roman" w:hAnsi="Times New Roman"/>
          <w:b w:val="false"/>
          <w:sz w:val="20"/>
        </w:rPr>
      </w:pPr>
      <w:r>
        <w:rPr>
          <w:rFonts w:ascii="Times New Roman" w:hAnsi="Times New Roman"/>
          <w:b w:val="false"/>
          <w:sz w:val="20"/>
        </w:rPr>
        <w:t xml:space="preserve">expansion of eligibility criteria for Medicaid programs; </w:t>
      </w:r>
    </w:p>
    <w:p>
      <w:pPr>
        <w:pStyle w:val="TextBody"/>
        <w:spacing w:lineRule="auto" w:line="273" w:before="120" w:after="0"/>
        <w:jc w:val="left"/>
        <w:rPr/>
      </w:pPr>
      <w:r>
        <w:rPr/>
        <w:t>•</w:t>
      </w:r>
    </w:p>
    <w:p>
      <w:pPr>
        <w:pStyle w:val="TextBody"/>
        <w:spacing w:lineRule="auto" w:line="273" w:before="120" w:after="0"/>
        <w:jc w:val="left"/>
        <w:rPr>
          <w:rFonts w:ascii="Times New Roman" w:hAnsi="Times New Roman"/>
          <w:b w:val="false"/>
          <w:sz w:val="20"/>
        </w:rPr>
      </w:pPr>
      <w:r>
        <w:rPr>
          <w:rFonts w:ascii="Times New Roman" w:hAnsi="Times New Roman"/>
          <w:b w:val="false"/>
          <w:sz w:val="20"/>
        </w:rPr>
        <w:t xml:space="preserve">expansion of the entities eligible for discounts under the Public Health Service pharmaceutical pricing program; </w:t>
      </w:r>
    </w:p>
    <w:p>
      <w:pPr>
        <w:pStyle w:val="TextBody"/>
        <w:spacing w:lineRule="auto" w:line="273" w:before="120" w:after="0"/>
        <w:jc w:val="left"/>
        <w:rPr/>
      </w:pPr>
      <w:r>
        <w:rPr/>
        <w:t>•</w:t>
      </w:r>
    </w:p>
    <w:p>
      <w:pPr>
        <w:pStyle w:val="TextBody"/>
        <w:spacing w:lineRule="auto" w:line="273" w:before="120" w:after="0"/>
        <w:jc w:val="left"/>
        <w:rPr>
          <w:rFonts w:ascii="Times New Roman" w:hAnsi="Times New Roman"/>
          <w:b w:val="false"/>
          <w:sz w:val="20"/>
        </w:rPr>
      </w:pPr>
      <w:r>
        <w:rPr>
          <w:rFonts w:ascii="Times New Roman" w:hAnsi="Times New Roman"/>
          <w:b w:val="false"/>
          <w:sz w:val="20"/>
        </w:rPr>
        <w:t xml:space="preserve">requirements to report financial arrangements with physicians, as defined by such law, and teaching hospitals; </w:t>
      </w:r>
    </w:p>
    <w:p>
      <w:pPr>
        <w:pStyle w:val="TextBody"/>
        <w:spacing w:lineRule="auto" w:line="273" w:before="120" w:after="0"/>
        <w:jc w:val="left"/>
        <w:rPr/>
      </w:pPr>
      <w:r>
        <w:rPr/>
        <w:t>•</w:t>
      </w:r>
    </w:p>
    <w:p>
      <w:pPr>
        <w:pStyle w:val="TextBody"/>
        <w:spacing w:lineRule="auto" w:line="273" w:before="120" w:after="0"/>
        <w:jc w:val="left"/>
        <w:rPr>
          <w:rFonts w:ascii="Times New Roman" w:hAnsi="Times New Roman"/>
          <w:b w:val="false"/>
          <w:sz w:val="20"/>
        </w:rPr>
      </w:pPr>
      <w:r>
        <w:rPr>
          <w:rFonts w:ascii="Times New Roman" w:hAnsi="Times New Roman"/>
          <w:b w:val="false"/>
          <w:sz w:val="20"/>
        </w:rPr>
        <w:t xml:space="preserve">a requirement to annually report drug samples that manufacturers and distributors provide to physicians; and </w:t>
      </w:r>
    </w:p>
    <w:p>
      <w:pPr>
        <w:pStyle w:val="TextBody"/>
        <w:spacing w:lineRule="auto" w:line="273" w:before="120" w:after="0"/>
        <w:jc w:val="left"/>
        <w:rPr/>
      </w:pPr>
      <w:r>
        <w:rPr/>
        <w:t>•</w:t>
      </w:r>
    </w:p>
    <w:p>
      <w:pPr>
        <w:pStyle w:val="TextBody"/>
        <w:spacing w:lineRule="auto" w:line="273" w:before="120" w:after="283"/>
        <w:jc w:val="left"/>
        <w:rPr>
          <w:rFonts w:ascii="Times New Roman" w:hAnsi="Times New Roman"/>
          <w:b w:val="false"/>
          <w:sz w:val="20"/>
        </w:rPr>
      </w:pPr>
      <w:r>
        <w:rPr>
          <w:rFonts w:ascii="Times New Roman" w:hAnsi="Times New Roman"/>
          <w:b w:val="false"/>
          <w:sz w:val="20"/>
        </w:rPr>
        <w:t xml:space="preserve">a Patient-Centered Outcomes Research Institute to oversee, identify priorities in, and conduct comparative clinical effectiveness research, along with funding for such research. </w:t>
      </w:r>
    </w:p>
    <w:p>
      <w:pPr>
        <w:pStyle w:val="TextBody"/>
        <w:spacing w:lineRule="auto" w:line="273" w:before="0" w:after="0"/>
        <w:jc w:val="center"/>
        <w:rPr>
          <w:rFonts w:ascii="Times New Roman" w:hAnsi="Times New Roman"/>
          <w:b w:val="false"/>
          <w:sz w:val="20"/>
        </w:rPr>
      </w:pPr>
      <w:r>
        <w:rPr>
          <w:rFonts w:ascii="Times New Roman" w:hAnsi="Times New Roman"/>
          <w:b w:val="false"/>
          <w:sz w:val="20"/>
        </w:rPr>
        <w:t>54</w:t>
      </w:r>
    </w:p>
    <w:p>
      <w:pPr>
        <w:pStyle w:val="HorizontalLine"/>
        <w:rPr/>
      </w:pPr>
      <w:r>
        <w:rPr/>
      </w:r>
    </w:p>
    <w:p>
      <w:pPr>
        <w:pStyle w:val="TextBody"/>
        <w:spacing w:lineRule="auto" w:line="273" w:before="0" w:after="0"/>
        <w:jc w:val="left"/>
        <w:rPr/>
      </w:pPr>
      <w:r>
        <w:rPr/>
        <w:t> </w:t>
      </w:r>
    </w:p>
    <w:p>
      <w:pPr>
        <w:pStyle w:val="TextBody"/>
        <w:spacing w:lineRule="auto" w:line="273" w:before="240" w:after="0"/>
        <w:jc w:val="left"/>
        <w:rPr>
          <w:rFonts w:ascii="Times New Roman" w:hAnsi="Times New Roman"/>
          <w:sz w:val="20"/>
        </w:rPr>
      </w:pPr>
      <w:r>
        <w:rPr>
          <w:rFonts w:ascii="Times New Roman" w:hAnsi="Times New Roman"/>
          <w:b w:val="false"/>
          <w:sz w:val="20"/>
        </w:rPr>
        <w:t>There have been executive, judicial and Congressional challenges to repeal or replace certain aspects of the ACA, including measures taken during the former U.S. president’s administration. The former president of the United States signed Executive Orders and other directives designed to delay the implementation of certain provisions of the ACA or otherwise circumvent some of the requirements for health insurance mandated by the ACA. Concurrently, Congress considered legislation that would repeal or repeal and replace all or part of the ACA. While Congress has not passed comprehensive repeal legislation, it has enacted laws that modify certain provisions of the ACA such as removing penalties, starting January 1, 2019, for not complying with the ACA’s individual mandate to carry health insurance, eliminating the implementation of certain ACA-mandated fees, and increasing the point-of-sale discount that is owed by pharmaceutical manufacturers who participate in Medicare Part D. In November 2020, the United States Supreme Court held oral arguments on the U.S. Court of Appeals for the Fifth Circuit’s decision that held that the individual mandate is unconstitutional. On February 10, 2021, the current presidential administration withdrew the federal government’s support for overturning the ACA. In June 2021, the Supreme Court remanded the case with instructions to dismiss for lack of standing. However, the Supreme Court did not decide the ultimate issue of the validity of the individual mandate. Thus, there may be other efforts to challenge the individual mandate or to challenge, repeal or replace the ACA. It is unclear how the Supreme Court ruling, other such litigation and the healthcare reform measures of the current presidential administration will impact the ACA and our business.</w:t>
      </w:r>
      <w:r>
        <w:rPr>
          <w:rFonts w:ascii="Times New Roman" w:hAnsi="Times New Roman"/>
          <w:sz w:val="20"/>
        </w:rPr>
        <w:t xml:space="preserve"> </w:t>
      </w:r>
    </w:p>
    <w:p>
      <w:pPr>
        <w:pStyle w:val="TextBody"/>
        <w:spacing w:lineRule="auto" w:line="273" w:before="240" w:after="0"/>
        <w:jc w:val="left"/>
        <w:rPr>
          <w:rFonts w:ascii="Times New Roman" w:hAnsi="Times New Roman"/>
          <w:sz w:val="20"/>
        </w:rPr>
      </w:pPr>
      <w:r>
        <w:rPr>
          <w:rFonts w:ascii="Times New Roman" w:hAnsi="Times New Roman"/>
          <w:b w:val="false"/>
          <w:sz w:val="20"/>
        </w:rPr>
        <w:t>In addition, other legislative changes have been proposed and adopted since the ACA was enacted. On August 2, 2011, the Budget Control Act of 2011 was signed into law, which, among other things, created the Joint Select Committee on Deficit Reduction to recommend to Congress proposals for spending reductions. The Joint Select Committee did not achieve a targeted deficit reduction, triggering the legislation’s automatic reduction to several government programs. These changes include aggregate reductions to Medicare payments to providers of up to 2% per fiscal year, which began in 2013, and due to subsequent legislative amendments to the statute, will remain in effect through 2030, with the exception of a temporary suspension from May 1, 2020 through December 31, 2021 due to the COVID-19 pandemic, unless additional Congressional action is taken. In January 2013, the American Taxpayer Relief Act of 2012 was signed into law, which, among other things, reduced Medicare payments to several providers, and increased the statute of limitations period for the government to recover overpayments to providers from three to five years. These laws may result in additional reductions in Medicare and other healthcare funding.</w:t>
      </w:r>
      <w:r>
        <w:rPr>
          <w:rFonts w:ascii="Times New Roman" w:hAnsi="Times New Roman"/>
          <w:sz w:val="20"/>
        </w:rPr>
        <w:t xml:space="preserve"> </w:t>
      </w:r>
    </w:p>
    <w:p>
      <w:pPr>
        <w:pStyle w:val="TextBody"/>
        <w:spacing w:lineRule="auto" w:line="273" w:before="240" w:after="0"/>
        <w:jc w:val="left"/>
        <w:rPr>
          <w:rFonts w:ascii="Times New Roman" w:hAnsi="Times New Roman"/>
          <w:sz w:val="20"/>
        </w:rPr>
      </w:pPr>
      <w:r>
        <w:rPr>
          <w:rFonts w:ascii="Times New Roman" w:hAnsi="Times New Roman"/>
          <w:b w:val="false"/>
          <w:sz w:val="20"/>
        </w:rPr>
        <w:t>Further, there has been heightened governmental scrutiny recently over the manner in which drug manufacturers set prices for their marketed products, which has resulted in several Congressional inquiries and proposed and enacted federal and state legislation designed to, among other things, bring more transparency to product pricing, review the relationship between pricing and manufacturer patient programs, and reform government program reimbursement methodologies for drug products. At the federal level, the former president of the United States used several means to propose or implement drug pricing reform, including through federal budget proposals, executive orders, and policy initiatives. It is unclear whether the current presidential administration will work to reverse those measures or pursue similar policy initiatives. On March 11, 2021, the President signed the American Rescue Plan Act of 2021 into law, which eliminates the statutory Medicaid drug rebate cap, currently set at 100% of a drug’s average manufacturer price, for single source and innovator multiple source drugs, beginning January 1, 2024. In addition, at the state level, individual states have increasingly passed legislation and implemented regulations designed to control pharmaceutical and biological product pricing, including price or patient reimbursement constraints, discounts, restrictions on certain product access and marketing cost disclosure and transparency measures, and, in some cases, designed to encourage importation from other countries and bulk purchasing.</w:t>
      </w:r>
      <w:r>
        <w:rPr>
          <w:rFonts w:ascii="Times New Roman" w:hAnsi="Times New Roman"/>
          <w:sz w:val="20"/>
        </w:rPr>
        <w:t xml:space="preserve"> </w:t>
      </w:r>
    </w:p>
    <w:p>
      <w:pPr>
        <w:pStyle w:val="TextBody"/>
        <w:spacing w:lineRule="auto" w:line="273" w:before="240" w:after="0"/>
        <w:jc w:val="left"/>
        <w:rPr>
          <w:rFonts w:ascii="Times New Roman" w:hAnsi="Times New Roman"/>
          <w:sz w:val="20"/>
        </w:rPr>
      </w:pPr>
      <w:r>
        <w:rPr>
          <w:rFonts w:ascii="Times New Roman" w:hAnsi="Times New Roman"/>
          <w:b w:val="false"/>
          <w:sz w:val="20"/>
        </w:rPr>
        <w:t>We expect that additional state and federal healthcare reform measures will be adopted in the future, particularly in light of the new presidential administration. Such reform measures that may be adopted in the future, may result in more rigorous coverage criteria and in additional downward pressure on the price that we receive for any approved product. The implementation of cost containment measures or other healthcare reforms may prevent us from being able to generate revenue, attain profitability, or commercialize our products.</w:t>
      </w:r>
      <w:r>
        <w:rPr>
          <w:rFonts w:ascii="Times New Roman" w:hAnsi="Times New Roman"/>
          <w:sz w:val="20"/>
        </w:rPr>
        <w:t xml:space="preserve"> </w:t>
      </w:r>
    </w:p>
    <w:p>
      <w:pPr>
        <w:pStyle w:val="TextBody"/>
        <w:spacing w:lineRule="auto" w:line="273" w:before="240" w:after="0"/>
        <w:jc w:val="left"/>
        <w:rPr>
          <w:rFonts w:ascii="Times New Roman" w:hAnsi="Times New Roman"/>
          <w:sz w:val="20"/>
        </w:rPr>
      </w:pPr>
      <w:r>
        <w:rPr>
          <w:rFonts w:ascii="Times New Roman" w:hAnsi="Times New Roman"/>
          <w:b w:val="false"/>
          <w:sz w:val="20"/>
        </w:rPr>
        <w:t>Legislative and regulatory proposals have been made to expand post-approval requirements and restrict sales and promotional activities for pharmaceutical products. We cannot be sure whether additional legislative changes will be enacted, or whether the FDA regulations, guidance or interpretations will be changed, or what the impact of such changes on the marketing approvals of our product candidates, if any, may be. In addition, increased scrutiny by the U.S. Congress of the FDA’s approval process may significantly delay or prevent marketing approval, as well as subject us to more stringent product labeling and post-marketing testing and other requirements. It is also possible that additional governmental action is taken in response to the COVID-19 pandemic.</w:t>
      </w:r>
      <w:r>
        <w:rPr>
          <w:rFonts w:ascii="Times New Roman" w:hAnsi="Times New Roman"/>
          <w:sz w:val="20"/>
        </w:rPr>
        <w:t xml:space="preserve"> </w:t>
      </w:r>
    </w:p>
    <w:p>
      <w:pPr>
        <w:pStyle w:val="TextBody"/>
        <w:spacing w:lineRule="auto" w:line="273" w:before="0" w:after="0"/>
        <w:jc w:val="center"/>
        <w:rPr>
          <w:rFonts w:ascii="Times New Roman" w:hAnsi="Times New Roman"/>
          <w:b w:val="false"/>
          <w:sz w:val="20"/>
        </w:rPr>
      </w:pPr>
      <w:r>
        <w:rPr>
          <w:rFonts w:ascii="Times New Roman" w:hAnsi="Times New Roman"/>
          <w:b w:val="false"/>
          <w:sz w:val="20"/>
        </w:rPr>
        <w:t>55</w:t>
      </w:r>
    </w:p>
    <w:p>
      <w:pPr>
        <w:pStyle w:val="HorizontalLine"/>
        <w:rPr/>
      </w:pPr>
      <w:r>
        <w:rPr/>
      </w:r>
    </w:p>
    <w:p>
      <w:pPr>
        <w:pStyle w:val="TextBody"/>
        <w:spacing w:lineRule="auto" w:line="273" w:before="0" w:after="0"/>
        <w:jc w:val="left"/>
        <w:rPr/>
      </w:pPr>
      <w:r>
        <w:rPr/>
        <w:t> </w:t>
      </w:r>
    </w:p>
    <w:p>
      <w:pPr>
        <w:pStyle w:val="TextBody"/>
        <w:spacing w:lineRule="auto" w:line="273" w:before="360" w:after="0"/>
        <w:jc w:val="left"/>
        <w:rPr>
          <w:rFonts w:ascii="Times New Roman" w:hAnsi="Times New Roman"/>
          <w:sz w:val="20"/>
        </w:rPr>
      </w:pPr>
      <w:r>
        <w:rPr>
          <w:rFonts w:ascii="Times New Roman" w:hAnsi="Times New Roman"/>
          <w:b/>
          <w:i/>
          <w:sz w:val="20"/>
        </w:rPr>
        <w:t>Governments outside of the United States tend to impose strict price controls, which may adversely affect our revenues, if any.</w:t>
      </w:r>
      <w:r>
        <w:rPr>
          <w:rFonts w:ascii="Times New Roman" w:hAnsi="Times New Roman"/>
          <w:sz w:val="20"/>
        </w:rPr>
        <w:t xml:space="preserve"> </w:t>
      </w:r>
    </w:p>
    <w:p>
      <w:pPr>
        <w:pStyle w:val="TextBody"/>
        <w:spacing w:lineRule="auto" w:line="273" w:before="120" w:after="0"/>
        <w:jc w:val="left"/>
        <w:rPr>
          <w:rFonts w:ascii="Times New Roman" w:hAnsi="Times New Roman"/>
          <w:b w:val="false"/>
          <w:sz w:val="20"/>
        </w:rPr>
      </w:pPr>
      <w:r>
        <w:rPr>
          <w:rFonts w:ascii="Times New Roman" w:hAnsi="Times New Roman"/>
          <w:b w:val="false"/>
          <w:sz w:val="20"/>
        </w:rPr>
        <w:t>In some countries, including Canada and certain member states of the EU, the pricing of prescription pharmaceuticals is subject to governmental control. In these countries, pricing negotiations with governmental authorities can take considerable time after the receipt of marketing approval for a product. To obtain reimbursement or pricing approval in some countries, we may be required to conduct a clinical trial that compares the cost-effectiveness of our product candidates to other available therapies. If reimbursement of our products is unavailable or limited in scope or amount, or if pricing is set at unsatisfactory levels, our business could be harmed. Political, economic and regulatory developments may further complicate pricing negotiations, and pricing negotiations may continue after reimbursement has been obtained. Reference pricing used by various EU member states, and parallel trade, such as arbitrage between low-priced and high-priced member states, can further reduce prices. There can be no assurance that any country that has price controls or reimbursement limitations for pharmaceutical products will allow favorable reimbursement and pricing arrangements for any products, if approved in those countries. Publication of discounts by third-party payors or authorities may lead to further pressure on the prices or reimbursement levels within the country of publication or other countries. In addition, the withdrawal of the United Kingdom, or UK, from its membership in the EU, often referred to as “Brexit,” could lead to further legal and regulatory uncertainty in the UK and may lead to the UK and EU adopting divergent laws and regulations, including those related to the pricing of prescription pharmaceuticals, as the UK determines which EU laws to replicate or replace. If the UK were to significantly alter its regulations affecting the pricing of prescription pharmaceuticals, we could face significant new costs. As a result, Brexit could impair our ability to transact business in the EU and the UK.</w:t>
      </w:r>
    </w:p>
    <w:p>
      <w:pPr>
        <w:pStyle w:val="TextBody"/>
        <w:spacing w:lineRule="auto" w:line="273" w:before="360" w:after="0"/>
        <w:jc w:val="left"/>
        <w:rPr>
          <w:rFonts w:ascii="Times New Roman" w:hAnsi="Times New Roman"/>
          <w:sz w:val="20"/>
        </w:rPr>
      </w:pPr>
      <w:r>
        <w:rPr>
          <w:rFonts w:ascii="Times New Roman" w:hAnsi="Times New Roman"/>
          <w:b/>
          <w:i/>
          <w:sz w:val="20"/>
        </w:rPr>
        <w:t>Laws and regulations governing any international operations we may have in the future may preclude us from developing, manufacturing and selling certain product candidates and products outside of the United States and require us to develop and implement costly compliance programs.</w:t>
      </w:r>
      <w:r>
        <w:rPr>
          <w:rFonts w:ascii="Times New Roman" w:hAnsi="Times New Roman"/>
          <w:sz w:val="20"/>
        </w:rPr>
        <w:t xml:space="preserve"> </w:t>
      </w:r>
    </w:p>
    <w:p>
      <w:pPr>
        <w:pStyle w:val="TextBody"/>
        <w:spacing w:lineRule="auto" w:line="273" w:before="120" w:after="0"/>
        <w:jc w:val="left"/>
        <w:rPr>
          <w:rFonts w:ascii="Times New Roman" w:hAnsi="Times New Roman"/>
          <w:sz w:val="20"/>
        </w:rPr>
      </w:pPr>
      <w:r>
        <w:rPr>
          <w:rFonts w:ascii="Times New Roman" w:hAnsi="Times New Roman"/>
          <w:b w:val="false"/>
          <w:sz w:val="20"/>
        </w:rPr>
        <w:t>If we expand our operations outside of the United States, we must dedicate additional resources to comply with numerous laws and regulations in each jurisdiction in which we plan to operate. The Foreign Corrupt Practices Act, or FCPA, prohibits any U.S. individual or business and their party agents from paying, offering, authorizing payment or offering anything of value, directly or indirectly, to any foreign official, political party or candidate for the purpose of influencing any act or decision of such third-party in order to assist the individual or business in obtaining or retaining business. The FCPA also obligates companies whose securities are listed in the United States to comply with certain accounting provisions requiring the company to maintain books and records that accurately and fairly reflect all transactions of the company, including international subsidiaries, and to devise and maintain an adequate system of internal accounting controls for international operations.</w:t>
      </w:r>
      <w:r>
        <w:rPr>
          <w:rFonts w:ascii="Times New Roman" w:hAnsi="Times New Roman"/>
          <w:sz w:val="20"/>
        </w:rPr>
        <w:t xml:space="preserve"> </w:t>
      </w:r>
    </w:p>
    <w:p>
      <w:pPr>
        <w:pStyle w:val="TextBody"/>
        <w:spacing w:lineRule="auto" w:line="273" w:before="240" w:after="0"/>
        <w:jc w:val="left"/>
        <w:rPr>
          <w:rFonts w:ascii="Times New Roman" w:hAnsi="Times New Roman"/>
          <w:sz w:val="20"/>
        </w:rPr>
      </w:pPr>
      <w:r>
        <w:rPr>
          <w:rFonts w:ascii="Times New Roman" w:hAnsi="Times New Roman"/>
          <w:b w:val="false"/>
          <w:sz w:val="20"/>
        </w:rPr>
        <w:t>Compliance with the FCPA is expensive and difficult, particularly in countries in which corruption is a recognized problem. In addition, the FCPA presents particular challenges in the pharmaceutical industry, because, in many countries, hospitals are operated by the government, and doctors and other hospital employees are considered foreign officials.</w:t>
      </w:r>
      <w:r>
        <w:rPr>
          <w:rFonts w:ascii="Times New Roman" w:hAnsi="Times New Roman"/>
          <w:sz w:val="20"/>
        </w:rPr>
        <w:t xml:space="preserve"> </w:t>
      </w:r>
    </w:p>
    <w:p>
      <w:pPr>
        <w:pStyle w:val="TextBody"/>
        <w:spacing w:lineRule="auto" w:line="273" w:before="240" w:after="0"/>
        <w:jc w:val="left"/>
        <w:rPr>
          <w:rFonts w:ascii="Times New Roman" w:hAnsi="Times New Roman"/>
          <w:sz w:val="20"/>
        </w:rPr>
      </w:pPr>
      <w:r>
        <w:rPr>
          <w:rFonts w:ascii="Times New Roman" w:hAnsi="Times New Roman"/>
          <w:b w:val="false"/>
          <w:sz w:val="20"/>
        </w:rPr>
        <w:t>Various laws, regulations and executive orders also restrict the use and dissemination outside of the United States, or the sharing with certain non-U.S. nationals, of information classified for national security purposes, as well as certain products and technical data relating to those products. We are also subject to U.S. laws and regulations governing export controls, as well as economic sanctions and embargoes on certain countries and persons. If we expand our presence outside of the United States, it will require us to dedicate additional resources to comply with these laws, and these laws may preclude us from developing, manufacturing or selling certain product candidates and products outside of the United States, which could limit our growth potential and increase our development costs.</w:t>
      </w:r>
      <w:r>
        <w:rPr>
          <w:rFonts w:ascii="Times New Roman" w:hAnsi="Times New Roman"/>
          <w:sz w:val="20"/>
        </w:rPr>
        <w:t xml:space="preserve"> </w:t>
      </w:r>
    </w:p>
    <w:p>
      <w:pPr>
        <w:pStyle w:val="TextBody"/>
        <w:spacing w:lineRule="auto" w:line="273" w:before="240" w:after="0"/>
        <w:jc w:val="left"/>
        <w:rPr>
          <w:rFonts w:ascii="Times New Roman" w:hAnsi="Times New Roman"/>
          <w:sz w:val="20"/>
        </w:rPr>
      </w:pPr>
      <w:r>
        <w:rPr>
          <w:rFonts w:ascii="Times New Roman" w:hAnsi="Times New Roman"/>
          <w:b w:val="false"/>
          <w:sz w:val="20"/>
        </w:rPr>
        <w:t>The failure to comply with laws governing international business practices may result in substantial civil and criminal penalties and suspension or debarment from government contracting. The Securities and Exchange Commission, or the SEC, also may suspend or bar issuers from trading securities on U.S. exchanges for violations of the FCPA’s accounting provisions.</w:t>
      </w:r>
      <w:r>
        <w:rPr>
          <w:rFonts w:ascii="Times New Roman" w:hAnsi="Times New Roman"/>
          <w:sz w:val="20"/>
        </w:rPr>
        <w:t xml:space="preserve"> </w:t>
      </w:r>
    </w:p>
    <w:p>
      <w:pPr>
        <w:pStyle w:val="TextBody"/>
        <w:spacing w:lineRule="auto" w:line="273" w:before="360" w:after="0"/>
        <w:jc w:val="left"/>
        <w:rPr>
          <w:rFonts w:ascii="Times New Roman" w:hAnsi="Times New Roman"/>
          <w:sz w:val="20"/>
        </w:rPr>
      </w:pPr>
      <w:r>
        <w:rPr>
          <w:rFonts w:ascii="Times New Roman" w:hAnsi="Times New Roman"/>
          <w:b/>
          <w:i/>
          <w:sz w:val="20"/>
        </w:rPr>
        <w:t>If we fail to comply with environmental, health and safety laws and regulations, we could become subject to fines or penalties or incur costs that could harm our business.</w:t>
      </w:r>
      <w:r>
        <w:rPr>
          <w:rFonts w:ascii="Times New Roman" w:hAnsi="Times New Roman"/>
          <w:sz w:val="20"/>
        </w:rPr>
        <w:t xml:space="preserve"> </w:t>
      </w:r>
    </w:p>
    <w:p>
      <w:pPr>
        <w:pStyle w:val="TextBody"/>
        <w:spacing w:lineRule="auto" w:line="273" w:before="120" w:after="0"/>
        <w:jc w:val="left"/>
        <w:rPr>
          <w:rFonts w:ascii="Times New Roman" w:hAnsi="Times New Roman"/>
          <w:sz w:val="20"/>
        </w:rPr>
      </w:pPr>
      <w:r>
        <w:rPr>
          <w:rFonts w:ascii="Times New Roman" w:hAnsi="Times New Roman"/>
          <w:b w:val="false"/>
          <w:sz w:val="20"/>
        </w:rPr>
        <w:t>We and our third-party contractors are subject to numerous foreign, federal, state and local environmental, health and safety laws and regulations, including those governing laboratory procedures and the handling, use, storage, treatment and disposal of hazardous materials and wastes. Our operations involve the use of hazardous and flammable materials, including chemicals and biological materials. Our operations also produce hazardous waste products. We generally contract with third parties for the disposal of these materials and wastes. We cannot eliminate the risk of contamination or injury from these materials. In the event of contamination or injury resulting from our use of hazardous materials, we could be held liable for any resulting damages, and any liability could exceed our resources, including any available insurance. We could also be held liable for unexpected safety events that could happen in our business offices.</w:t>
      </w:r>
      <w:r>
        <w:rPr>
          <w:rFonts w:ascii="Times New Roman" w:hAnsi="Times New Roman"/>
          <w:sz w:val="20"/>
        </w:rPr>
        <w:t xml:space="preserve"> </w:t>
      </w:r>
    </w:p>
    <w:p>
      <w:pPr>
        <w:pStyle w:val="TextBody"/>
        <w:spacing w:lineRule="auto" w:line="273" w:before="0" w:after="0"/>
        <w:jc w:val="center"/>
        <w:rPr>
          <w:rFonts w:ascii="Times New Roman" w:hAnsi="Times New Roman"/>
          <w:b w:val="false"/>
          <w:sz w:val="20"/>
        </w:rPr>
      </w:pPr>
      <w:r>
        <w:rPr>
          <w:rFonts w:ascii="Times New Roman" w:hAnsi="Times New Roman"/>
          <w:b w:val="false"/>
          <w:sz w:val="20"/>
        </w:rPr>
        <w:t>56</w:t>
      </w:r>
    </w:p>
    <w:p>
      <w:pPr>
        <w:pStyle w:val="HorizontalLine"/>
        <w:rPr/>
      </w:pPr>
      <w:r>
        <w:rPr/>
      </w:r>
    </w:p>
    <w:p>
      <w:pPr>
        <w:pStyle w:val="TextBody"/>
        <w:spacing w:lineRule="auto" w:line="273" w:before="0" w:after="0"/>
        <w:jc w:val="left"/>
        <w:rPr/>
      </w:pPr>
      <w:r>
        <w:rPr/>
        <w:t> </w:t>
      </w:r>
    </w:p>
    <w:p>
      <w:pPr>
        <w:pStyle w:val="TextBody"/>
        <w:spacing w:lineRule="auto" w:line="273" w:before="240" w:after="0"/>
        <w:jc w:val="left"/>
        <w:rPr>
          <w:rFonts w:ascii="Times New Roman" w:hAnsi="Times New Roman"/>
          <w:sz w:val="20"/>
        </w:rPr>
      </w:pPr>
      <w:r>
        <w:rPr>
          <w:rFonts w:ascii="Times New Roman" w:hAnsi="Times New Roman"/>
          <w:b w:val="false"/>
          <w:sz w:val="20"/>
        </w:rPr>
        <w:t>In addition, our leasing and operation of real property may subject us to liability pursuant to certain of these laws or regulations. Under existing U.S. environmental laws and regulations, current or previous owners or operators of real property and entities that disposed or arranged for the disposal of hazardous substances may be held strictly, jointly and severally liable for the cost of investigating or remediating contamination caused by hazardous substance releases, even if they did not know of and were not responsible for the releases.</w:t>
      </w:r>
      <w:r>
        <w:rPr>
          <w:rFonts w:ascii="Times New Roman" w:hAnsi="Times New Roman"/>
          <w:sz w:val="20"/>
        </w:rPr>
        <w:t xml:space="preserve"> </w:t>
      </w:r>
    </w:p>
    <w:p>
      <w:pPr>
        <w:pStyle w:val="TextBody"/>
        <w:spacing w:lineRule="auto" w:line="273" w:before="240" w:after="0"/>
        <w:jc w:val="left"/>
        <w:rPr>
          <w:rFonts w:ascii="Times New Roman" w:hAnsi="Times New Roman"/>
          <w:sz w:val="20"/>
        </w:rPr>
      </w:pPr>
      <w:r>
        <w:rPr>
          <w:rFonts w:ascii="Times New Roman" w:hAnsi="Times New Roman"/>
          <w:b w:val="false"/>
          <w:sz w:val="20"/>
        </w:rPr>
        <w:t>We could incur significant costs and liabilities which may adversely affect our financial condition and operating results for failure to comply with such laws and regulations, including, among other things, civil or criminal fines and penalties, property damage and personal injury claims, costs associated with upgrades to our facilities or changes to our operating procedures, or injunctions limiting or altering our operations.</w:t>
      </w:r>
      <w:r>
        <w:rPr>
          <w:rFonts w:ascii="Times New Roman" w:hAnsi="Times New Roman"/>
          <w:sz w:val="20"/>
        </w:rPr>
        <w:t xml:space="preserve"> </w:t>
      </w:r>
    </w:p>
    <w:p>
      <w:pPr>
        <w:pStyle w:val="TextBody"/>
        <w:spacing w:lineRule="auto" w:line="273" w:before="240" w:after="0"/>
        <w:jc w:val="left"/>
        <w:rPr>
          <w:rFonts w:ascii="Times New Roman" w:hAnsi="Times New Roman"/>
          <w:sz w:val="20"/>
        </w:rPr>
      </w:pPr>
      <w:r>
        <w:rPr>
          <w:rFonts w:ascii="Times New Roman" w:hAnsi="Times New Roman"/>
          <w:b w:val="false"/>
          <w:sz w:val="20"/>
        </w:rPr>
        <w:t>Although we maintain liability insurance to cover us for costs and expenses we may incur due to injuries to our employees, this insurance may not provide adequate coverage against potential liabilities. We do not maintain insurance for environmental liability or toxic tort claims that may be asserted against us in connection with our storage or disposal of biological, hazardous or radioactive materials.</w:t>
      </w:r>
      <w:r>
        <w:rPr>
          <w:rFonts w:ascii="Times New Roman" w:hAnsi="Times New Roman"/>
          <w:sz w:val="20"/>
        </w:rPr>
        <w:t xml:space="preserve"> </w:t>
      </w:r>
    </w:p>
    <w:p>
      <w:pPr>
        <w:pStyle w:val="TextBody"/>
        <w:spacing w:lineRule="auto" w:line="273" w:before="240" w:after="0"/>
        <w:jc w:val="left"/>
        <w:rPr>
          <w:rFonts w:ascii="Times New Roman" w:hAnsi="Times New Roman"/>
          <w:sz w:val="20"/>
        </w:rPr>
      </w:pPr>
      <w:r>
        <w:rPr>
          <w:rFonts w:ascii="Times New Roman" w:hAnsi="Times New Roman"/>
          <w:b w:val="false"/>
          <w:sz w:val="20"/>
        </w:rPr>
        <w:t>In addition, we may incur substantial costs in order to comply with current or future environmental, health and safety laws and regulations. These current or future laws and regulations, which are becoming increasingly more stringent, may impair our research, development or production efforts. Our failure to comply with these laws and regulations also may result in substantial fines, penalties or other sanctions.</w:t>
      </w:r>
      <w:r>
        <w:rPr>
          <w:rFonts w:ascii="Times New Roman" w:hAnsi="Times New Roman"/>
          <w:sz w:val="20"/>
        </w:rPr>
        <w:t xml:space="preserve"> </w:t>
      </w:r>
    </w:p>
    <w:p>
      <w:pPr>
        <w:pStyle w:val="TextBody"/>
        <w:spacing w:lineRule="auto" w:line="273" w:before="360" w:after="0"/>
        <w:jc w:val="left"/>
        <w:rPr>
          <w:rFonts w:ascii="Times New Roman" w:hAnsi="Times New Roman"/>
          <w:sz w:val="20"/>
        </w:rPr>
      </w:pPr>
      <w:r>
        <w:rPr>
          <w:rFonts w:ascii="Times New Roman" w:hAnsi="Times New Roman"/>
          <w:b/>
          <w:i/>
          <w:sz w:val="20"/>
        </w:rPr>
        <w:t>We are subject to certain U.S. and foreign anti-corruption, anti-money laundering, export control, sanctions and other trade laws and regulations. We can face serious consequences for violations.</w:t>
      </w:r>
      <w:r>
        <w:rPr>
          <w:rFonts w:ascii="Times New Roman" w:hAnsi="Times New Roman"/>
          <w:sz w:val="20"/>
        </w:rPr>
        <w:t xml:space="preserve"> </w:t>
      </w:r>
    </w:p>
    <w:p>
      <w:pPr>
        <w:pStyle w:val="TextBody"/>
        <w:spacing w:lineRule="auto" w:line="273" w:before="120" w:after="0"/>
        <w:jc w:val="left"/>
        <w:rPr>
          <w:rFonts w:ascii="Times New Roman" w:hAnsi="Times New Roman"/>
          <w:sz w:val="20"/>
        </w:rPr>
      </w:pPr>
      <w:r>
        <w:rPr>
          <w:rFonts w:ascii="Times New Roman" w:hAnsi="Times New Roman"/>
          <w:b w:val="false"/>
          <w:sz w:val="20"/>
        </w:rPr>
        <w:t>U.S. and foreign anti-corruption, anti-money laundering, export control, sanctions and other trade laws and regulations prohibit, among other things, companies and their employees, agents, CROs, CMOs, legal counsel, accountants, consultants, contractors and other partners from authorizing, promising, offering, providing, soliciting, or receiving directly or indirectly, corrupt or improper payments or anything else of value to or from recipients in the public or private sector. Violations of these laws can result in substantial criminal fines and civil penalties, imprisonment, the loss of trade privileges, debarment, tax reassessments, breach of contract and fraud litigation, reputational harm and other consequences. We have direct or indirect interactions with officials and employees of government agencies or government-affiliated hospitals, universities and other organizations. We also expect our non-U.S. activities to increase over time. We expect to rely on third parties for research, preclinical studies and clinical trials and/or to obtain necessary permits, licenses, patent registrations and other marketing approvals. We can be held liable for the corrupt or other illegal activities of our personnel, agents, or partners, even if we do not explicitly authorize or have prior knowledge of such activities.</w:t>
      </w:r>
      <w:r>
        <w:rPr>
          <w:rFonts w:ascii="Times New Roman" w:hAnsi="Times New Roman"/>
          <w:sz w:val="20"/>
        </w:rPr>
        <w:t xml:space="preserve"> </w:t>
      </w:r>
    </w:p>
    <w:p>
      <w:pPr>
        <w:pStyle w:val="TextBody"/>
        <w:spacing w:lineRule="auto" w:line="273" w:before="240" w:after="0"/>
        <w:jc w:val="left"/>
        <w:rPr>
          <w:rFonts w:ascii="Times New Roman" w:hAnsi="Times New Roman"/>
          <w:sz w:val="20"/>
        </w:rPr>
      </w:pPr>
      <w:r>
        <w:rPr>
          <w:rFonts w:ascii="Times New Roman" w:hAnsi="Times New Roman"/>
          <w:b w:val="false"/>
          <w:sz w:val="20"/>
        </w:rPr>
        <w:t>Any violations of the laws and regulations described above may result in substantial civil and criminal fines and penalties, imprisonment, the loss of export or import privileges, debarment, tax reassessments, breach of contract and fraud litigation, reputational harm and other consequences.</w:t>
      </w:r>
      <w:r>
        <w:rPr>
          <w:rFonts w:ascii="Times New Roman" w:hAnsi="Times New Roman"/>
          <w:sz w:val="20"/>
        </w:rPr>
        <w:t xml:space="preserve"> </w:t>
      </w:r>
    </w:p>
    <w:p>
      <w:pPr>
        <w:pStyle w:val="TextBody"/>
        <w:spacing w:lineRule="auto" w:line="273" w:before="360" w:after="0"/>
        <w:jc w:val="left"/>
        <w:rPr>
          <w:rFonts w:ascii="Times New Roman" w:hAnsi="Times New Roman"/>
          <w:sz w:val="20"/>
        </w:rPr>
      </w:pPr>
      <w:r>
        <w:rPr>
          <w:rFonts w:ascii="Times New Roman" w:hAnsi="Times New Roman"/>
          <w:b/>
          <w:i/>
          <w:sz w:val="20"/>
        </w:rPr>
        <w:t>We are developing our current product candidates, and may continue to develop future product candidates, in combination with other therapies, which would expose us to additional risks.</w:t>
      </w:r>
      <w:r>
        <w:rPr>
          <w:rFonts w:ascii="Times New Roman" w:hAnsi="Times New Roman"/>
          <w:sz w:val="20"/>
        </w:rPr>
        <w:t xml:space="preserve"> </w:t>
      </w:r>
    </w:p>
    <w:p>
      <w:pPr>
        <w:pStyle w:val="TextBody"/>
        <w:spacing w:lineRule="auto" w:line="273" w:before="120" w:after="0"/>
        <w:jc w:val="left"/>
        <w:rPr>
          <w:rFonts w:ascii="Times New Roman" w:hAnsi="Times New Roman"/>
          <w:sz w:val="20"/>
        </w:rPr>
      </w:pPr>
      <w:r>
        <w:rPr>
          <w:rFonts w:ascii="Times New Roman" w:hAnsi="Times New Roman"/>
          <w:b w:val="false"/>
          <w:sz w:val="20"/>
        </w:rPr>
        <w:t>We are developing our current product candidates in combination with one or more currently approved cancer therapies or therapies in development. Even if any of our current or future product candidates were to receive marketing approval or be commercialized for use in combination with other existing therapies, we would continue to be subject to the risks that the FDA or comparable foreign regulatory authorities could revoke approval of the therapy used in combination with any of our product candidates, or safety, efficacy, manufacturing or supply issues could arise with these existing therapies. In addition, it is possible that existing therapies with which our product candidates are approved for use could themselves fall out of favor or be relegated to later lines of treatment. This could result in the need to identify other combination therapies for our product candidates or our own products being removed from the market or being less successful commercially.</w:t>
      </w:r>
      <w:r>
        <w:rPr>
          <w:rFonts w:ascii="Times New Roman" w:hAnsi="Times New Roman"/>
          <w:sz w:val="20"/>
        </w:rPr>
        <w:t xml:space="preserve"> </w:t>
      </w:r>
    </w:p>
    <w:p>
      <w:pPr>
        <w:pStyle w:val="TextBody"/>
        <w:spacing w:lineRule="auto" w:line="273" w:before="240" w:after="0"/>
        <w:jc w:val="left"/>
        <w:rPr>
          <w:rFonts w:ascii="Times New Roman" w:hAnsi="Times New Roman"/>
          <w:sz w:val="20"/>
        </w:rPr>
      </w:pPr>
      <w:r>
        <w:rPr>
          <w:rFonts w:ascii="Times New Roman" w:hAnsi="Times New Roman"/>
          <w:b w:val="false"/>
          <w:sz w:val="20"/>
        </w:rPr>
        <w:t>We may also evaluate our current product candidates in combination with one or more other cancer therapies that have not yet been approved for marketing by the FDA or comparable foreign regulatory authorities. We will not be able to market and sell any product candidate in combination with any such unapproved cancer therapies that do not ultimately obtain marketing approval.</w:t>
      </w:r>
      <w:r>
        <w:rPr>
          <w:rFonts w:ascii="Times New Roman" w:hAnsi="Times New Roman"/>
          <w:sz w:val="20"/>
        </w:rPr>
        <w:t xml:space="preserve"> </w:t>
      </w:r>
    </w:p>
    <w:p>
      <w:pPr>
        <w:pStyle w:val="TextBody"/>
        <w:spacing w:lineRule="auto" w:line="273" w:before="0" w:after="0"/>
        <w:jc w:val="center"/>
        <w:rPr>
          <w:rFonts w:ascii="Times New Roman" w:hAnsi="Times New Roman"/>
          <w:b w:val="false"/>
          <w:sz w:val="20"/>
        </w:rPr>
      </w:pPr>
      <w:r>
        <w:rPr>
          <w:rFonts w:ascii="Times New Roman" w:hAnsi="Times New Roman"/>
          <w:b w:val="false"/>
          <w:sz w:val="20"/>
        </w:rPr>
        <w:t>57</w:t>
      </w:r>
    </w:p>
    <w:p>
      <w:pPr>
        <w:pStyle w:val="HorizontalLine"/>
        <w:rPr/>
      </w:pPr>
      <w:r>
        <w:rPr/>
      </w:r>
    </w:p>
    <w:p>
      <w:pPr>
        <w:pStyle w:val="TextBody"/>
        <w:spacing w:lineRule="auto" w:line="273" w:before="0" w:after="0"/>
        <w:jc w:val="left"/>
        <w:rPr/>
      </w:pPr>
      <w:r>
        <w:rPr/>
        <w:t> </w:t>
      </w:r>
    </w:p>
    <w:p>
      <w:pPr>
        <w:pStyle w:val="TextBody"/>
        <w:spacing w:lineRule="auto" w:line="273" w:before="240" w:after="0"/>
        <w:jc w:val="left"/>
        <w:rPr>
          <w:rFonts w:ascii="Times New Roman" w:hAnsi="Times New Roman"/>
          <w:sz w:val="20"/>
        </w:rPr>
      </w:pPr>
      <w:r>
        <w:rPr>
          <w:rFonts w:ascii="Times New Roman" w:hAnsi="Times New Roman"/>
          <w:b w:val="false"/>
          <w:sz w:val="20"/>
        </w:rPr>
        <w:t>If the FDA or comparable foreign regulatory authorities do not approve or withdraw their approval of these other therapies, or if safety, efficacy, commercial adoption, manufacturing or supply issues arise with the therapies we choose to evaluate in combination with any of our current or future product candidates, we may be unable to obtain approval of or successfully market any one or all of the current or future product candidates we develop. Additionally, if the third-party providers of therapies or therapies in development used in combination with our current or future product candidates are unable to produce sufficient quantities for clinical trials or for commercialization of our current or future product candidates, or if the cost of combination therapies are prohibitive, our development and commercialization efforts would be impaired, which would have an adverse effect on our business, financial condition, results of operations and growth prospects.</w:t>
      </w:r>
      <w:r>
        <w:rPr>
          <w:rFonts w:ascii="Times New Roman" w:hAnsi="Times New Roman"/>
          <w:sz w:val="20"/>
        </w:rPr>
        <w:t xml:space="preserve"> </w:t>
      </w:r>
    </w:p>
    <w:p>
      <w:pPr>
        <w:pStyle w:val="TextBody"/>
        <w:spacing w:lineRule="auto" w:line="273" w:before="360" w:after="0"/>
        <w:jc w:val="left"/>
        <w:rPr>
          <w:rFonts w:ascii="Times New Roman" w:hAnsi="Times New Roman"/>
          <w:sz w:val="20"/>
        </w:rPr>
      </w:pPr>
      <w:r>
        <w:rPr>
          <w:rFonts w:ascii="Times New Roman" w:hAnsi="Times New Roman"/>
          <w:b/>
          <w:i/>
          <w:sz w:val="20"/>
        </w:rPr>
        <w:t>We have never commercialized a product candidate as a company before and currently lack the comprehensive, fully-staffed expertise, personnel and resources to successfully commercialize any products on our own or together with suitable collaborators.</w:t>
      </w:r>
      <w:r>
        <w:rPr>
          <w:rFonts w:ascii="Times New Roman" w:hAnsi="Times New Roman"/>
          <w:sz w:val="20"/>
        </w:rPr>
        <w:t xml:space="preserve"> </w:t>
      </w:r>
    </w:p>
    <w:p>
      <w:pPr>
        <w:pStyle w:val="TextBody"/>
        <w:spacing w:lineRule="auto" w:line="273" w:before="120" w:after="0"/>
        <w:jc w:val="left"/>
        <w:rPr>
          <w:rFonts w:ascii="Times New Roman" w:hAnsi="Times New Roman"/>
          <w:b w:val="false"/>
          <w:sz w:val="20"/>
        </w:rPr>
      </w:pPr>
      <w:r>
        <w:rPr>
          <w:rFonts w:ascii="Times New Roman" w:hAnsi="Times New Roman"/>
          <w:b w:val="false"/>
          <w:sz w:val="20"/>
        </w:rPr>
        <w:t>We have never commercialized a product candidate as a company. We may license certain rights with respect to our product candidates to collaborators and rely on the assistance and guidance of those collaborators. For product candidates for which we retain commercialization rights and marketing approval, we will have to develop our own sales, marketing, market access, commercial planning and supply organization or outsource these activities to a third-party. We are planning on finding collaborations to secure regulatory approvals and commercialize our products outside of the US. We cannot assure that any collaboration(s) will result in short term or long term benefit to the company.</w:t>
      </w:r>
    </w:p>
    <w:p>
      <w:pPr>
        <w:pStyle w:val="TextBody"/>
        <w:spacing w:lineRule="auto" w:line="273" w:before="240" w:after="0"/>
        <w:jc w:val="left"/>
        <w:rPr>
          <w:rFonts w:ascii="Times New Roman" w:hAnsi="Times New Roman"/>
          <w:sz w:val="20"/>
        </w:rPr>
      </w:pPr>
      <w:r>
        <w:rPr>
          <w:rFonts w:ascii="Times New Roman" w:hAnsi="Times New Roman"/>
          <w:b w:val="false"/>
          <w:sz w:val="20"/>
        </w:rPr>
        <w:t>Factors that may affect our ability to commercialize our product candidates, if approved, on our own include recruiting and retaining adequate numbers of effective sales, marketing, and market access personnel, developing and producing adequate educational and marketing programs to increase public acceptance of our approved product candidates, ensuring regulatory compliance of our company, all communications and materials in the promotional domain, employees and third parties under applicable healthcare laws, and other unforeseen costs associated with creating an independent sales and marketing organization. Developing a sales and marketing organization will be expensive and time-consuming and could delay the launch of our product candidates upon approval. We may not be able to build an effective sales and marketing organization. Alternatively, if we choose to collaborate, either globally or on a territory-by-territory basis, with third parties that have direct sales forces and established distribution systems, either to augment our own sales force and distribution systems or in lieu of our own sales force and distribution systems, we will be required to negotiate and enter into arrangements with such third parties relating to the proposed collaboration and such arrangements may prove to be less profitable than commercializing the product on our own. If we are unable to build our own distribution and marketing capabilities or to find suitable partners for the commercialization of our product candidates, we may not generate revenues from them or be able to reach or sustain profitability.</w:t>
      </w:r>
      <w:r>
        <w:rPr>
          <w:rFonts w:ascii="Times New Roman" w:hAnsi="Times New Roman"/>
          <w:sz w:val="20"/>
        </w:rPr>
        <w:t xml:space="preserve"> </w:t>
      </w:r>
    </w:p>
    <w:p>
      <w:pPr>
        <w:pStyle w:val="TextBody"/>
        <w:spacing w:lineRule="auto" w:line="273" w:before="0" w:after="0"/>
        <w:jc w:val="center"/>
        <w:rPr>
          <w:rFonts w:ascii="Times New Roman" w:hAnsi="Times New Roman"/>
          <w:b w:val="false"/>
          <w:sz w:val="20"/>
        </w:rPr>
      </w:pPr>
      <w:r>
        <w:rPr>
          <w:rFonts w:ascii="Times New Roman" w:hAnsi="Times New Roman"/>
          <w:b w:val="false"/>
          <w:sz w:val="20"/>
        </w:rPr>
        <w:t>58</w:t>
      </w:r>
    </w:p>
    <w:p>
      <w:pPr>
        <w:pStyle w:val="HorizontalLine"/>
        <w:rPr/>
      </w:pPr>
      <w:r>
        <w:rPr/>
      </w:r>
    </w:p>
    <w:p>
      <w:pPr>
        <w:pStyle w:val="TextBody"/>
        <w:spacing w:lineRule="auto" w:line="273" w:before="0" w:after="0"/>
        <w:jc w:val="left"/>
        <w:rPr/>
      </w:pPr>
      <w:r>
        <w:rPr/>
        <w:t> </w:t>
      </w:r>
    </w:p>
    <w:p>
      <w:pPr>
        <w:pStyle w:val="TextBody"/>
        <w:spacing w:lineRule="auto" w:line="273" w:before="360" w:after="0"/>
        <w:jc w:val="left"/>
        <w:rPr>
          <w:rFonts w:ascii="Times New Roman" w:hAnsi="Times New Roman"/>
          <w:sz w:val="20"/>
        </w:rPr>
      </w:pPr>
      <w:r>
        <w:rPr>
          <w:rFonts w:ascii="Times New Roman" w:hAnsi="Times New Roman"/>
          <w:b/>
          <w:sz w:val="20"/>
        </w:rPr>
        <w:t>Risks related to our reliance on third parties</w:t>
      </w:r>
      <w:r>
        <w:rPr>
          <w:rFonts w:ascii="Times New Roman" w:hAnsi="Times New Roman"/>
          <w:sz w:val="20"/>
        </w:rPr>
        <w:t xml:space="preserve"> </w:t>
      </w:r>
    </w:p>
    <w:p>
      <w:pPr>
        <w:pStyle w:val="TextBody"/>
        <w:spacing w:lineRule="auto" w:line="273" w:before="120" w:after="0"/>
        <w:jc w:val="left"/>
        <w:rPr>
          <w:rFonts w:ascii="Times New Roman" w:hAnsi="Times New Roman"/>
          <w:sz w:val="20"/>
        </w:rPr>
      </w:pPr>
      <w:r>
        <w:rPr>
          <w:rFonts w:ascii="Times New Roman" w:hAnsi="Times New Roman"/>
          <w:b/>
          <w:i/>
          <w:sz w:val="20"/>
        </w:rPr>
        <w:t>We rely, and intend to continue to rely, on third parties to conduct our clinical trials and perform some of our research and potential preclinical studies. If these third parties do not satisfactorily carry out their contractual duties, fail to comply with applicable regulatory requirements or do not meet expected deadlines, our development programs may be delayed or subject to increased costs or we may be unable to obtain regulatory approval, each of which may have an adverse effect on our business, financial condition, results of operations and prospects.</w:t>
      </w:r>
      <w:r>
        <w:rPr>
          <w:rFonts w:ascii="Times New Roman" w:hAnsi="Times New Roman"/>
          <w:sz w:val="20"/>
        </w:rPr>
        <w:t xml:space="preserve"> </w:t>
      </w:r>
    </w:p>
    <w:p>
      <w:pPr>
        <w:pStyle w:val="TextBody"/>
        <w:spacing w:lineRule="auto" w:line="273" w:before="120" w:after="0"/>
        <w:jc w:val="left"/>
        <w:rPr>
          <w:rFonts w:ascii="Times New Roman" w:hAnsi="Times New Roman"/>
          <w:sz w:val="20"/>
        </w:rPr>
      </w:pPr>
      <w:r>
        <w:rPr>
          <w:rFonts w:ascii="Times New Roman" w:hAnsi="Times New Roman"/>
          <w:b w:val="false"/>
          <w:sz w:val="20"/>
        </w:rPr>
        <w:t>We do not have the ability to independently conduct all aspects of our clinical trials ourselves. As a result, we are dependent on third parties to conduct our ongoing and planned clinical trials of tovorafenib (DAY101) and pimasertib, and any preclinical studies and clinical trials of any future product candidates. The timing of the initiation and completion of these trials will therefore be partially controlled by such third parties and may result in delays to our development programs. Since such third parties partially control the progress of these trials, they may also publish the data related to these trials prior to obtaining or without our approval for doing so. Specifically, we expect CROs, independent clinical investigators and consultants to play a significant role in the conduct of these trials and the subsequent collection and analysis of data. For example, in addition to the Phase 1 clinical trial run by Dana Farber Cancer Institute in collaboration with PNOC, the Children’s Oncology Group, a National Cancer Institute-supported clinical trials group and the world’s largest organization devoted exclusively to childhood and adolescent cancer research, is developing a group-wide clinical trial of tovorafenib (DAY101) in relapsed Langerhans cell histiocytosis. However, these investigators, CROs and other third parties are not our employees, and we will not be able to control all aspects of their activities. Nevertheless, we are responsible for ensuring that each clinical trial is conducted in accordance with the applicable protocol and legal, regulatory and scientific standards, and our reliance on the investigators, CROs and other third parties does not relieve us of our regulatory responsibilities. We and our CROs are required to comply with GCP requirements, which are regulations and guidelines enforced by the FDA for product candidates in clinical development. Regulatory authorities enforce these GCP requirements through periodic inspections of trial sponsors, clinical trial investigators and clinical trial sites. If we or any of our CROs or clinical trial sites fail to comply with applicable GCP requirements, the data generated in our clinical trials may be deemed unreliable, and the FDA may require us to perform additional clinical trials before approving our marketing applications. We cannot assure you that, upon inspection, the FDA will determine that our clinical trials comply with GCPs. In addition, our clinical trials must be conducted with product produced under cGMP regulations. Our failure or the failure of third parties on whom we rely to comply with these regulations may require us to stop and/or repeat clinical trials, which would delay the marketing approval process.</w:t>
      </w:r>
      <w:r>
        <w:rPr>
          <w:rFonts w:ascii="Times New Roman" w:hAnsi="Times New Roman"/>
          <w:sz w:val="20"/>
        </w:rPr>
        <w:t xml:space="preserve"> </w:t>
      </w:r>
    </w:p>
    <w:p>
      <w:pPr>
        <w:pStyle w:val="TextBody"/>
        <w:spacing w:lineRule="auto" w:line="273" w:before="240" w:after="0"/>
        <w:jc w:val="left"/>
        <w:rPr>
          <w:rFonts w:ascii="Times New Roman" w:hAnsi="Times New Roman"/>
          <w:sz w:val="20"/>
        </w:rPr>
      </w:pPr>
      <w:r>
        <w:rPr>
          <w:rFonts w:ascii="Times New Roman" w:hAnsi="Times New Roman"/>
          <w:b w:val="false"/>
          <w:sz w:val="20"/>
        </w:rPr>
        <w:t>There is no guarantee that any such CROs, clinical trial investigators or other third parties on which we rely will devote adequate time and resources to our development activities or perform as contractually required. If any of these third parties fail to meet expected deadlines, adhere to our clinical protocols or meet regulatory requirements, otherwise perform in a substandard manner, or terminate their engagements with us, the timelines for our development programs may be extended or delayed or our development activities may be suspended or terminated. If our clinical trial site terminates for any reason, we may experience the loss of follow-up information on subjects enrolled in such clinical trial unless we are able to transfer those subjects to another qualified clinical trial site, which may be difficult or impossible.</w:t>
      </w:r>
      <w:r>
        <w:rPr>
          <w:rFonts w:ascii="Times New Roman" w:hAnsi="Times New Roman"/>
          <w:sz w:val="20"/>
        </w:rPr>
        <w:t xml:space="preserve"> </w:t>
      </w:r>
    </w:p>
    <w:p>
      <w:pPr>
        <w:pStyle w:val="TextBody"/>
        <w:spacing w:lineRule="auto" w:line="273" w:before="240" w:after="0"/>
        <w:jc w:val="left"/>
        <w:rPr>
          <w:rFonts w:ascii="Times New Roman" w:hAnsi="Times New Roman"/>
          <w:sz w:val="20"/>
        </w:rPr>
      </w:pPr>
      <w:r>
        <w:rPr>
          <w:rFonts w:ascii="Times New Roman" w:hAnsi="Times New Roman"/>
          <w:b w:val="false"/>
          <w:sz w:val="20"/>
        </w:rPr>
        <w:t>In addition, with respect to investigator-sponsored trials that may be conducted, we would not control the design or conduct of these trials, and it is possible that the FDA will not view these investigator-sponsored trials as providing adequate support for future clinical trials or market approval, whether controlled by us or third parties, for any one or more reasons, including elements of the design or execution of the trials or safety concerns or other trial results. We expect that such arrangements will provide us certain information rights with respect to the investigator-sponsored trials, including access to and the ability to use and reference the data, including for our own regulatory submissions, resulting from the investigator-sponsored trials. However, we would not have control over the timing and reporting of the data from investigator-sponsored trials, nor would we own the data from the investigator-sponsored trials. If we are unable to confirm or replicate the results from the investigator-sponsored trials or if negative results are obtained, we would likely be further delayed or prevented from advancing further clinical development. Further, if investigators or institutions breach their obligations with respect to the clinical development of our product candidates, or if the data proves to be inadequate compared to the firsthand knowledge we might have gained had the investigator-sponsored trials been sponsored and conducted by us, then our ability to design and conduct any future clinical trials ourselves may be adversely affected. The investigators may design clinical trials with clinical endpoints that are more difficult to achieve, or in other ways that increase the risk of negative clinical trial results compared to clinical trials that we may design on our own. Negative results in investigator-sponsored clinical trials could have a material adverse effect on our efforts to obtain regulatory approval for our product candidates and the public perception of our product candidates. Additionally, the FDA may disagree with the sufficiency of our right of reference to the preclinical, manufacturing or clinical data generated by these investigator-sponsored trials, or our interpretation of preclinical, manufacturing or clinical data from these investigator-sponsored trials. If so, the FDA may require us to obtain and submit additional preclinical, manufacturing, or clinical data.</w:t>
      </w:r>
      <w:r>
        <w:rPr>
          <w:rFonts w:ascii="Times New Roman" w:hAnsi="Times New Roman"/>
          <w:sz w:val="20"/>
        </w:rPr>
        <w:t xml:space="preserve"> </w:t>
      </w:r>
    </w:p>
    <w:p>
      <w:pPr>
        <w:pStyle w:val="TextBody"/>
        <w:spacing w:lineRule="auto" w:line="273" w:before="0" w:after="0"/>
        <w:jc w:val="center"/>
        <w:rPr>
          <w:rFonts w:ascii="Times New Roman" w:hAnsi="Times New Roman"/>
          <w:b w:val="false"/>
          <w:sz w:val="20"/>
        </w:rPr>
      </w:pPr>
      <w:r>
        <w:rPr>
          <w:rFonts w:ascii="Times New Roman" w:hAnsi="Times New Roman"/>
          <w:b w:val="false"/>
          <w:sz w:val="20"/>
        </w:rPr>
        <w:t>59</w:t>
      </w:r>
    </w:p>
    <w:p>
      <w:pPr>
        <w:pStyle w:val="HorizontalLine"/>
        <w:rPr/>
      </w:pPr>
      <w:r>
        <w:rPr/>
      </w:r>
    </w:p>
    <w:p>
      <w:pPr>
        <w:pStyle w:val="TextBody"/>
        <w:spacing w:lineRule="auto" w:line="273" w:before="0" w:after="0"/>
        <w:jc w:val="left"/>
        <w:rPr/>
      </w:pPr>
      <w:r>
        <w:rPr/>
        <w:t> </w:t>
      </w:r>
    </w:p>
    <w:p>
      <w:pPr>
        <w:pStyle w:val="TextBody"/>
        <w:spacing w:lineRule="auto" w:line="273" w:before="240" w:after="0"/>
        <w:jc w:val="left"/>
        <w:rPr>
          <w:rFonts w:ascii="Times New Roman" w:hAnsi="Times New Roman"/>
          <w:sz w:val="20"/>
        </w:rPr>
      </w:pPr>
      <w:r>
        <w:rPr>
          <w:rFonts w:ascii="Times New Roman" w:hAnsi="Times New Roman"/>
          <w:b w:val="false"/>
          <w:sz w:val="20"/>
        </w:rPr>
        <w:t>Furthermore, these third parties may also have relationships with other entities, some of which may be our competitors for whom they may also be conducting clinical trials or other pharmaceutical product development activities that could harm our competitive position. If these third parties do not successfully carry out their contractual duties, meet expected deadlines or conduct our clinical trials in accordance with regulatory requirements or our stated protocols, we will not be able to obtain, or may be delayed in obtaining, marketing approvals for tovorafenib (DAY101), pimasertib or any future product candidates and will not be able to, or may be delayed in our efforts to, successfully commercialize our products.</w:t>
      </w:r>
      <w:r>
        <w:rPr>
          <w:rFonts w:ascii="Times New Roman" w:hAnsi="Times New Roman"/>
          <w:sz w:val="20"/>
        </w:rPr>
        <w:t xml:space="preserve"> </w:t>
      </w:r>
    </w:p>
    <w:p>
      <w:pPr>
        <w:pStyle w:val="TextBody"/>
        <w:spacing w:lineRule="auto" w:line="273" w:before="360" w:after="0"/>
        <w:jc w:val="left"/>
        <w:rPr>
          <w:rFonts w:ascii="Times New Roman" w:hAnsi="Times New Roman"/>
          <w:sz w:val="20"/>
        </w:rPr>
      </w:pPr>
      <w:r>
        <w:rPr>
          <w:rFonts w:ascii="Times New Roman" w:hAnsi="Times New Roman"/>
          <w:b/>
          <w:i/>
          <w:sz w:val="20"/>
        </w:rPr>
        <w:t>The manufacture of our product candidates is complex. Our third-party manufacturers may encounter difficulties in production, which could delay or entirely halt their ability to supply our product candidates for clinical trials or, if approved, for commercial sale.</w:t>
      </w:r>
      <w:r>
        <w:rPr>
          <w:rFonts w:ascii="Times New Roman" w:hAnsi="Times New Roman"/>
          <w:sz w:val="20"/>
        </w:rPr>
        <w:t xml:space="preserve"> </w:t>
      </w:r>
    </w:p>
    <w:p>
      <w:pPr>
        <w:pStyle w:val="TextBody"/>
        <w:spacing w:lineRule="auto" w:line="273" w:before="120" w:after="0"/>
        <w:jc w:val="left"/>
        <w:rPr>
          <w:rFonts w:ascii="Times New Roman" w:hAnsi="Times New Roman"/>
          <w:sz w:val="20"/>
        </w:rPr>
      </w:pPr>
      <w:r>
        <w:rPr>
          <w:rFonts w:ascii="Times New Roman" w:hAnsi="Times New Roman"/>
          <w:b w:val="false"/>
          <w:sz w:val="20"/>
        </w:rPr>
        <w:t>We do not have any manufacturing facilities, and we currently contract with certain third-party manufacturers in China. We rely, and expect to continue to rely, on third parties for the manufacture of our product candidates for clinical testing, product development purposes, to support regulatory application submissions, as well as for commercial manufacture if any of our product candidates obtain marketing approval. In addition, we expect to contract with analytical laboratories for release and stability testing of our product candidates. This reliance on third parties increases the risk that we will not have sufficient quantities of our product candidates or products or such quantities at an acceptable cost or quality, which could delay, prevent or impair our development or commercialization efforts. For example, the extent to which the COVID-19 pandemic impacts our ability to procure sufficient supplies for the development of our product candidates will depend on the severity and duration of the spread of the virus and the actions undertaken to contain the COVID-19 virus or treat its effects. For example, in March 2022, authorities in Shanghai announced a two-stage lock-down for residents and businesses in response to rising rates of COVID-19. While operations have resumed at our API contract manufacturing and development facilities, we cannot be sure if additional lock-down measures or restrictions will be implemented and what, if any, impact that may have on our facilities and operations in the region, including but not limited to a decrease or disruption of production, increased costs of production or other interruptions in our supply chain. In addition, any disruption in production or inability of our manufacturers specifically in China to produce adequate quantities to meet our needs, whether as a result of a natural disaster or other causes, could impair our ability to operate our business on a day-to-day basis and to continue our development of our product candidates. Furthermore, since these manufacturers are located in China, we are exposed to the possibility of product supply disruption and increased costs in the event of changes in the policies of the United States or Chinese governments, political unrest or unstable economic conditions in China. Any of these matters could materially adversely affect our business, financial condition and results of operations. In addition, disruptions in logistics routes and transportation capabilities could disrupt our supply chain. And, if we experience unexpected spikes in demand over time, we risk running out of our necessary supplies.</w:t>
      </w:r>
      <w:r>
        <w:rPr>
          <w:rFonts w:ascii="Times New Roman" w:hAnsi="Times New Roman"/>
          <w:sz w:val="20"/>
        </w:rPr>
        <w:t xml:space="preserve"> </w:t>
      </w:r>
    </w:p>
    <w:p>
      <w:pPr>
        <w:pStyle w:val="TextBody"/>
        <w:spacing w:lineRule="auto" w:line="273" w:before="240" w:after="0"/>
        <w:jc w:val="left"/>
        <w:rPr>
          <w:rFonts w:ascii="Times New Roman" w:hAnsi="Times New Roman"/>
          <w:sz w:val="20"/>
        </w:rPr>
      </w:pPr>
      <w:r>
        <w:rPr>
          <w:rFonts w:ascii="Times New Roman" w:hAnsi="Times New Roman"/>
          <w:b w:val="false"/>
          <w:sz w:val="20"/>
        </w:rPr>
        <w:t>We may be unable to establish any agreements with third-party manufacturers or do so on favorable terms. Even if we are able to establish agreements with third-party manufacturers, reliance on third-party manufacturers entails additional risks, including:</w:t>
      </w:r>
      <w:r>
        <w:rPr>
          <w:rFonts w:ascii="Times New Roman" w:hAnsi="Times New Roman"/>
          <w:sz w:val="20"/>
        </w:rPr>
        <w:t xml:space="preserve"> </w:t>
      </w:r>
    </w:p>
    <w:p>
      <w:pPr>
        <w:pStyle w:val="TextBody"/>
        <w:spacing w:lineRule="auto" w:line="273" w:before="120" w:after="0"/>
        <w:jc w:val="left"/>
        <w:rPr/>
      </w:pPr>
      <w:r>
        <w:rPr/>
        <w:t>•</w:t>
      </w:r>
    </w:p>
    <w:p>
      <w:pPr>
        <w:pStyle w:val="TextBody"/>
        <w:spacing w:lineRule="auto" w:line="273" w:before="120" w:after="0"/>
        <w:jc w:val="left"/>
        <w:rPr>
          <w:rFonts w:ascii="Times New Roman" w:hAnsi="Times New Roman"/>
          <w:b w:val="false"/>
          <w:sz w:val="20"/>
        </w:rPr>
      </w:pPr>
      <w:r>
        <w:rPr>
          <w:rFonts w:ascii="Times New Roman" w:hAnsi="Times New Roman"/>
          <w:b w:val="false"/>
          <w:sz w:val="20"/>
        </w:rPr>
        <w:t xml:space="preserve">reliance on the third-party for regulatory, compliance and quality assurance; </w:t>
      </w:r>
    </w:p>
    <w:p>
      <w:pPr>
        <w:pStyle w:val="TextBody"/>
        <w:spacing w:lineRule="auto" w:line="273" w:before="120" w:after="0"/>
        <w:jc w:val="left"/>
        <w:rPr/>
      </w:pPr>
      <w:r>
        <w:rPr/>
        <w:t>•</w:t>
      </w:r>
    </w:p>
    <w:p>
      <w:pPr>
        <w:pStyle w:val="TextBody"/>
        <w:spacing w:lineRule="auto" w:line="273" w:before="120" w:after="0"/>
        <w:jc w:val="left"/>
        <w:rPr>
          <w:rFonts w:ascii="Times New Roman" w:hAnsi="Times New Roman"/>
          <w:b w:val="false"/>
          <w:sz w:val="20"/>
        </w:rPr>
      </w:pPr>
      <w:r>
        <w:rPr>
          <w:rFonts w:ascii="Times New Roman" w:hAnsi="Times New Roman"/>
          <w:b w:val="false"/>
          <w:sz w:val="20"/>
        </w:rPr>
        <w:t xml:space="preserve">reliance on the third-party for product development, analytical testing, and data generation to support regulatory applications; </w:t>
      </w:r>
    </w:p>
    <w:p>
      <w:pPr>
        <w:pStyle w:val="TextBody"/>
        <w:spacing w:lineRule="auto" w:line="273" w:before="120" w:after="0"/>
        <w:jc w:val="left"/>
        <w:rPr/>
      </w:pPr>
      <w:r>
        <w:rPr/>
        <w:t>•</w:t>
      </w:r>
    </w:p>
    <w:p>
      <w:pPr>
        <w:pStyle w:val="TextBody"/>
        <w:spacing w:lineRule="auto" w:line="273" w:before="120" w:after="0"/>
        <w:jc w:val="left"/>
        <w:rPr>
          <w:rFonts w:ascii="Times New Roman" w:hAnsi="Times New Roman"/>
          <w:b w:val="false"/>
          <w:sz w:val="20"/>
        </w:rPr>
      </w:pPr>
      <w:r>
        <w:rPr>
          <w:rFonts w:ascii="Times New Roman" w:hAnsi="Times New Roman"/>
          <w:b w:val="false"/>
          <w:sz w:val="20"/>
        </w:rPr>
        <w:t xml:space="preserve">operations of our third-party manufacturers or suppliers could be disrupted by conditions unrelated to our business or operations, including the bankruptcy of the manufacturer or supplier, the issuance of an FDA Form 483 notice or warning letter, or other enforcement action by FDA or other regulatory authority; </w:t>
      </w:r>
    </w:p>
    <w:p>
      <w:pPr>
        <w:pStyle w:val="TextBody"/>
        <w:spacing w:lineRule="auto" w:line="273" w:before="120" w:after="0"/>
        <w:jc w:val="left"/>
        <w:rPr/>
      </w:pPr>
      <w:r>
        <w:rPr/>
        <w:t>•</w:t>
      </w:r>
    </w:p>
    <w:p>
      <w:pPr>
        <w:pStyle w:val="TextBody"/>
        <w:spacing w:lineRule="auto" w:line="273" w:before="120" w:after="0"/>
        <w:jc w:val="left"/>
        <w:rPr>
          <w:rFonts w:ascii="Times New Roman" w:hAnsi="Times New Roman"/>
          <w:b w:val="false"/>
          <w:sz w:val="20"/>
        </w:rPr>
      </w:pPr>
      <w:r>
        <w:rPr>
          <w:rFonts w:ascii="Times New Roman" w:hAnsi="Times New Roman"/>
          <w:b w:val="false"/>
          <w:sz w:val="20"/>
        </w:rPr>
        <w:t xml:space="preserve">the possible breach of the manufacturing agreement by the third party; </w:t>
      </w:r>
    </w:p>
    <w:p>
      <w:pPr>
        <w:pStyle w:val="TextBody"/>
        <w:spacing w:lineRule="auto" w:line="273" w:before="120" w:after="0"/>
        <w:jc w:val="left"/>
        <w:rPr/>
      </w:pPr>
      <w:r>
        <w:rPr/>
        <w:t>•</w:t>
      </w:r>
    </w:p>
    <w:p>
      <w:pPr>
        <w:pStyle w:val="TextBody"/>
        <w:spacing w:lineRule="auto" w:line="273" w:before="120" w:after="0"/>
        <w:jc w:val="left"/>
        <w:rPr>
          <w:rFonts w:ascii="Times New Roman" w:hAnsi="Times New Roman"/>
          <w:b w:val="false"/>
          <w:sz w:val="20"/>
        </w:rPr>
      </w:pPr>
      <w:r>
        <w:rPr>
          <w:rFonts w:ascii="Times New Roman" w:hAnsi="Times New Roman"/>
          <w:b w:val="false"/>
          <w:sz w:val="20"/>
        </w:rPr>
        <w:t xml:space="preserve">the possible misappropriation of our proprietary information, including our trade secrets and know-how; </w:t>
      </w:r>
    </w:p>
    <w:p>
      <w:pPr>
        <w:pStyle w:val="TextBody"/>
        <w:spacing w:lineRule="auto" w:line="273" w:before="120" w:after="0"/>
        <w:jc w:val="left"/>
        <w:rPr/>
      </w:pPr>
      <w:r>
        <w:rPr/>
        <w:t>•</w:t>
      </w:r>
    </w:p>
    <w:p>
      <w:pPr>
        <w:pStyle w:val="TextBody"/>
        <w:spacing w:lineRule="auto" w:line="273" w:before="120" w:after="0"/>
        <w:jc w:val="left"/>
        <w:rPr>
          <w:rFonts w:ascii="Times New Roman" w:hAnsi="Times New Roman"/>
          <w:b w:val="false"/>
          <w:sz w:val="20"/>
        </w:rPr>
      </w:pPr>
      <w:r>
        <w:rPr>
          <w:rFonts w:ascii="Times New Roman" w:hAnsi="Times New Roman"/>
          <w:b w:val="false"/>
          <w:sz w:val="20"/>
        </w:rPr>
        <w:t xml:space="preserve">the possible termination or nonrenewal of the agreement by the third-party at a time that is costly or inconvenient for us; </w:t>
      </w:r>
    </w:p>
    <w:p>
      <w:pPr>
        <w:pStyle w:val="TextBody"/>
        <w:spacing w:lineRule="auto" w:line="273" w:before="120" w:after="0"/>
        <w:jc w:val="left"/>
        <w:rPr/>
      </w:pPr>
      <w:r>
        <w:rPr/>
        <w:t>•</w:t>
      </w:r>
    </w:p>
    <w:p>
      <w:pPr>
        <w:pStyle w:val="TextBody"/>
        <w:spacing w:lineRule="auto" w:line="273" w:before="120" w:after="0"/>
        <w:jc w:val="left"/>
        <w:rPr>
          <w:rFonts w:ascii="Times New Roman" w:hAnsi="Times New Roman"/>
          <w:b w:val="false"/>
          <w:sz w:val="20"/>
        </w:rPr>
      </w:pPr>
      <w:r>
        <w:rPr>
          <w:rFonts w:ascii="Times New Roman" w:hAnsi="Times New Roman"/>
          <w:b w:val="false"/>
          <w:sz w:val="20"/>
        </w:rPr>
        <w:t xml:space="preserve">the possible termination or nonrenewal of the agreement by the third-party at a time that is costly or inconvenient for us; </w:t>
      </w:r>
    </w:p>
    <w:p>
      <w:pPr>
        <w:pStyle w:val="TextBody"/>
        <w:spacing w:lineRule="auto" w:line="273" w:before="120" w:after="0"/>
        <w:jc w:val="left"/>
        <w:rPr/>
      </w:pPr>
      <w:r>
        <w:rPr/>
        <w:t>•</w:t>
      </w:r>
    </w:p>
    <w:p>
      <w:pPr>
        <w:pStyle w:val="TextBody"/>
        <w:spacing w:lineRule="auto" w:line="273" w:before="120" w:after="0"/>
        <w:jc w:val="left"/>
        <w:rPr>
          <w:rFonts w:ascii="Times New Roman" w:hAnsi="Times New Roman"/>
          <w:b w:val="false"/>
          <w:sz w:val="20"/>
        </w:rPr>
      </w:pPr>
      <w:r>
        <w:rPr>
          <w:rFonts w:ascii="Times New Roman" w:hAnsi="Times New Roman"/>
          <w:b w:val="false"/>
          <w:sz w:val="20"/>
        </w:rPr>
        <w:t xml:space="preserve">carrier disruptions or increased costs that are beyond our control; and </w:t>
      </w:r>
    </w:p>
    <w:p>
      <w:pPr>
        <w:pStyle w:val="TextBody"/>
        <w:spacing w:lineRule="auto" w:line="273" w:before="120" w:after="0"/>
        <w:jc w:val="left"/>
        <w:rPr/>
      </w:pPr>
      <w:r>
        <w:rPr/>
        <w:t>•</w:t>
      </w:r>
    </w:p>
    <w:p>
      <w:pPr>
        <w:pStyle w:val="TextBody"/>
        <w:spacing w:lineRule="auto" w:line="273" w:before="120" w:after="283"/>
        <w:jc w:val="left"/>
        <w:rPr>
          <w:rFonts w:ascii="Times New Roman" w:hAnsi="Times New Roman"/>
          <w:b w:val="false"/>
          <w:sz w:val="20"/>
        </w:rPr>
      </w:pPr>
      <w:r>
        <w:rPr>
          <w:rFonts w:ascii="Times New Roman" w:hAnsi="Times New Roman"/>
          <w:b w:val="false"/>
          <w:sz w:val="20"/>
        </w:rPr>
        <w:t xml:space="preserve">failure to deliver our drugs under specified storage conditions and in a timely manner. </w:t>
      </w:r>
    </w:p>
    <w:p>
      <w:pPr>
        <w:pStyle w:val="TextBody"/>
        <w:spacing w:lineRule="auto" w:line="273" w:before="0" w:after="0"/>
        <w:jc w:val="center"/>
        <w:rPr>
          <w:rFonts w:ascii="Times New Roman" w:hAnsi="Times New Roman"/>
          <w:b w:val="false"/>
          <w:sz w:val="20"/>
        </w:rPr>
      </w:pPr>
      <w:r>
        <w:rPr>
          <w:rFonts w:ascii="Times New Roman" w:hAnsi="Times New Roman"/>
          <w:b w:val="false"/>
          <w:sz w:val="20"/>
        </w:rPr>
        <w:t>60</w:t>
      </w:r>
    </w:p>
    <w:p>
      <w:pPr>
        <w:pStyle w:val="HorizontalLine"/>
        <w:rPr/>
      </w:pPr>
      <w:r>
        <w:rPr/>
      </w:r>
    </w:p>
    <w:p>
      <w:pPr>
        <w:pStyle w:val="TextBody"/>
        <w:spacing w:lineRule="auto" w:line="273" w:before="0" w:after="0"/>
        <w:jc w:val="left"/>
        <w:rPr/>
      </w:pPr>
      <w:r>
        <w:rPr/>
        <w:t> </w:t>
      </w:r>
    </w:p>
    <w:p>
      <w:pPr>
        <w:pStyle w:val="TextBody"/>
        <w:spacing w:lineRule="auto" w:line="273" w:before="240" w:after="0"/>
        <w:jc w:val="left"/>
        <w:rPr>
          <w:rFonts w:ascii="Times New Roman" w:hAnsi="Times New Roman"/>
          <w:sz w:val="20"/>
        </w:rPr>
      </w:pPr>
      <w:r>
        <w:rPr>
          <w:rFonts w:ascii="Times New Roman" w:hAnsi="Times New Roman"/>
          <w:b w:val="false"/>
          <w:sz w:val="20"/>
        </w:rPr>
        <w:t>We have only limited supply arrangements in place with respect to our product candidates, and these arrangements do not extend to commercial supply. We acquire all key materials on a purchase order basis. As a result, we do not have long-term committed arrangements with respect to our product candidates and other materials. We will need to establish one or more agreements with third parties to develop and scale up the drug manufacturing process, conduct drug testing, and generate data to support a regulatory submission. If we obtain marketing approval for any of our product candidates, we will need to establish an agreement for commercial manufacture with a third party. In addition, we are dependent on a sole supplier for certain components of our manufacturing process. Even if we are able to replace any raw materials or other materials with an alternative, such alternatives may cost more, result in lower yields or not be as suitable for our purposes. In addition, some of the materials that we use to manufacture our product candidates are complex materials, which may be more difficult to substitute. Therefore, any disruptions arising from our sole suppliers could result in delays and additional regulatory submissions.</w:t>
      </w:r>
      <w:r>
        <w:rPr>
          <w:rFonts w:ascii="Times New Roman" w:hAnsi="Times New Roman"/>
          <w:sz w:val="20"/>
        </w:rPr>
        <w:t xml:space="preserve"> </w:t>
      </w:r>
    </w:p>
    <w:p>
      <w:pPr>
        <w:pStyle w:val="TextBody"/>
        <w:spacing w:lineRule="auto" w:line="273" w:before="240" w:after="0"/>
        <w:jc w:val="left"/>
        <w:rPr>
          <w:rFonts w:ascii="Times New Roman" w:hAnsi="Times New Roman"/>
          <w:b w:val="false"/>
          <w:sz w:val="20"/>
        </w:rPr>
      </w:pPr>
      <w:r>
        <w:rPr>
          <w:rFonts w:ascii="Times New Roman" w:hAnsi="Times New Roman"/>
          <w:b w:val="false"/>
          <w:sz w:val="20"/>
        </w:rPr>
        <w:t>We rely on a limited number of suppliers, some of whom are our sole source for certain materials, and some of whom are based in foreign jurisdictions. Our small number of suppliers involves a number of additional risks, including risks related to supplier capacity constraints, component availability, price increases, timely delivery, component quality, failure of a key supplier to remain in business and adjust to market conditions, natural disasters, fire, acts of terrorism, pandemics, including the COVID-19 pandemic, or other catastrophic events.</w:t>
      </w:r>
    </w:p>
    <w:p>
      <w:pPr>
        <w:pStyle w:val="TextBody"/>
        <w:spacing w:lineRule="auto" w:line="273" w:before="240" w:after="0"/>
        <w:jc w:val="left"/>
        <w:rPr>
          <w:rFonts w:ascii="Times New Roman" w:hAnsi="Times New Roman"/>
          <w:sz w:val="20"/>
        </w:rPr>
      </w:pPr>
      <w:r>
        <w:rPr>
          <w:rFonts w:ascii="Times New Roman" w:hAnsi="Times New Roman"/>
          <w:b w:val="false"/>
          <w:sz w:val="20"/>
        </w:rPr>
        <w:t>Third-party manufacturers may not be able to comply with cGMP regulations or similar regulatory requirements outside of the United States. If the FDA determines that our CMOs are not in compliance with FDA laws and regulations, including those governing cGMPs, the FDA may not approve an NDA until the deficiencies are corrected or we replace the manufacturer in our application with a manufacturer that is in compliance. Moreover, our failure, or the failure of our third-party manufacturers and suppliers, to comply with applicable regulations could result in sanctions being imposed on us, including clinical holds, fines, injunctions, civil penalties, seizures or recalls of product candidates or products, operating restrictions and criminal prosecutions, any of which could significantly and adversely affect supplies of our products. In addition, approved products and the facilities at which they are manufactured are required to maintain ongoing compliance with extensive FDA requirements and the requirements of other similar agencies, including ensuring that quality control and manufacturing procedures conform to cGMP requirements. As such, our CMOs are subject to continual review and periodic inspections to assess compliance with cGMPs. Furthermore, although we do not have day-to-day control over the operations of our CMOs, we are responsible for ensuring compliance with applicable laws and regulations, including cGMPs.</w:t>
      </w:r>
      <w:r>
        <w:rPr>
          <w:rFonts w:ascii="Times New Roman" w:hAnsi="Times New Roman"/>
          <w:sz w:val="20"/>
        </w:rPr>
        <w:t xml:space="preserve"> </w:t>
      </w:r>
    </w:p>
    <w:p>
      <w:pPr>
        <w:pStyle w:val="TextBody"/>
        <w:spacing w:lineRule="auto" w:line="273" w:before="240" w:after="0"/>
        <w:jc w:val="left"/>
        <w:rPr>
          <w:rFonts w:ascii="Times New Roman" w:hAnsi="Times New Roman"/>
          <w:sz w:val="20"/>
        </w:rPr>
      </w:pPr>
      <w:r>
        <w:rPr>
          <w:rFonts w:ascii="Times New Roman" w:hAnsi="Times New Roman"/>
          <w:b w:val="false"/>
          <w:sz w:val="20"/>
        </w:rPr>
        <w:t>In addition, our third-party manufacturers and suppliers are subject to numerous environmental, health and safety laws and regulations, including those governing the handling, use, storage, treatment and disposal of waste products, and failure to comply with such laws and regulations could result in significant costs associated with civil or criminal fines and penalties for such third parties. Based on the severity of regulatory actions that may be brought against these third parties in the future, our clinical or commercial supply of drug and packaging and other services could be interrupted or limited, which could harm our business.</w:t>
      </w:r>
      <w:r>
        <w:rPr>
          <w:rFonts w:ascii="Times New Roman" w:hAnsi="Times New Roman"/>
          <w:sz w:val="20"/>
        </w:rPr>
        <w:t xml:space="preserve"> </w:t>
      </w:r>
    </w:p>
    <w:p>
      <w:pPr>
        <w:pStyle w:val="TextBody"/>
        <w:spacing w:lineRule="auto" w:line="273" w:before="240" w:after="0"/>
        <w:jc w:val="left"/>
        <w:rPr>
          <w:rFonts w:ascii="Times New Roman" w:hAnsi="Times New Roman"/>
          <w:sz w:val="20"/>
        </w:rPr>
      </w:pPr>
      <w:r>
        <w:rPr>
          <w:rFonts w:ascii="Times New Roman" w:hAnsi="Times New Roman"/>
          <w:b w:val="false"/>
          <w:sz w:val="20"/>
        </w:rPr>
        <w:t>Our product candidates and any products that we may develop may compete with other product candidates and products for access to manufacturing facilities. As a result, we may not obtain access to these facilities on a priority basis or at all. There are a limited number of manufacturers that operate under cGMP regulations and that might be capable of manufacturing for us.</w:t>
      </w:r>
      <w:r>
        <w:rPr>
          <w:rFonts w:ascii="Times New Roman" w:hAnsi="Times New Roman"/>
          <w:sz w:val="20"/>
        </w:rPr>
        <w:t xml:space="preserve"> </w:t>
      </w:r>
    </w:p>
    <w:p>
      <w:pPr>
        <w:pStyle w:val="TextBody"/>
        <w:spacing w:lineRule="auto" w:line="273" w:before="240" w:after="0"/>
        <w:jc w:val="left"/>
        <w:rPr>
          <w:rFonts w:ascii="Times New Roman" w:hAnsi="Times New Roman"/>
          <w:sz w:val="20"/>
        </w:rPr>
      </w:pPr>
      <w:r>
        <w:rPr>
          <w:rFonts w:ascii="Times New Roman" w:hAnsi="Times New Roman"/>
          <w:b w:val="false"/>
          <w:sz w:val="20"/>
        </w:rPr>
        <w:t>As we prepare for later-stage clinical trials and potential commercialization, we will need to take steps to increase the scale of production of our product candidates. We have not yet scaled up the manufacturing process for any of our product candidates. Third-party manufacturers may be unable to successfully increase the manufacturing capacity for any of our product candidates in a timely or cost-effective manner, or at all. In addition, quality issues may arise during scale-up or commercial activities. For example, if microbial, viral or other contaminations are discovered in our product candidates or in the manufacturing facilities in which our product candidates are made, such manufacturing facilities may need to be closed for an extended period of time to investigate and remedy the contamination.</w:t>
      </w:r>
      <w:r>
        <w:rPr>
          <w:rFonts w:ascii="Times New Roman" w:hAnsi="Times New Roman"/>
          <w:sz w:val="20"/>
        </w:rPr>
        <w:t xml:space="preserve"> </w:t>
      </w:r>
    </w:p>
    <w:p>
      <w:pPr>
        <w:pStyle w:val="TextBody"/>
        <w:spacing w:lineRule="auto" w:line="273" w:before="240" w:after="0"/>
        <w:jc w:val="left"/>
        <w:rPr>
          <w:rFonts w:ascii="Times New Roman" w:hAnsi="Times New Roman"/>
          <w:sz w:val="20"/>
        </w:rPr>
      </w:pPr>
      <w:r>
        <w:rPr>
          <w:rFonts w:ascii="Times New Roman" w:hAnsi="Times New Roman"/>
          <w:b w:val="false"/>
          <w:sz w:val="20"/>
        </w:rPr>
        <w:t>Any performance failure on the part of our existing or future manufacturers could delay clinical development or marketing approval. We do not currently have arrangements in place for redundant supply or a second source for bulk drug substance. If our current CMOs for clinical testing cannot perform as agreed, we may be required to replace such CMOs. Although we believe that there are several potential alternative manufacturers who could manufacture our product candidates, we may incur added costs and delays in identifying and qualifying any such replacement manufacturer or be able to reach agreement with any alternative manufacturer. Further, our third-party manufacturers may experience manufacturing or shipping difficulties due to resource constraints or as a result of natural disasters, labor disputes, unstable political environments, or public health epidemics such as the COVID-19 pandemic. If our current third-party manufacturers cannot perform as agreed, we may be required to replace such manufacturers and we may be unable to replace them on a timely basis or at all.</w:t>
      </w:r>
      <w:r>
        <w:rPr>
          <w:rFonts w:ascii="Times New Roman" w:hAnsi="Times New Roman"/>
          <w:sz w:val="20"/>
        </w:rPr>
        <w:t xml:space="preserve"> </w:t>
      </w:r>
    </w:p>
    <w:p>
      <w:pPr>
        <w:pStyle w:val="TextBody"/>
        <w:spacing w:lineRule="auto" w:line="273" w:before="0" w:after="0"/>
        <w:jc w:val="center"/>
        <w:rPr>
          <w:rFonts w:ascii="Times New Roman" w:hAnsi="Times New Roman"/>
          <w:b w:val="false"/>
          <w:sz w:val="20"/>
        </w:rPr>
      </w:pPr>
      <w:r>
        <w:rPr>
          <w:rFonts w:ascii="Times New Roman" w:hAnsi="Times New Roman"/>
          <w:b w:val="false"/>
          <w:sz w:val="20"/>
        </w:rPr>
        <w:t>61</w:t>
      </w:r>
    </w:p>
    <w:p>
      <w:pPr>
        <w:pStyle w:val="HorizontalLine"/>
        <w:rPr/>
      </w:pPr>
      <w:r>
        <w:rPr/>
      </w:r>
    </w:p>
    <w:p>
      <w:pPr>
        <w:pStyle w:val="TextBody"/>
        <w:spacing w:lineRule="auto" w:line="273" w:before="0" w:after="0"/>
        <w:jc w:val="left"/>
        <w:rPr/>
      </w:pPr>
      <w:r>
        <w:rPr/>
        <w:t> </w:t>
      </w:r>
    </w:p>
    <w:p>
      <w:pPr>
        <w:pStyle w:val="TextBody"/>
        <w:spacing w:lineRule="auto" w:line="273" w:before="240" w:after="0"/>
        <w:jc w:val="left"/>
        <w:rPr>
          <w:rFonts w:ascii="Times New Roman" w:hAnsi="Times New Roman"/>
          <w:sz w:val="20"/>
        </w:rPr>
      </w:pPr>
      <w:r>
        <w:rPr>
          <w:rFonts w:ascii="Times New Roman" w:hAnsi="Times New Roman"/>
          <w:b w:val="false"/>
          <w:sz w:val="20"/>
        </w:rPr>
        <w:t>Our current and anticipated future dependence upon others for the manufacture of our product candidates or products may adversely affect our future profit margins and our ability to commercialize any products that obtain marketing approval on a timely and competitive basis.</w:t>
      </w:r>
      <w:r>
        <w:rPr>
          <w:rFonts w:ascii="Times New Roman" w:hAnsi="Times New Roman"/>
          <w:sz w:val="20"/>
        </w:rPr>
        <w:t xml:space="preserve"> </w:t>
      </w:r>
    </w:p>
    <w:p>
      <w:pPr>
        <w:pStyle w:val="TextBody"/>
        <w:spacing w:lineRule="auto" w:line="273" w:before="360" w:after="0"/>
        <w:jc w:val="left"/>
        <w:rPr>
          <w:rFonts w:ascii="Times New Roman" w:hAnsi="Times New Roman"/>
          <w:sz w:val="20"/>
        </w:rPr>
      </w:pPr>
      <w:r>
        <w:rPr>
          <w:rFonts w:ascii="Times New Roman" w:hAnsi="Times New Roman"/>
          <w:b/>
          <w:i/>
          <w:sz w:val="20"/>
        </w:rPr>
        <w:t>We may enter into collaborations with third parties for the development and commercialization of our product candidates. If those collaborations are not successful, we may not be able to capitalize on the market potential of these product candidates.</w:t>
      </w:r>
      <w:r>
        <w:rPr>
          <w:rFonts w:ascii="Times New Roman" w:hAnsi="Times New Roman"/>
          <w:sz w:val="20"/>
        </w:rPr>
        <w:t xml:space="preserve"> </w:t>
      </w:r>
    </w:p>
    <w:p>
      <w:pPr>
        <w:pStyle w:val="TextBody"/>
        <w:spacing w:lineRule="auto" w:line="273" w:before="120" w:after="0"/>
        <w:jc w:val="left"/>
        <w:rPr>
          <w:rFonts w:ascii="Times New Roman" w:hAnsi="Times New Roman"/>
          <w:sz w:val="20"/>
        </w:rPr>
      </w:pPr>
      <w:r>
        <w:rPr>
          <w:rFonts w:ascii="Times New Roman" w:hAnsi="Times New Roman"/>
          <w:b w:val="false"/>
          <w:sz w:val="20"/>
        </w:rPr>
        <w:t>We may seek third-party collaborators for the development and commercialization of some of our product candidates on a select basis. We have not entered into any collaborations to date. Our likely collaborators for any future collaboration arrangements include large and mid-size pharmaceutical companies, regional and national pharmaceutical companies and biotechnology companies. We face significant competition in seeking appropriate collaborators. Our ability to reach a definitive agreement for a future collaboration will depend, among other things, upon our assessment of the future collaborator’s resources and expertise, the terms and conditions of the proposed collaboration and the proposed collaborator’s evaluation of a number of factors.</w:t>
      </w:r>
      <w:r>
        <w:rPr>
          <w:rFonts w:ascii="Times New Roman" w:hAnsi="Times New Roman"/>
          <w:sz w:val="20"/>
        </w:rPr>
        <w:t xml:space="preserve"> </w:t>
      </w:r>
    </w:p>
    <w:p>
      <w:pPr>
        <w:pStyle w:val="TextBody"/>
        <w:spacing w:lineRule="auto" w:line="273" w:before="240" w:after="0"/>
        <w:jc w:val="left"/>
        <w:rPr>
          <w:rFonts w:ascii="Times New Roman" w:hAnsi="Times New Roman"/>
          <w:sz w:val="20"/>
        </w:rPr>
      </w:pPr>
      <w:r>
        <w:rPr>
          <w:rFonts w:ascii="Times New Roman" w:hAnsi="Times New Roman"/>
          <w:b w:val="false"/>
          <w:sz w:val="20"/>
        </w:rPr>
        <w:t>If we do enter into any such arrangements with any third parties, we will likely have limited control over the amount and timing of resources that our future collaborators dedicate to the development or commercialization of our product candidates. Our ability to generate revenues from these arrangements will depend on our future collaborators’ abilities and efforts to successfully perform the functions assigned to them in these arrangements. Collaborations with future collaborators involving our product candidates would pose numerous risks to us, including the following:</w:t>
      </w:r>
      <w:r>
        <w:rPr>
          <w:rFonts w:ascii="Times New Roman" w:hAnsi="Times New Roman"/>
          <w:sz w:val="20"/>
        </w:rPr>
        <w:t xml:space="preserve"> </w:t>
      </w:r>
    </w:p>
    <w:p>
      <w:pPr>
        <w:pStyle w:val="TextBody"/>
        <w:spacing w:lineRule="auto" w:line="273" w:before="120" w:after="0"/>
        <w:jc w:val="left"/>
        <w:rPr/>
      </w:pPr>
      <w:r>
        <w:rPr/>
        <w:t>•</w:t>
      </w:r>
    </w:p>
    <w:p>
      <w:pPr>
        <w:pStyle w:val="TextBody"/>
        <w:spacing w:lineRule="auto" w:line="273" w:before="120" w:after="0"/>
        <w:jc w:val="left"/>
        <w:rPr>
          <w:rFonts w:ascii="Times New Roman" w:hAnsi="Times New Roman"/>
          <w:b w:val="false"/>
          <w:sz w:val="20"/>
        </w:rPr>
      </w:pPr>
      <w:r>
        <w:rPr>
          <w:rFonts w:ascii="Times New Roman" w:hAnsi="Times New Roman"/>
          <w:b w:val="false"/>
          <w:sz w:val="20"/>
        </w:rPr>
        <w:t xml:space="preserve">collaborators have significant discretion in determining the efforts and resources that they will apply to these collaborations and may not perform their obligations as expected; </w:t>
      </w:r>
    </w:p>
    <w:p>
      <w:pPr>
        <w:pStyle w:val="TextBody"/>
        <w:spacing w:lineRule="auto" w:line="273" w:before="120" w:after="0"/>
        <w:jc w:val="left"/>
        <w:rPr/>
      </w:pPr>
      <w:r>
        <w:rPr/>
        <w:t>•</w:t>
      </w:r>
    </w:p>
    <w:p>
      <w:pPr>
        <w:pStyle w:val="TextBody"/>
        <w:spacing w:lineRule="auto" w:line="273" w:before="120" w:after="0"/>
        <w:jc w:val="left"/>
        <w:rPr>
          <w:rFonts w:ascii="Times New Roman" w:hAnsi="Times New Roman"/>
          <w:b w:val="false"/>
          <w:sz w:val="20"/>
        </w:rPr>
      </w:pPr>
      <w:r>
        <w:rPr>
          <w:rFonts w:ascii="Times New Roman" w:hAnsi="Times New Roman"/>
          <w:b w:val="false"/>
          <w:sz w:val="20"/>
        </w:rPr>
        <w:t xml:space="preserve">collaborators may de-emphasize or not pursue development and commercialization of our product candidates or may elect not to continue or renew development or commercialization programs based on clinical trial results, changes in the collaborator's strategic focus, including as a result of a sale or disposition of a business unit or development function, or available funding or external factors such as an acquisition that diverts resources or creates competing priorities; </w:t>
      </w:r>
    </w:p>
    <w:p>
      <w:pPr>
        <w:pStyle w:val="TextBody"/>
        <w:spacing w:lineRule="auto" w:line="273" w:before="120" w:after="0"/>
        <w:jc w:val="left"/>
        <w:rPr/>
      </w:pPr>
      <w:r>
        <w:rPr/>
        <w:t>•</w:t>
      </w:r>
    </w:p>
    <w:p>
      <w:pPr>
        <w:pStyle w:val="TextBody"/>
        <w:spacing w:lineRule="auto" w:line="273" w:before="120" w:after="0"/>
        <w:jc w:val="left"/>
        <w:rPr>
          <w:rFonts w:ascii="Times New Roman" w:hAnsi="Times New Roman"/>
          <w:b w:val="false"/>
          <w:sz w:val="20"/>
        </w:rPr>
      </w:pPr>
      <w:r>
        <w:rPr>
          <w:rFonts w:ascii="Times New Roman" w:hAnsi="Times New Roman"/>
          <w:b w:val="false"/>
          <w:sz w:val="20"/>
        </w:rPr>
        <w:t xml:space="preserve">collaborators may delay clinical trials, provide insufficient funding for a clinical trial program, stop a clinical trial or abandon a product candidate, repeat or conduct new clinical trials or require a new formulation of a product candidate for clinical testing; </w:t>
      </w:r>
    </w:p>
    <w:p>
      <w:pPr>
        <w:pStyle w:val="TextBody"/>
        <w:spacing w:lineRule="auto" w:line="273" w:before="120" w:after="0"/>
        <w:jc w:val="left"/>
        <w:rPr/>
      </w:pPr>
      <w:r>
        <w:rPr/>
        <w:t>•</w:t>
      </w:r>
    </w:p>
    <w:p>
      <w:pPr>
        <w:pStyle w:val="TextBody"/>
        <w:spacing w:lineRule="auto" w:line="273" w:before="120" w:after="0"/>
        <w:jc w:val="left"/>
        <w:rPr>
          <w:rFonts w:ascii="Times New Roman" w:hAnsi="Times New Roman"/>
          <w:b w:val="false"/>
          <w:sz w:val="20"/>
        </w:rPr>
      </w:pPr>
      <w:r>
        <w:rPr>
          <w:rFonts w:ascii="Times New Roman" w:hAnsi="Times New Roman"/>
          <w:b w:val="false"/>
          <w:sz w:val="20"/>
        </w:rPr>
        <w:t xml:space="preserve">collaborators could independently develop, or develop with third parties, products that compete directly or indirectly with our products or product candidates if the collaborators believe that competitive products are more likely to be successfully developed or can be commercialized under terms that are more economically attractive than ours; </w:t>
      </w:r>
    </w:p>
    <w:p>
      <w:pPr>
        <w:pStyle w:val="TextBody"/>
        <w:spacing w:lineRule="auto" w:line="273" w:before="120" w:after="0"/>
        <w:jc w:val="left"/>
        <w:rPr/>
      </w:pPr>
      <w:r>
        <w:rPr/>
        <w:t>•</w:t>
      </w:r>
    </w:p>
    <w:p>
      <w:pPr>
        <w:pStyle w:val="TextBody"/>
        <w:spacing w:lineRule="auto" w:line="273" w:before="120" w:after="0"/>
        <w:jc w:val="left"/>
        <w:rPr>
          <w:rFonts w:ascii="Times New Roman" w:hAnsi="Times New Roman"/>
          <w:b w:val="false"/>
          <w:sz w:val="20"/>
        </w:rPr>
      </w:pPr>
      <w:r>
        <w:rPr>
          <w:rFonts w:ascii="Times New Roman" w:hAnsi="Times New Roman"/>
          <w:b w:val="false"/>
          <w:sz w:val="20"/>
        </w:rPr>
        <w:t xml:space="preserve">a collaborator with marketing and distribution rights to multiple products may not commit sufficient resources to the marketing and distribution of our product relative to other products; </w:t>
      </w:r>
    </w:p>
    <w:p>
      <w:pPr>
        <w:pStyle w:val="TextBody"/>
        <w:spacing w:lineRule="auto" w:line="273" w:before="120" w:after="0"/>
        <w:jc w:val="left"/>
        <w:rPr/>
      </w:pPr>
      <w:r>
        <w:rPr/>
        <w:t>•</w:t>
      </w:r>
    </w:p>
    <w:p>
      <w:pPr>
        <w:pStyle w:val="TextBody"/>
        <w:spacing w:lineRule="auto" w:line="273" w:before="120" w:after="0"/>
        <w:jc w:val="left"/>
        <w:rPr>
          <w:rFonts w:ascii="Times New Roman" w:hAnsi="Times New Roman"/>
          <w:b w:val="false"/>
          <w:sz w:val="20"/>
        </w:rPr>
      </w:pPr>
      <w:r>
        <w:rPr>
          <w:rFonts w:ascii="Times New Roman" w:hAnsi="Times New Roman"/>
          <w:b w:val="false"/>
          <w:sz w:val="20"/>
        </w:rPr>
        <w:t xml:space="preserve">collaborators may not properly obtain, maintain, defend or enforce our intellectual property rights or may use our proprietary information and intellectual property in such a way as to invite litigation or other intellectual property related proceedings that could jeopardize or invalidate our proprietary information and intellectual property or expose us to potential litigation or other intellectual property related proceedings; </w:t>
      </w:r>
    </w:p>
    <w:p>
      <w:pPr>
        <w:pStyle w:val="TextBody"/>
        <w:spacing w:lineRule="auto" w:line="273" w:before="120" w:after="0"/>
        <w:jc w:val="left"/>
        <w:rPr/>
      </w:pPr>
      <w:r>
        <w:rPr/>
        <w:t>•</w:t>
      </w:r>
    </w:p>
    <w:p>
      <w:pPr>
        <w:pStyle w:val="TextBody"/>
        <w:spacing w:lineRule="auto" w:line="273" w:before="120" w:after="0"/>
        <w:jc w:val="left"/>
        <w:rPr>
          <w:rFonts w:ascii="Times New Roman" w:hAnsi="Times New Roman"/>
          <w:b w:val="false"/>
          <w:sz w:val="20"/>
        </w:rPr>
      </w:pPr>
      <w:r>
        <w:rPr>
          <w:rFonts w:ascii="Times New Roman" w:hAnsi="Times New Roman"/>
          <w:b w:val="false"/>
          <w:sz w:val="20"/>
        </w:rPr>
        <w:t xml:space="preserve">disputes may arise between the collaborators and us that result in the delay or termination of the research, development or commercialization of our products or product candidates or that result in costly litigation or arbitration that diverts management attention and resources; </w:t>
      </w:r>
    </w:p>
    <w:p>
      <w:pPr>
        <w:pStyle w:val="TextBody"/>
        <w:spacing w:lineRule="auto" w:line="273" w:before="120" w:after="0"/>
        <w:jc w:val="left"/>
        <w:rPr/>
      </w:pPr>
      <w:r>
        <w:rPr/>
        <w:t>•</w:t>
      </w:r>
    </w:p>
    <w:p>
      <w:pPr>
        <w:pStyle w:val="TextBody"/>
        <w:spacing w:lineRule="auto" w:line="273" w:before="120" w:after="0"/>
        <w:jc w:val="left"/>
        <w:rPr>
          <w:rFonts w:ascii="Times New Roman" w:hAnsi="Times New Roman"/>
          <w:b w:val="false"/>
          <w:sz w:val="20"/>
        </w:rPr>
      </w:pPr>
      <w:r>
        <w:rPr>
          <w:rFonts w:ascii="Times New Roman" w:hAnsi="Times New Roman"/>
          <w:b w:val="false"/>
          <w:sz w:val="20"/>
        </w:rPr>
        <w:t xml:space="preserve">collaborations may be terminated and, if terminated, may result in a need for additional capital to pursue further development or commercialization of the applicable product candidates; </w:t>
      </w:r>
    </w:p>
    <w:p>
      <w:pPr>
        <w:pStyle w:val="TextBody"/>
        <w:spacing w:lineRule="auto" w:line="273" w:before="120" w:after="0"/>
        <w:jc w:val="left"/>
        <w:rPr/>
      </w:pPr>
      <w:r>
        <w:rPr/>
        <w:t>•</w:t>
      </w:r>
    </w:p>
    <w:p>
      <w:pPr>
        <w:pStyle w:val="TextBody"/>
        <w:spacing w:lineRule="auto" w:line="273" w:before="120" w:after="0"/>
        <w:jc w:val="left"/>
        <w:rPr>
          <w:rFonts w:ascii="Times New Roman" w:hAnsi="Times New Roman"/>
          <w:b w:val="false"/>
          <w:sz w:val="20"/>
        </w:rPr>
      </w:pPr>
      <w:r>
        <w:rPr>
          <w:rFonts w:ascii="Times New Roman" w:hAnsi="Times New Roman"/>
          <w:b w:val="false"/>
          <w:sz w:val="20"/>
        </w:rPr>
        <w:t xml:space="preserve">collaboration agreements may not lead to development or commercialization of product candidates in the most efficient manner or at all; and </w:t>
      </w:r>
    </w:p>
    <w:p>
      <w:pPr>
        <w:pStyle w:val="TextBody"/>
        <w:spacing w:lineRule="auto" w:line="273" w:before="120" w:after="0"/>
        <w:jc w:val="left"/>
        <w:rPr/>
      </w:pPr>
      <w:r>
        <w:rPr/>
        <w:t>•</w:t>
      </w:r>
    </w:p>
    <w:p>
      <w:pPr>
        <w:pStyle w:val="TextBody"/>
        <w:spacing w:lineRule="auto" w:line="273" w:before="120" w:after="283"/>
        <w:jc w:val="left"/>
        <w:rPr>
          <w:rFonts w:ascii="Times New Roman" w:hAnsi="Times New Roman"/>
          <w:b w:val="false"/>
          <w:sz w:val="20"/>
        </w:rPr>
      </w:pPr>
      <w:r>
        <w:rPr>
          <w:rFonts w:ascii="Times New Roman" w:hAnsi="Times New Roman"/>
          <w:b w:val="false"/>
          <w:sz w:val="20"/>
        </w:rPr>
        <w:t xml:space="preserve">if a future collaborator of ours were to be involved in a business combination, the continued pursuit and emphasis on our product development or commercialization program could be delayed, diminished or terminated. </w:t>
      </w:r>
    </w:p>
    <w:p>
      <w:pPr>
        <w:pStyle w:val="TextBody"/>
        <w:spacing w:lineRule="auto" w:line="273" w:before="240" w:after="0"/>
        <w:jc w:val="left"/>
        <w:rPr>
          <w:rFonts w:ascii="Times New Roman" w:hAnsi="Times New Roman"/>
          <w:sz w:val="20"/>
        </w:rPr>
      </w:pPr>
      <w:r>
        <w:rPr>
          <w:rFonts w:ascii="Times New Roman" w:hAnsi="Times New Roman"/>
          <w:b w:val="false"/>
          <w:sz w:val="20"/>
        </w:rPr>
        <w:t>If we establish one or more collaborations, all of the risks relating to product development, regulatory approval and commercialization described herein would also apply to the activities of any such future collaborators.</w:t>
      </w:r>
      <w:r>
        <w:rPr>
          <w:rFonts w:ascii="Times New Roman" w:hAnsi="Times New Roman"/>
          <w:sz w:val="20"/>
        </w:rPr>
        <w:t xml:space="preserve"> </w:t>
      </w:r>
    </w:p>
    <w:p>
      <w:pPr>
        <w:pStyle w:val="TextBody"/>
        <w:spacing w:lineRule="auto" w:line="273" w:before="0" w:after="0"/>
        <w:jc w:val="center"/>
        <w:rPr>
          <w:rFonts w:ascii="Times New Roman" w:hAnsi="Times New Roman"/>
          <w:b w:val="false"/>
          <w:sz w:val="20"/>
        </w:rPr>
      </w:pPr>
      <w:r>
        <w:rPr>
          <w:rFonts w:ascii="Times New Roman" w:hAnsi="Times New Roman"/>
          <w:b w:val="false"/>
          <w:sz w:val="20"/>
        </w:rPr>
        <w:t>62</w:t>
      </w:r>
    </w:p>
    <w:p>
      <w:pPr>
        <w:pStyle w:val="HorizontalLine"/>
        <w:rPr/>
      </w:pPr>
      <w:r>
        <w:rPr/>
      </w:r>
    </w:p>
    <w:p>
      <w:pPr>
        <w:pStyle w:val="TextBody"/>
        <w:spacing w:lineRule="auto" w:line="273" w:before="0" w:after="0"/>
        <w:jc w:val="left"/>
        <w:rPr/>
      </w:pPr>
      <w:r>
        <w:rPr/>
        <w:t> </w:t>
      </w:r>
    </w:p>
    <w:p>
      <w:pPr>
        <w:pStyle w:val="TextBody"/>
        <w:spacing w:lineRule="auto" w:line="273" w:before="360" w:after="0"/>
        <w:jc w:val="left"/>
        <w:rPr>
          <w:rFonts w:ascii="Times New Roman" w:hAnsi="Times New Roman"/>
          <w:sz w:val="20"/>
        </w:rPr>
      </w:pPr>
      <w:r>
        <w:rPr>
          <w:rFonts w:ascii="Times New Roman" w:hAnsi="Times New Roman"/>
          <w:b/>
          <w:sz w:val="20"/>
        </w:rPr>
        <w:t>Risks related to employee matters and our operations</w:t>
      </w:r>
      <w:r>
        <w:rPr>
          <w:rFonts w:ascii="Times New Roman" w:hAnsi="Times New Roman"/>
          <w:sz w:val="20"/>
        </w:rPr>
        <w:t xml:space="preserve"> </w:t>
      </w:r>
    </w:p>
    <w:p>
      <w:pPr>
        <w:pStyle w:val="TextBody"/>
        <w:spacing w:lineRule="auto" w:line="273" w:before="120" w:after="0"/>
        <w:jc w:val="left"/>
        <w:rPr>
          <w:rFonts w:ascii="Times New Roman" w:hAnsi="Times New Roman"/>
          <w:sz w:val="20"/>
        </w:rPr>
      </w:pPr>
      <w:r>
        <w:rPr>
          <w:rFonts w:ascii="Times New Roman" w:hAnsi="Times New Roman"/>
          <w:b/>
          <w:i/>
          <w:sz w:val="20"/>
        </w:rPr>
        <w:t>Our future success depends on our ability to retain our executive officers and key employees and to attract, retain and motivate qualified personnel and manage our human capital.</w:t>
      </w:r>
      <w:r>
        <w:rPr>
          <w:rFonts w:ascii="Times New Roman" w:hAnsi="Times New Roman"/>
          <w:sz w:val="20"/>
        </w:rPr>
        <w:t xml:space="preserve"> </w:t>
      </w:r>
    </w:p>
    <w:p>
      <w:pPr>
        <w:pStyle w:val="TextBody"/>
        <w:spacing w:lineRule="auto" w:line="273" w:before="120" w:after="0"/>
        <w:jc w:val="left"/>
        <w:rPr>
          <w:rFonts w:ascii="Times New Roman" w:hAnsi="Times New Roman"/>
          <w:sz w:val="20"/>
        </w:rPr>
      </w:pPr>
      <w:r>
        <w:rPr>
          <w:rFonts w:ascii="Times New Roman" w:hAnsi="Times New Roman"/>
          <w:b w:val="false"/>
          <w:sz w:val="20"/>
        </w:rPr>
        <w:t>Our ability to compete in the highly competitive biotechnology and pharmaceutical industries depends upon our ability to attract, motivate and retain highly qualified managerial, scientific and medical personnel. We are highly dependent on the development and management expertise of Jeremy Bender, Ph.D., M.B.A., our Chief Executive Officer, Samuel Blackman, M.D., Ph.D., our Chief Medical Officer, as well as the other members of our management team, other key employees and advisors. We currently do not maintain key person insurance on these individuals. Although we have entered into employment agreements with our executive officers, each of them may terminate their employment with us at any time.</w:t>
      </w:r>
      <w:r>
        <w:rPr>
          <w:rFonts w:ascii="Times New Roman" w:hAnsi="Times New Roman"/>
          <w:sz w:val="20"/>
        </w:rPr>
        <w:t xml:space="preserve"> </w:t>
      </w:r>
    </w:p>
    <w:p>
      <w:pPr>
        <w:pStyle w:val="TextBody"/>
        <w:spacing w:lineRule="auto" w:line="273" w:before="240" w:after="0"/>
        <w:jc w:val="left"/>
        <w:rPr>
          <w:rFonts w:ascii="Times New Roman" w:hAnsi="Times New Roman"/>
          <w:sz w:val="20"/>
        </w:rPr>
      </w:pPr>
      <w:r>
        <w:rPr>
          <w:rFonts w:ascii="Times New Roman" w:hAnsi="Times New Roman"/>
          <w:b w:val="false"/>
          <w:sz w:val="20"/>
        </w:rPr>
        <w:t>Our industry has experienced a high rate of turnover in recent years. Our ability to compete in the highly competitive pharmaceuticals industry depends upon our ability to attract, retain and motivate highly skilled and experienced personnel with scientific, clinical, regulatory, manufacturing and management skills and experience.</w:t>
      </w:r>
      <w:r>
        <w:rPr>
          <w:rFonts w:ascii="Times New Roman" w:hAnsi="Times New Roman"/>
          <w:sz w:val="20"/>
        </w:rPr>
        <w:t xml:space="preserve"> </w:t>
      </w:r>
    </w:p>
    <w:p>
      <w:pPr>
        <w:pStyle w:val="TextBody"/>
        <w:spacing w:lineRule="auto" w:line="273" w:before="240" w:after="0"/>
        <w:jc w:val="left"/>
        <w:rPr>
          <w:rFonts w:ascii="Times New Roman" w:hAnsi="Times New Roman"/>
          <w:sz w:val="20"/>
        </w:rPr>
      </w:pPr>
      <w:r>
        <w:rPr>
          <w:rFonts w:ascii="Times New Roman" w:hAnsi="Times New Roman"/>
          <w:b w:val="false"/>
          <w:sz w:val="20"/>
        </w:rPr>
        <w:t>We largely conduct our operations in the greater San Francisco Bay Area, a region that is home to other pharmaceutical companies as well as many academic and research institutions, resulting in fierce competition for qualified personnel. We may not be able to attract or retain qualified personnel in the future due to the intense competition for a limited number of qualified personnel among pharmaceutical companies. Many of the other pharmaceutical companies against which we compete have greater financial and other resources, different risk profiles and a longer history in the industry than we do. Our competitors may provide higher compensation, more diverse opportunities and/or better opportunities for career advancement. In addition, as our business changes, key personnel may not want to work for a larger, commercial enterprise. Any or all of these competing factors may limit our ability to continue to attract and retain high quality personnel, which could negatively affect our ability to successfully develop and commercialize our product candidates and to grow our business and operations as currently contemplated. We have adopted a greater level of flexibility in our recruiting practices to attract and hire candidates outside of the San Francisco Bay Area, which is intended to increase retention but could have a negative impact on employee engagement, resulting in greater employee turnover.</w:t>
      </w:r>
      <w:r>
        <w:rPr>
          <w:rFonts w:ascii="Times New Roman" w:hAnsi="Times New Roman"/>
          <w:sz w:val="20"/>
        </w:rPr>
        <w:t xml:space="preserve"> </w:t>
      </w:r>
    </w:p>
    <w:p>
      <w:pPr>
        <w:pStyle w:val="TextBody"/>
        <w:spacing w:lineRule="auto" w:line="273" w:before="360" w:after="0"/>
        <w:jc w:val="left"/>
        <w:rPr>
          <w:rFonts w:ascii="Times New Roman" w:hAnsi="Times New Roman"/>
          <w:sz w:val="20"/>
        </w:rPr>
      </w:pPr>
      <w:r>
        <w:rPr>
          <w:rFonts w:ascii="Times New Roman" w:hAnsi="Times New Roman"/>
          <w:b/>
          <w:i/>
          <w:sz w:val="20"/>
        </w:rPr>
        <w:t>We will need to grow the size and capabilities of our organization, and we may experience difficulties in managing this growth.</w:t>
      </w:r>
      <w:r>
        <w:rPr>
          <w:rFonts w:ascii="Times New Roman" w:hAnsi="Times New Roman"/>
          <w:sz w:val="20"/>
        </w:rPr>
        <w:t xml:space="preserve"> </w:t>
      </w:r>
    </w:p>
    <w:p>
      <w:pPr>
        <w:pStyle w:val="TextBody"/>
        <w:spacing w:lineRule="auto" w:line="273" w:before="120" w:after="0"/>
        <w:jc w:val="left"/>
        <w:rPr>
          <w:rFonts w:ascii="Times New Roman" w:hAnsi="Times New Roman"/>
          <w:sz w:val="20"/>
        </w:rPr>
      </w:pPr>
      <w:r>
        <w:rPr>
          <w:rFonts w:ascii="Times New Roman" w:hAnsi="Times New Roman"/>
          <w:b w:val="false"/>
          <w:sz w:val="20"/>
        </w:rPr>
        <w:t>We had 80 full-time employees as of March 31, 2022. We expect significant growth in the number of our employees and the scope of our operations, particularly in the areas of clinical development, clinical operations, manufacturing, regulatory affairs and, if any of our product candidates receives marketing approval, sales, marketing and distribution. To manage our anticipated future growth, we must continue to implement and improve our managerial, operational and financial systems, expand our facilities and continue to recruit and train additional qualified personnel. Due to our limited financial resources and the limited experience of our management team in managing a company with such anticipated growth and with developing sales, marketing and distribution infrastructure, we may not be able to effectively manage the expansion of our operations or recruit and train additional qualified personnel. The expansion of our operations may lead to significant costs and may divert our management and business development resources.</w:t>
      </w:r>
      <w:r>
        <w:rPr>
          <w:rFonts w:ascii="Times New Roman" w:hAnsi="Times New Roman"/>
          <w:sz w:val="20"/>
        </w:rPr>
        <w:t xml:space="preserve"> </w:t>
      </w:r>
    </w:p>
    <w:p>
      <w:pPr>
        <w:pStyle w:val="TextBody"/>
        <w:spacing w:lineRule="auto" w:line="273" w:before="240" w:after="0"/>
        <w:jc w:val="left"/>
        <w:rPr>
          <w:rFonts w:ascii="Times New Roman" w:hAnsi="Times New Roman"/>
          <w:sz w:val="20"/>
        </w:rPr>
      </w:pPr>
      <w:r>
        <w:rPr>
          <w:rFonts w:ascii="Times New Roman" w:hAnsi="Times New Roman"/>
          <w:b w:val="false"/>
          <w:sz w:val="20"/>
        </w:rPr>
        <w:t>Further, we currently rely, and for the foreseeable future will continue to rely, in substantial part on certain third-party contract organizations, advisors and consultants to provide certain services, including assuming substantial responsibilities for the conduct of our clinical trials and the manufacture of tovorafenib (DAY101), pimasertib, or any future product candidates. We cannot assure you that the services of such third-party contract organizations, advisors and consultants will continue to be available to us on a timely basis when needed, or that we can find qualified replacements. In addition, if we are unable to effectively manage our outsourced activities or if the quality or accuracy of the services provided by our vendors or consultants is compromised for any reason, our clinical trials may be extended, delayed or terminated, and we may not be able to obtain marketing approval of tovorafenib (DAY101), pimasertib, or any future product candidates or otherwise advance our business. We cannot assure you that we will be able to properly manage our existing vendors or consultants or find other competent outside vendors and consultants on economically reasonable terms, or at all.</w:t>
      </w:r>
      <w:r>
        <w:rPr>
          <w:rFonts w:ascii="Times New Roman" w:hAnsi="Times New Roman"/>
          <w:sz w:val="20"/>
        </w:rPr>
        <w:t xml:space="preserve"> </w:t>
      </w:r>
    </w:p>
    <w:p>
      <w:pPr>
        <w:pStyle w:val="TextBody"/>
        <w:spacing w:lineRule="auto" w:line="273" w:before="240" w:after="0"/>
        <w:jc w:val="left"/>
        <w:rPr>
          <w:rFonts w:ascii="Times New Roman" w:hAnsi="Times New Roman"/>
          <w:sz w:val="20"/>
        </w:rPr>
      </w:pPr>
      <w:r>
        <w:rPr>
          <w:rFonts w:ascii="Times New Roman" w:hAnsi="Times New Roman"/>
          <w:b w:val="false"/>
          <w:sz w:val="20"/>
        </w:rPr>
        <w:t>If we are not able to effectively manage growth and expand our organization, we may not be able to successfully implement the tasks necessary to further develop and commercialize tovorafenib (DAY101), pimasertib, our other pipeline product candidates or any future product candidates and, accordingly, may not achieve our research, development and commercialization goals.</w:t>
      </w:r>
      <w:r>
        <w:rPr>
          <w:rFonts w:ascii="Times New Roman" w:hAnsi="Times New Roman"/>
          <w:sz w:val="20"/>
        </w:rPr>
        <w:t xml:space="preserve"> </w:t>
      </w:r>
    </w:p>
    <w:p>
      <w:pPr>
        <w:pStyle w:val="TextBody"/>
        <w:spacing w:lineRule="auto" w:line="273" w:before="0" w:after="0"/>
        <w:jc w:val="center"/>
        <w:rPr>
          <w:rFonts w:ascii="Times New Roman" w:hAnsi="Times New Roman"/>
          <w:b w:val="false"/>
          <w:sz w:val="20"/>
        </w:rPr>
      </w:pPr>
      <w:r>
        <w:rPr>
          <w:rFonts w:ascii="Times New Roman" w:hAnsi="Times New Roman"/>
          <w:b w:val="false"/>
          <w:sz w:val="20"/>
        </w:rPr>
        <w:t>63</w:t>
      </w:r>
    </w:p>
    <w:p>
      <w:pPr>
        <w:pStyle w:val="HorizontalLine"/>
        <w:rPr/>
      </w:pPr>
      <w:r>
        <w:rPr/>
      </w:r>
    </w:p>
    <w:p>
      <w:pPr>
        <w:pStyle w:val="TextBody"/>
        <w:spacing w:lineRule="auto" w:line="273" w:before="0" w:after="0"/>
        <w:jc w:val="left"/>
        <w:rPr/>
      </w:pPr>
      <w:r>
        <w:rPr/>
        <w:t> </w:t>
      </w:r>
    </w:p>
    <w:p>
      <w:pPr>
        <w:pStyle w:val="TextBody"/>
        <w:spacing w:lineRule="auto" w:line="273" w:before="360" w:after="0"/>
        <w:jc w:val="left"/>
        <w:rPr>
          <w:rFonts w:ascii="Times New Roman" w:hAnsi="Times New Roman"/>
          <w:sz w:val="20"/>
        </w:rPr>
      </w:pPr>
      <w:r>
        <w:rPr>
          <w:rFonts w:ascii="Times New Roman" w:hAnsi="Times New Roman"/>
          <w:b/>
          <w:i/>
          <w:sz w:val="20"/>
        </w:rPr>
        <w:t>Our employees, clinical trial investigators, CROs, CMOs, consultants, vendors and any potential commercial partners may engage in misconduct or other improper activities, including non-compliance with regulatory standards and requirements and insider trading.</w:t>
      </w:r>
      <w:r>
        <w:rPr>
          <w:rFonts w:ascii="Times New Roman" w:hAnsi="Times New Roman"/>
          <w:sz w:val="20"/>
        </w:rPr>
        <w:t xml:space="preserve"> </w:t>
      </w:r>
    </w:p>
    <w:p>
      <w:pPr>
        <w:pStyle w:val="TextBody"/>
        <w:spacing w:lineRule="auto" w:line="273" w:before="120" w:after="0"/>
        <w:jc w:val="left"/>
        <w:rPr>
          <w:rFonts w:ascii="Times New Roman" w:hAnsi="Times New Roman"/>
          <w:sz w:val="20"/>
        </w:rPr>
      </w:pPr>
      <w:r>
        <w:rPr>
          <w:rFonts w:ascii="Times New Roman" w:hAnsi="Times New Roman"/>
          <w:b w:val="false"/>
          <w:sz w:val="20"/>
        </w:rPr>
        <w:t>We are exposed to the risk of fraud or other misconduct by our employees, clinical trial investigators, CROs, CMOs, consultants, vendors and any potential commercial partners. Misconduct by these parties could include intentional, reckless and/or negligent conduct or disclosure of unauthorized activities to us that violates: (i) FDA regulations or those of comparable foreign regulatory authorities, including those laws that require the reporting of true, complete and accurate information, (ii) manufacturing standards, (iii) federal and state health and data privacy, security, fraud and abuse, government price reporting, transparency reporting requirements, and other healthcare laws and regulations in the United States and abroad, (iv) sexual harassment and other workplace misconduct, or (v) laws that require the true, complete and accurate reporting of financial information or data. Such misconduct could also involve the improper use of information obtained in the course of clinical trials, which could result in regulatory sanctions and cause serious harm to our reputation.</w:t>
      </w:r>
      <w:r>
        <w:rPr>
          <w:rFonts w:ascii="Times New Roman" w:hAnsi="Times New Roman"/>
          <w:sz w:val="20"/>
        </w:rPr>
        <w:t xml:space="preserve"> </w:t>
      </w:r>
    </w:p>
    <w:p>
      <w:pPr>
        <w:pStyle w:val="TextBody"/>
        <w:spacing w:lineRule="auto" w:line="273" w:before="240" w:after="0"/>
        <w:jc w:val="left"/>
        <w:rPr>
          <w:rFonts w:ascii="Times New Roman" w:hAnsi="Times New Roman"/>
          <w:sz w:val="20"/>
        </w:rPr>
      </w:pPr>
      <w:r>
        <w:rPr>
          <w:rFonts w:ascii="Times New Roman" w:hAnsi="Times New Roman"/>
          <w:b w:val="false"/>
          <w:sz w:val="20"/>
        </w:rPr>
        <w:t>We have adopted a code of conduct applicable to all of our employees, as well as a disclosure program and other applicable policies and procedures, but it is not always possible to identify and deter employee misconduct, and the precautions we take to detect and prevent this activity may not be effective in controlling unknown or unmanaged risks or losses or in protecting us from governmental investigations or other actions or lawsuits stemming from a failure to comply with these laws or regulations. If any such actions are instituted against us, and we are not successful in defending ourselves or asserting our rights, those actions could have a significant impact on our business, including the imposition of significant civil, criminal and administrative penalties, damages, fines, disgorgement, imprisonment, exclusion from government funded healthcare programs, such as Medicare, Medicaid and other federal healthcare programs, contractual damages, reputational harm, diminished profits and future earnings, additional integrity reporting and oversight obligations, and the curtailment or restructuring of our operations, any of which could adversely affect our ability to operate our business and our results of operations.</w:t>
      </w:r>
      <w:r>
        <w:rPr>
          <w:rFonts w:ascii="Times New Roman" w:hAnsi="Times New Roman"/>
          <w:sz w:val="20"/>
        </w:rPr>
        <w:t xml:space="preserve"> </w:t>
      </w:r>
    </w:p>
    <w:p>
      <w:pPr>
        <w:pStyle w:val="TextBody"/>
        <w:spacing w:lineRule="auto" w:line="273" w:before="360" w:after="0"/>
        <w:jc w:val="left"/>
        <w:rPr>
          <w:rFonts w:ascii="Times New Roman" w:hAnsi="Times New Roman"/>
          <w:sz w:val="20"/>
        </w:rPr>
      </w:pPr>
      <w:r>
        <w:rPr>
          <w:rFonts w:ascii="Times New Roman" w:hAnsi="Times New Roman"/>
          <w:b/>
          <w:i/>
          <w:sz w:val="20"/>
        </w:rPr>
        <w:t>If our security measures are compromised, or our information technology systems or those of our CROs, CMOs, vendors, contractors, consultants, or other third-party partners fail or suffer security breaches, cyber-attacks, loss or leakage of data and other disruptions, this could result in a material disruption of our development programs, compromise sensitive information related to our business or other personal information or prevent us from accessing critical information, potentially exposing us to liability, harm our reputation, or otherwise adversely affecting our business.</w:t>
      </w:r>
      <w:r>
        <w:rPr>
          <w:rFonts w:ascii="Times New Roman" w:hAnsi="Times New Roman"/>
          <w:sz w:val="20"/>
        </w:rPr>
        <w:t xml:space="preserve"> </w:t>
      </w:r>
    </w:p>
    <w:p>
      <w:pPr>
        <w:pStyle w:val="TextBody"/>
        <w:spacing w:lineRule="auto" w:line="273" w:before="120" w:after="0"/>
        <w:jc w:val="left"/>
        <w:rPr>
          <w:rFonts w:ascii="Times New Roman" w:hAnsi="Times New Roman"/>
          <w:sz w:val="20"/>
        </w:rPr>
      </w:pPr>
      <w:r>
        <w:rPr>
          <w:rFonts w:ascii="Times New Roman" w:hAnsi="Times New Roman"/>
          <w:b w:val="false"/>
          <w:sz w:val="20"/>
        </w:rPr>
        <w:t>In the ordinary course of business, we may collect, process, store, and transmit proprietary, confidential, and sensitive information (including but not limited to intellectual property, trade secrets, proprietary business information, personal information, and protected health information, or PHI). It is critical that we do so in a secure manner to maintain the confidentiality, integrity, and availability of such information. We depend on information technology and telecommunications systems for significant elements of our operations and we have installed, and expect to expand, a number of enterprise software systems that affect a broad range of business processes and functional areas, including, for example, systems handling human resources, financial reporting and controls, customer relationship management, regulatory compliance, and other infrastructure operations. We face a number of risks relative to protecting this critical information, including loss of access risk, inappropriate use or disclosure, inappropriate modification, and the risk of our being unable to adequately monitor, audit, and modify our controls over our critical information. This risk extends to the third parties with whom we work, as we rely on a number of third parties to operate our critical business systems and process confidential, proprietary, and sensitive information.</w:t>
      </w:r>
      <w:r>
        <w:rPr>
          <w:rFonts w:ascii="Times New Roman" w:hAnsi="Times New Roman"/>
          <w:sz w:val="20"/>
        </w:rPr>
        <w:t xml:space="preserve"> </w:t>
      </w:r>
    </w:p>
    <w:p>
      <w:pPr>
        <w:pStyle w:val="TextBody"/>
        <w:spacing w:lineRule="auto" w:line="273" w:before="0" w:after="0"/>
        <w:jc w:val="center"/>
        <w:rPr>
          <w:rFonts w:ascii="Times New Roman" w:hAnsi="Times New Roman"/>
          <w:b w:val="false"/>
          <w:sz w:val="20"/>
        </w:rPr>
      </w:pPr>
      <w:r>
        <w:rPr>
          <w:rFonts w:ascii="Times New Roman" w:hAnsi="Times New Roman"/>
          <w:b w:val="false"/>
          <w:sz w:val="20"/>
        </w:rPr>
        <w:t>64</w:t>
      </w:r>
    </w:p>
    <w:p>
      <w:pPr>
        <w:pStyle w:val="HorizontalLine"/>
        <w:rPr/>
      </w:pPr>
      <w:r>
        <w:rPr/>
      </w:r>
    </w:p>
    <w:p>
      <w:pPr>
        <w:pStyle w:val="TextBody"/>
        <w:spacing w:lineRule="auto" w:line="273" w:before="0" w:after="0"/>
        <w:jc w:val="left"/>
        <w:rPr/>
      </w:pPr>
      <w:r>
        <w:rPr/>
        <w:t> </w:t>
      </w:r>
    </w:p>
    <w:p>
      <w:pPr>
        <w:pStyle w:val="TextBody"/>
        <w:spacing w:lineRule="auto" w:line="273" w:before="240" w:after="0"/>
        <w:jc w:val="left"/>
        <w:rPr>
          <w:rFonts w:ascii="Times New Roman" w:hAnsi="Times New Roman"/>
          <w:sz w:val="20"/>
        </w:rPr>
      </w:pPr>
      <w:r>
        <w:rPr>
          <w:rFonts w:ascii="Times New Roman" w:hAnsi="Times New Roman"/>
          <w:b w:val="false"/>
          <w:sz w:val="20"/>
        </w:rPr>
        <w:t>Despite the implementation of security measures, given the size, complexity, and increasing amounts of proprietary, sensitive, and confidential information maintained by our internal information technology systems and those of our CROs, CMOs, vendors, contractors, consultants, and other third-party partners are potentially vulnerable to breakdown, service interruptions, system malfunction, accidents by our personnel or third-party partners, natural disasters, terrorism, global pandemics, war and telecommunication and electrical failures, as well as security breaches from inadvertent or intentional actions by our personnel or those of our CROs, CMOs, vendors, contractors, consultants, business partners and/or other third-party partners, or from cyber-attacks by malicious third parties (including through viruses, worms, malicious code, malware, ransomware, denial-of-service attacks, social engineering and other means to affect service reliability and the confidentiality, integrity and availability of information), which may compromise our system infrastructure, or that of our CROs, CMOs, vendors, contractors, consultants, and other third-party partners, or lead to data leakage.</w:t>
      </w:r>
      <w:r>
        <w:rPr>
          <w:rFonts w:ascii="Times New Roman" w:hAnsi="Times New Roman"/>
          <w:sz w:val="20"/>
        </w:rPr>
        <w:t xml:space="preserve"> </w:t>
      </w:r>
    </w:p>
    <w:p>
      <w:pPr>
        <w:pStyle w:val="TextBody"/>
        <w:spacing w:lineRule="auto" w:line="273" w:before="240" w:after="0"/>
        <w:jc w:val="left"/>
        <w:rPr>
          <w:rFonts w:ascii="Times New Roman" w:hAnsi="Times New Roman"/>
          <w:sz w:val="20"/>
        </w:rPr>
      </w:pPr>
      <w:r>
        <w:rPr>
          <w:rFonts w:ascii="Times New Roman" w:hAnsi="Times New Roman"/>
          <w:b w:val="false"/>
          <w:sz w:val="20"/>
        </w:rPr>
        <w:t>The risk of a security breach or disruption, particularly through cyber-attacks or cyber intrusion, including by computer hackers, viruses, foreign governments, and cyber terrorists, has generally increased as the number, intensity and sophistication of attempted attacks and intrusions from around the world have increased. The COVID-19 pandemic and the subsequent increase of “work from home” have generally increased the attack surface available for exploitation, as more companies and individuals work online and work remotely, and as such, the risk of a cybersecurity incident potentially occurring, and our investment in risk mitigations against such an incident, is increasing. For example, there has been an increase in phishing and spam emails as well as social engineering attempts from “hackers” hoping to use the COVID-19 pandemic to their advantage. We may not be able to anticipate all types of security threats, nor may we be able to implement preventive measures effective against all such security threats. The techniques used by cyber criminals change frequently, may not be recognized until launched, and can originate from a wide variety of sources, including outside groups such as external service providers, organized crime affiliates, terrorist organizations or hostile foreign governments or agencies. To the extent that any disruption or security breach were to result in a loss of, or damage to, our data or applications, or those of our CROs, CMOs, vendors, contractors, consultants, and other third-party partners, or inappropriate disclosure of confidential, sensitive, or proprietary information, we could incur liability and reputational damage and the further development and commercialization of tovorafenib (DAY101), pimasertib, or any future product candidates could be delayed. Any breach, loss or compromise of proprietary, sensitive, or confidential information may also subject us to civil fines and penalties, including under HIPAA, and other relevant state and federal privacy laws in the United States. For example, the California Consumer Privacy Act of 2018, or the CCPA, imposes a private right of action for security breaches that could lead to some form of remedy including regulatory scrutiny, fines, private right of action settlements, and other consequences.</w:t>
      </w:r>
      <w:r>
        <w:rPr>
          <w:rFonts w:ascii="Times New Roman" w:hAnsi="Times New Roman"/>
          <w:sz w:val="20"/>
        </w:rPr>
        <w:t xml:space="preserve"> </w:t>
      </w:r>
    </w:p>
    <w:p>
      <w:pPr>
        <w:pStyle w:val="TextBody"/>
        <w:spacing w:lineRule="auto" w:line="273" w:before="240" w:after="0"/>
        <w:jc w:val="left"/>
        <w:rPr>
          <w:rFonts w:ascii="Times New Roman" w:hAnsi="Times New Roman"/>
          <w:sz w:val="20"/>
        </w:rPr>
      </w:pPr>
      <w:r>
        <w:rPr>
          <w:rFonts w:ascii="Times New Roman" w:hAnsi="Times New Roman"/>
          <w:b w:val="false"/>
          <w:sz w:val="20"/>
        </w:rPr>
        <w:t>The costs related to significant security breaches or disruptions could be material and exceed the limits of the cybersecurity insurance we maintain against such risks. If the information technology systems of our CROs, CMOs, vendors, contractors, consultants, and other third-party partners become subject to disruptions or security breaches, we may have insufficient recourse against such third parties and we may have to expend significant resources to mitigate the impact of such an event, and to develop and implement protections to prevent future events of this nature from occurring.</w:t>
      </w:r>
      <w:r>
        <w:rPr>
          <w:rFonts w:ascii="Times New Roman" w:hAnsi="Times New Roman"/>
          <w:sz w:val="20"/>
        </w:rPr>
        <w:t xml:space="preserve"> </w:t>
      </w:r>
    </w:p>
    <w:p>
      <w:pPr>
        <w:pStyle w:val="TextBody"/>
        <w:spacing w:lineRule="auto" w:line="273" w:before="240" w:after="0"/>
        <w:jc w:val="left"/>
        <w:rPr>
          <w:rFonts w:ascii="Times New Roman" w:hAnsi="Times New Roman"/>
          <w:sz w:val="20"/>
        </w:rPr>
      </w:pPr>
      <w:r>
        <w:rPr>
          <w:rFonts w:ascii="Times New Roman" w:hAnsi="Times New Roman"/>
          <w:b w:val="false"/>
          <w:sz w:val="20"/>
        </w:rPr>
        <w:t>We cannot assure you that our data protection efforts and our investment in information technology will prevent significant breakdowns, data leakages, breaches in our systems, or those of our CROs, CMOs, vendors, contractors, consultants, and other third-party partners, or other cyber incidents that could have a material adverse effect upon our reputation, business, operations or financial condition. For example, if such an event were to occur and cause interruptions in our operations, or those of our third-party CROs, CMOs, vendors and other contractors and consultants, it could result in a material disruption of our programs and the development of our product candidates could be delayed. In addition, the loss of clinical trial data for tovorafenib (DAY101), pimasertib, or any other product candidates could result in delays in our marketing approval efforts and significantly increase our costs to recover or reproduce the data. Furthermore, significant disruptions of our internal information technology systems or those of our third-party CROs, CMOs, vendors and other contractors and consultants, or security breaches could result in the loss, misappropriation and/or unauthorized access, use, or disclosure of, or the prevention of access to, confidential information (including trade secrets or other intellectual property, proprietary business information and personal information), which could result in financial, legal, business and reputational harm to us. For example, any such event that leads to unauthorized access, use, or disclosure of personal information, including personal information regarding our clinical trial subjects or personnel, could harm our reputation directly, compel us to comply with federal and/or state breach notification laws and foreign law equivalents, subject us to mandatory corrective action, and otherwise subject us to liability under laws and regulations that protect the privacy and security of personal information, which could result in significant legal and financial exposure and reputational damages that could potentially have an adverse effect on our business.</w:t>
      </w:r>
      <w:r>
        <w:rPr>
          <w:rFonts w:ascii="Times New Roman" w:hAnsi="Times New Roman"/>
          <w:sz w:val="20"/>
        </w:rPr>
        <w:t xml:space="preserve"> </w:t>
      </w:r>
    </w:p>
    <w:p>
      <w:pPr>
        <w:pStyle w:val="TextBody"/>
        <w:spacing w:lineRule="auto" w:line="273" w:before="0" w:after="0"/>
        <w:jc w:val="center"/>
        <w:rPr>
          <w:rFonts w:ascii="Times New Roman" w:hAnsi="Times New Roman"/>
          <w:b w:val="false"/>
          <w:sz w:val="20"/>
        </w:rPr>
      </w:pPr>
      <w:r>
        <w:rPr>
          <w:rFonts w:ascii="Times New Roman" w:hAnsi="Times New Roman"/>
          <w:b w:val="false"/>
          <w:sz w:val="20"/>
        </w:rPr>
        <w:t>65</w:t>
      </w:r>
    </w:p>
    <w:p>
      <w:pPr>
        <w:pStyle w:val="HorizontalLine"/>
        <w:rPr/>
      </w:pPr>
      <w:r>
        <w:rPr/>
      </w:r>
    </w:p>
    <w:p>
      <w:pPr>
        <w:pStyle w:val="TextBody"/>
        <w:spacing w:lineRule="auto" w:line="273" w:before="0" w:after="0"/>
        <w:jc w:val="left"/>
        <w:rPr/>
      </w:pPr>
      <w:r>
        <w:rPr/>
        <w:t> </w:t>
      </w:r>
    </w:p>
    <w:p>
      <w:pPr>
        <w:pStyle w:val="TextBody"/>
        <w:spacing w:lineRule="auto" w:line="273" w:before="240" w:after="0"/>
        <w:jc w:val="left"/>
        <w:rPr>
          <w:rFonts w:ascii="Times New Roman" w:hAnsi="Times New Roman"/>
          <w:sz w:val="20"/>
        </w:rPr>
      </w:pPr>
      <w:r>
        <w:rPr>
          <w:rFonts w:ascii="Times New Roman" w:hAnsi="Times New Roman"/>
          <w:b w:val="false"/>
          <w:sz w:val="20"/>
        </w:rPr>
        <w:t>We are required to comply with laws, rules and regulations that require us to maintain the security of personal information. We may have contractual and other legal obligations to notify relevant stakeholders of security breaches. Failure to prevent or mitigate cyber-attacks could result in the unauthorized access to sensitive, confidential, or proprietary information. Most jurisdictions have enacted laws requiring companies to notify individuals, regulatory authorities, and others of security breaches involving certain types of data. In addition, our agreements with CROs, CMOs, vendors, contractors, consultants, and other third-party partners may require us to notify them in the event of a security breach. Such mandatory disclosures are costly, could lead to negative publicity, may cause our customers to lose confidence in the effectiveness of our security measures and require us to expend significant capital and other resources to respond to and/or alleviate problems caused by the actual or perceived security breach.</w:t>
      </w:r>
      <w:r>
        <w:rPr>
          <w:rFonts w:ascii="Times New Roman" w:hAnsi="Times New Roman"/>
          <w:sz w:val="20"/>
        </w:rPr>
        <w:t xml:space="preserve"> </w:t>
      </w:r>
    </w:p>
    <w:p>
      <w:pPr>
        <w:pStyle w:val="TextBody"/>
        <w:spacing w:lineRule="auto" w:line="273" w:before="240" w:after="0"/>
        <w:jc w:val="left"/>
        <w:rPr>
          <w:rFonts w:ascii="Times New Roman" w:hAnsi="Times New Roman"/>
          <w:sz w:val="20"/>
        </w:rPr>
      </w:pPr>
      <w:r>
        <w:rPr>
          <w:rFonts w:ascii="Times New Roman" w:hAnsi="Times New Roman"/>
          <w:b w:val="false"/>
          <w:sz w:val="20"/>
        </w:rPr>
        <w:t>The costs to respond to a security breach and/or to mitigate any security vulnerabilities that may be identified could be significant, our efforts to address these issues may not be successful, and these issues could result in interruptions, delays, negative publicity, loss of customer trust, diminished use of our products as well as other harms to our business and our competitive position. Remediation of any potential security breach may involve significant time, resources, and expenses. Any security breach may result in regulatory inquiries, litigation or other investigations, and can affect our financial and operational condition.</w:t>
      </w:r>
      <w:r>
        <w:rPr>
          <w:rFonts w:ascii="Times New Roman" w:hAnsi="Times New Roman"/>
          <w:sz w:val="20"/>
        </w:rPr>
        <w:t xml:space="preserve"> </w:t>
      </w:r>
    </w:p>
    <w:p>
      <w:pPr>
        <w:pStyle w:val="TextBody"/>
        <w:spacing w:lineRule="auto" w:line="273" w:before="240" w:after="0"/>
        <w:jc w:val="left"/>
        <w:rPr>
          <w:rFonts w:ascii="Times New Roman" w:hAnsi="Times New Roman"/>
          <w:sz w:val="20"/>
        </w:rPr>
      </w:pPr>
      <w:r>
        <w:rPr>
          <w:rFonts w:ascii="Times New Roman" w:hAnsi="Times New Roman"/>
          <w:b w:val="false"/>
          <w:sz w:val="20"/>
        </w:rPr>
        <w:t>A security breach may cause us to breach customer contracts. Our agreements with certain customers may require us to use industry-standard or reasonable measures to safeguard personal information. We also may be subject to laws that require us to use industry-standard or reasonable security measures to safeguard personal information. A security breach could lead to claims by our customers or other relevant stakeholders that we have failed to comply with such legal or contractual obligations. In addition, our inability to comply with data privacy obligations in our customer contracts or our inability to flow down such obligations from our customers to our CROs, CMOs, vendors, contractors, consultants, and other third-party partners may cause us to breach our customer contracts. As a result, we could be subject to legal action or our customers could end their relationships with us. There can be no assurance that the limitations of liability in our contracts would be enforceable or adequate or would otherwise protect us from liabilities or damages.</w:t>
      </w:r>
      <w:r>
        <w:rPr>
          <w:rFonts w:ascii="Times New Roman" w:hAnsi="Times New Roman"/>
          <w:sz w:val="20"/>
        </w:rPr>
        <w:t xml:space="preserve"> </w:t>
      </w:r>
    </w:p>
    <w:p>
      <w:pPr>
        <w:pStyle w:val="TextBody"/>
        <w:spacing w:lineRule="auto" w:line="273" w:before="240" w:after="0"/>
        <w:jc w:val="left"/>
        <w:rPr>
          <w:rFonts w:ascii="Times New Roman" w:hAnsi="Times New Roman"/>
          <w:sz w:val="20"/>
        </w:rPr>
      </w:pPr>
      <w:r>
        <w:rPr>
          <w:rFonts w:ascii="Times New Roman" w:hAnsi="Times New Roman"/>
          <w:b w:val="false"/>
          <w:sz w:val="20"/>
        </w:rPr>
        <w:t>Litigation resulting from security breaches may adversely affect our business. Unauthorized access to our systems, networks, or physical facilities could result in litigation with our customers or other relevant stakeholders. These proceedings could force us to spend money in defense or settlement, divert management’s time and attention, increase our costs of doing business, or adversely affect our reputation.</w:t>
      </w:r>
      <w:r>
        <w:rPr>
          <w:rFonts w:ascii="Times New Roman" w:hAnsi="Times New Roman"/>
          <w:sz w:val="20"/>
        </w:rPr>
        <w:t xml:space="preserve"> </w:t>
      </w:r>
    </w:p>
    <w:p>
      <w:pPr>
        <w:pStyle w:val="TextBody"/>
        <w:spacing w:lineRule="auto" w:line="273" w:before="240" w:after="0"/>
        <w:jc w:val="left"/>
        <w:rPr>
          <w:rFonts w:ascii="Times New Roman" w:hAnsi="Times New Roman"/>
          <w:sz w:val="20"/>
        </w:rPr>
      </w:pPr>
      <w:r>
        <w:rPr>
          <w:rFonts w:ascii="Times New Roman" w:hAnsi="Times New Roman"/>
          <w:b w:val="false"/>
          <w:sz w:val="20"/>
        </w:rPr>
        <w:t>We may not have adequate insurance coverage for security incidents or breaches, including fines, judgments, settlements, penalties, costs, attorney fees and other impacts that arise out of incidents or breaches. The successful assertion of one or more large claims against us that exceeds available insurance coverage, or results in changes to insurance policies (including premium increases or the imposition of large deductible or co-insurance requirements), could have an adverse effect on our business. In addition, we cannot be sure that our existing insurance coverage and coverage for errors and omissions will continue to be available on acceptable terms or that our insurers will not deny coverage as to any future claim. Our risks are likely to increase as we continue to expand, grow our customer base, and process, store, and transmit increasingly large amounts of proprietary and sensitive data.</w:t>
      </w:r>
      <w:r>
        <w:rPr>
          <w:rFonts w:ascii="Times New Roman" w:hAnsi="Times New Roman"/>
          <w:sz w:val="20"/>
        </w:rPr>
        <w:t xml:space="preserve"> </w:t>
      </w:r>
    </w:p>
    <w:p>
      <w:pPr>
        <w:pStyle w:val="TextBody"/>
        <w:spacing w:lineRule="auto" w:line="273" w:before="360" w:after="0"/>
        <w:jc w:val="left"/>
        <w:rPr>
          <w:rFonts w:ascii="Times New Roman" w:hAnsi="Times New Roman"/>
          <w:sz w:val="20"/>
        </w:rPr>
      </w:pPr>
      <w:r>
        <w:rPr>
          <w:rFonts w:ascii="Times New Roman" w:hAnsi="Times New Roman"/>
          <w:b/>
          <w:i/>
          <w:sz w:val="20"/>
        </w:rPr>
        <w:t>We are subject to stringent and changing laws, regulations and standards, and contractual obligations related to privacy, data protection, and data security. The actual or perceived failure to comply with such obligations could lead to government enforcement actions (which could include civil or criminal penalties), fines and sanctions, private litigation and/or adverse publicity and could negatively affect our operating results and business.</w:t>
      </w:r>
      <w:r>
        <w:rPr>
          <w:rFonts w:ascii="Times New Roman" w:hAnsi="Times New Roman"/>
          <w:sz w:val="20"/>
        </w:rPr>
        <w:t xml:space="preserve"> </w:t>
      </w:r>
    </w:p>
    <w:p>
      <w:pPr>
        <w:pStyle w:val="TextBody"/>
        <w:spacing w:lineRule="auto" w:line="273" w:before="120" w:after="0"/>
        <w:jc w:val="left"/>
        <w:rPr>
          <w:rFonts w:ascii="Times New Roman" w:hAnsi="Times New Roman"/>
          <w:sz w:val="20"/>
        </w:rPr>
      </w:pPr>
      <w:r>
        <w:rPr>
          <w:rFonts w:ascii="Times New Roman" w:hAnsi="Times New Roman"/>
          <w:b w:val="false"/>
          <w:sz w:val="20"/>
        </w:rPr>
        <w:t>We and third parties who we work with are or may become subject to numerous domestic and foreign data protection laws and regulations (i.e., laws and regulations that address privacy and data security), the scope of which are changing, subject to differing applications and interpretations, and may be inconsistent among countries, or conflict with other rules. We are or may become subject to the terms of contractual obligations related to privacy, data protection, and data security. The actual or perceived failure by us or related third parties to comply with such obligations could increase our compliance and operational costs, expose us to regulatory scrutiny, actions, fines and penalties, result in reputational harm, lead to a loss of customers, result in litigation and liability, and otherwise cause a material adverse effect on our business, financial condition, and results of operations.</w:t>
      </w:r>
      <w:r>
        <w:rPr>
          <w:rFonts w:ascii="Times New Roman" w:hAnsi="Times New Roman"/>
          <w:sz w:val="20"/>
        </w:rPr>
        <w:t xml:space="preserve"> </w:t>
      </w:r>
    </w:p>
    <w:p>
      <w:pPr>
        <w:pStyle w:val="TextBody"/>
        <w:spacing w:lineRule="auto" w:line="273" w:before="240" w:after="0"/>
        <w:jc w:val="left"/>
        <w:rPr>
          <w:rFonts w:ascii="Times New Roman" w:hAnsi="Times New Roman"/>
          <w:sz w:val="20"/>
        </w:rPr>
      </w:pPr>
      <w:r>
        <w:rPr>
          <w:rFonts w:ascii="Times New Roman" w:hAnsi="Times New Roman"/>
          <w:b w:val="false"/>
          <w:sz w:val="20"/>
        </w:rPr>
        <w:t>In the United States, numerous federal and state laws and regulations, including federal health information privacy and security laws, federal and state data breach notification laws, state health information privacy laws and federal and state consumer protection laws (e.g., Section 5 of the Federal Trade Commission Act), that govern the collection, use, disclosure and protection of health-related and other personal information could apply to our operations or the operations of our collaborators. In addition, we may obtain protected health information from third parties (including research institutions from which we obtain clinical trial data) that are subject to privacy and security requirements under HIPAA, as amended by HITECH. Depending on the facts and circumstances, we could be subject to civil and criminal penalties if we obtain, use, or disclose individually identifiable health information maintained by a HIPAA-covered entity in a manner that is not authorized or permitted by HIPAA.</w:t>
      </w:r>
      <w:r>
        <w:rPr>
          <w:rFonts w:ascii="Times New Roman" w:hAnsi="Times New Roman"/>
          <w:sz w:val="20"/>
        </w:rPr>
        <w:t xml:space="preserve"> </w:t>
      </w:r>
    </w:p>
    <w:p>
      <w:pPr>
        <w:pStyle w:val="TextBody"/>
        <w:spacing w:lineRule="auto" w:line="273" w:before="0" w:after="0"/>
        <w:jc w:val="center"/>
        <w:rPr>
          <w:rFonts w:ascii="Times New Roman" w:hAnsi="Times New Roman"/>
          <w:b w:val="false"/>
          <w:sz w:val="20"/>
        </w:rPr>
      </w:pPr>
      <w:r>
        <w:rPr>
          <w:rFonts w:ascii="Times New Roman" w:hAnsi="Times New Roman"/>
          <w:b w:val="false"/>
          <w:sz w:val="20"/>
        </w:rPr>
        <w:t>66</w:t>
      </w:r>
    </w:p>
    <w:p>
      <w:pPr>
        <w:pStyle w:val="HorizontalLine"/>
        <w:rPr/>
      </w:pPr>
      <w:r>
        <w:rPr/>
      </w:r>
    </w:p>
    <w:p>
      <w:pPr>
        <w:pStyle w:val="TextBody"/>
        <w:spacing w:lineRule="auto" w:line="273" w:before="0" w:after="0"/>
        <w:jc w:val="left"/>
        <w:rPr/>
      </w:pPr>
      <w:r>
        <w:rPr/>
        <w:t> </w:t>
      </w:r>
    </w:p>
    <w:p>
      <w:pPr>
        <w:pStyle w:val="TextBody"/>
        <w:spacing w:lineRule="auto" w:line="273" w:before="240" w:after="0"/>
        <w:jc w:val="left"/>
        <w:rPr>
          <w:rFonts w:ascii="Times New Roman" w:hAnsi="Times New Roman"/>
          <w:sz w:val="20"/>
        </w:rPr>
      </w:pPr>
      <w:r>
        <w:rPr>
          <w:rFonts w:ascii="Times New Roman" w:hAnsi="Times New Roman"/>
          <w:b w:val="false"/>
          <w:sz w:val="20"/>
        </w:rPr>
        <w:t>The state of California recently enacted the CCPA, which creates new individual privacy rights for California consumers and places increased privacy and data security obligations on entities handling personal information of consumers or households. The CCPA went into effect on January 1, 2020 and may impact our business activities and exemplifies the vulnerability of our business to the evolving regulatory environment related to personal information and protected health information. Additionally, although not effective until January 1, 2023, the California Privacy Rights Act, or the CPRA, which expands upon the CCPA, was passed in the November 2020 election. The CCPA gives (and the CPRA will give) California residents expanded privacy rights, including the right to request correction, access, and deletion of their personal information, the right to opt out of certain personal information sharing, and the right to receive detailed information about how their personal information is processed. The CCPA and CPRA provide for civil penalties and a private right of action for data breaches that is expected to increase data breach litigation. The CCPA and CPRA may increase our compliance costs and potential liability. The CCPA has prompted several proposals for new federal and state-level privacy legislation, such as in Nevada, New Hampshire, Ohio, New York, Washington, Illinois and Nebraska, as well as in Virginia, which passed the Virginia Consumer Data Protection Act, or VCDPA, which will be effective as of January 1, 2023, and Colorado, which enacted the Colorado Privacy Act, or CoPA, which is set to take effect on July 1, 2023. The VCDPA, CoPA and other such proposed legislation, if enacted, could increase our potential liability and compliance costs, and adversely affect our business.</w:t>
      </w:r>
      <w:r>
        <w:rPr>
          <w:rFonts w:ascii="Times New Roman" w:hAnsi="Times New Roman"/>
          <w:sz w:val="20"/>
        </w:rPr>
        <w:t xml:space="preserve"> </w:t>
      </w:r>
    </w:p>
    <w:p>
      <w:pPr>
        <w:pStyle w:val="TextBody"/>
        <w:spacing w:lineRule="auto" w:line="273" w:before="240" w:after="0"/>
        <w:jc w:val="left"/>
        <w:rPr>
          <w:rFonts w:ascii="Times New Roman" w:hAnsi="Times New Roman"/>
          <w:b w:val="false"/>
          <w:sz w:val="20"/>
        </w:rPr>
      </w:pPr>
      <w:r>
        <w:rPr>
          <w:rFonts w:ascii="Times New Roman" w:hAnsi="Times New Roman"/>
          <w:b w:val="false"/>
          <w:sz w:val="20"/>
        </w:rPr>
        <w:t>Foreign data protection laws, including Regulation 2016/679, known as the General Data Protection Regulation, or GDPR, may apply to personal information (including health-related data) obtained from individuals in the European Economic Area, or the EEA, and Switzerland. The GDPR, and its implementing legislation across the EU, imposes strict obligations on businesses, including requiring changes to informed consent practices and more detailed notices for clinical trial subjects and investigators, requiring limitations on data processing, establishing a legal basis for processing personal information, notification of data processing obligations, notification of security incidents to appropriate data protection authorities or data subjects, protecting the security and confidentiality of the personal information, and establishing means for data subjects to exercise rights in relation to their personal information. The GDPR subjects noncompliant companies to fines of up to the greater of 20 million Euros or 4% of their global annual revenues, potential bans on processing of personal information (including clinical trials), and private litigation. To the extent applicable, the GDPR will increase our responsibility and liability in relation to personal information that we process, and we may be required to put in place additional mechanisms and expend additional time and resources to ensure compliance with the EU data protection rules. Additionally, the UK implemented the Data Protection Act effective in May 2018 and statutorily amended in 2019, that substantially implements the GDPR and contains provisions, including UK-specific derogations, for how GDPR is applied in the UK. Changes in these legislations may add additional complexity, variation in requirements, restrictions and potential legal risk, require additional investment in resources for compliance programs, could impact strategies and availability of previously useful data, and could result in increased compliance costs and/or changes in business practices and policies. In addition, supervisory authorities in the EEA, Switzerland, and the UK have enforced data protection legislation inconsistently, which may result in us having to spend additional resources in order to comply with rules and guidance applicable only in certain, local jurisdictions.</w:t>
      </w:r>
    </w:p>
    <w:p>
      <w:pPr>
        <w:pStyle w:val="TextBody"/>
        <w:spacing w:lineRule="auto" w:line="273" w:before="0" w:after="0"/>
        <w:jc w:val="center"/>
        <w:rPr>
          <w:rFonts w:ascii="Times New Roman" w:hAnsi="Times New Roman"/>
          <w:b w:val="false"/>
          <w:sz w:val="20"/>
        </w:rPr>
      </w:pPr>
      <w:r>
        <w:rPr>
          <w:rFonts w:ascii="Times New Roman" w:hAnsi="Times New Roman"/>
          <w:b w:val="false"/>
          <w:sz w:val="20"/>
        </w:rPr>
        <w:t>67</w:t>
      </w:r>
    </w:p>
    <w:p>
      <w:pPr>
        <w:pStyle w:val="HorizontalLine"/>
        <w:rPr/>
      </w:pPr>
      <w:r>
        <w:rPr/>
      </w:r>
    </w:p>
    <w:p>
      <w:pPr>
        <w:pStyle w:val="TextBody"/>
        <w:spacing w:lineRule="auto" w:line="273" w:before="0" w:after="0"/>
        <w:jc w:val="left"/>
        <w:rPr/>
      </w:pPr>
      <w:r>
        <w:rPr/>
        <w:t> </w:t>
      </w:r>
    </w:p>
    <w:p>
      <w:pPr>
        <w:pStyle w:val="TextBody"/>
        <w:spacing w:lineRule="auto" w:line="273" w:before="240" w:after="0"/>
        <w:jc w:val="left"/>
        <w:rPr>
          <w:rFonts w:ascii="Times New Roman" w:hAnsi="Times New Roman"/>
          <w:b w:val="false"/>
          <w:sz w:val="20"/>
        </w:rPr>
      </w:pPr>
      <w:r>
        <w:rPr>
          <w:rFonts w:ascii="Times New Roman" w:hAnsi="Times New Roman"/>
          <w:b w:val="false"/>
          <w:sz w:val="20"/>
        </w:rPr>
        <w:t>Further, European data protection laws generally prohibit the transfer of personal information to countries outside of the EEA, UK, and Switzerland, such as the United States, which are not considered by the European Commission to provide an adequate level of data protection. Switzerland has adopted similar restrictions. Although there are legal mechanisms to allow for the transfer of personal information from the EEA, UK, and Switzerland to the United States and other countries, they are or may become subject to legal challenges that, if successful, could invalidate these mechanisms, restrict our ability to process personal information of Europeans outside of Europe and adversely impact our business. For example, in July 2020, the Court of Justice of the European Union, or CJEU, invalidated the EU-U.S. Privacy Shield, which enabled the transfer of personal information from EU to the U.S. for companies that had self-certified to the Privacy Shield on the grounds that the EU-U.S. Privacy Shield failed to offer adequate protections to EU personal information transferred to the United States. While the CJEU did not invalidate the use of other data transfer mechanisms, such as the Standard Contractual Clauses, the decision has led to uncertainty regarding the use of such mechanisms for data transfers to the United States, and the CJEU made clear that reliance on Standard Contractual Clauses alone may not necessarily be sufficient in all circumstances. The European Data Protection Board, or EDPB, issued additional guidance regarding the CJEU’s decision on November 11, 2020 which imposes higher burdens on the use of data transfer mechanisms, such as the Standard Contractual Clauses, for cross-border data transfers. In June 2021, the European Commission adopted new Standard Contractual Clauses under the GDPR for transfers of personal data outside the EU to countries that the European Commission has not deemed to provide an adequate level of protection for such personal data. If we elect to rely on the new Standard Contractual Clauses for personal data transfers out of the EU, and in light of the EDPB recommendations, we may be required to expend significant resources to meet the obligations the new Standard Contractual Clauses impose; for example, we may be required to conduct transfer impact assessments for such cross-border data transfers and implement additional security measures. We will also have to spend resources to ensure that, prior to 2023, these new Standard Contractual Clauses are incorporated into all contracts governing data processing and cross-border transfer, including those contracts that are currently subject to the old Standard Contractual Clauses. In addition, it is anticipated that the UK will finalize its new model clauses governing cross-border data transfers, and therefore we will have to spend additional time and resources seeking to comply with the UK’s unique requirements in this area. Due to potential legal challenges, there is uncertainty regarding whether the new EU Standard Contractual Clauses will remain a valid mechanism for transfers of personal information out of the EEA. The use of Standard Contractual Clauses for the transfer of personal information specifically to the United States also remains under review by a number of European data protection supervisory authorities. For example, German and Irish supervisory authorities have indicated that the Standard Contractual Clauses alone provide inadequate protection for EU-U.S. data transfers. Use of the data transfer mechanisms must now be assessed on a case-by-case basis taking into account the legal regime applicable in the destination country, in particular applicable surveillance laws and rights of individuals. To comply with these requirements and as supervisory authorities continue to issue further guidance, we may need to implement additional safeguards to further enhance the security of data transferred out of Europe, we could suffer additional costs, complaints, or regulatory investigations or fines, and if we are otherwise unable to transfer personal information between and among countries and regions in which we operate, it could affect the manner in which we provide our products and services, the geographical location or segregation of our relevant systems and operations, and could adversely affect our financial results.</w:t>
      </w:r>
    </w:p>
    <w:p>
      <w:pPr>
        <w:pStyle w:val="TextBody"/>
        <w:spacing w:lineRule="auto" w:line="273" w:before="240" w:after="0"/>
        <w:jc w:val="left"/>
        <w:rPr>
          <w:rFonts w:ascii="Times New Roman" w:hAnsi="Times New Roman"/>
          <w:b w:val="false"/>
          <w:sz w:val="20"/>
        </w:rPr>
      </w:pPr>
      <w:r>
        <w:rPr>
          <w:rFonts w:ascii="Times New Roman" w:hAnsi="Times New Roman"/>
          <w:b w:val="false"/>
          <w:sz w:val="20"/>
        </w:rPr>
        <w:t>In addition, further to the UK’s exit from the EU on January 31, 2020, the GDPR ceased to apply in the UK at the end of the transition period on December 31, 2020. However, as of January 1, 2021, the United Kingdom’s European Union (Withdrawal) Act 2018 incorporated the GDPR (as it existed on December 31, 2020 but subject to certain UK-specific amendments) into UK law, referred to as the UK GDPR. The UK GDPR and the UK Data Protection Act 2018 set out the UK’s data protection regime, which is independent from but aligned to the EU’s data protection regime. Non-compliance with the UK GDPR may result in monetary penalties of up to £17.5 million or 4% of worldwide revenue, whichever is higher. With respect to transfers of personal data from the EU to the United Kingdom, on June 28, 2021 the European Commission issued an adequacy decision in respect of the UK’s data protection framework, enabling data transfers from EU member states to the UK to continue without requiring organizations to put in place contractual or other measures in order to lawfully transfer personal data between the territories. While it is intended to last for at least four years, the European Commission may unilaterally revoke the adequacy decision at any point, and if this occurs it could lead to additional costs and increase our overall risk exposure.</w:t>
      </w:r>
    </w:p>
    <w:p>
      <w:pPr>
        <w:pStyle w:val="TextBody"/>
        <w:spacing w:lineRule="auto" w:line="273" w:before="240" w:after="0"/>
        <w:jc w:val="left"/>
        <w:rPr>
          <w:rFonts w:ascii="Times New Roman" w:hAnsi="Times New Roman"/>
          <w:b w:val="false"/>
          <w:sz w:val="20"/>
        </w:rPr>
      </w:pPr>
      <w:r>
        <w:rPr>
          <w:rFonts w:ascii="Times New Roman" w:hAnsi="Times New Roman"/>
          <w:b w:val="false"/>
          <w:sz w:val="20"/>
        </w:rPr>
        <w:t>Other countries, including China, Brazil, Australia and Japan, for example, have adopted certain legal requirements for local storage and processing of data and cross-border transfers of personal information, any and all of which could increase the cost and complexity of conducting preclinical testing and clinical trials or delivering our future products, if any, and operating our business. These obligations may be interpreted and applied in a manner that is inconsistent from one jurisdiction to another and may conflict with other requirements or our practices.</w:t>
      </w:r>
    </w:p>
    <w:p>
      <w:pPr>
        <w:pStyle w:val="TextBody"/>
        <w:spacing w:lineRule="auto" w:line="273" w:before="240" w:after="0"/>
        <w:jc w:val="left"/>
        <w:rPr>
          <w:rFonts w:ascii="Times New Roman" w:hAnsi="Times New Roman"/>
          <w:sz w:val="20"/>
        </w:rPr>
      </w:pPr>
      <w:r>
        <w:rPr>
          <w:rFonts w:ascii="Times New Roman" w:hAnsi="Times New Roman"/>
          <w:b w:val="false"/>
          <w:sz w:val="20"/>
        </w:rPr>
        <w:t>We are or may become subject to the terms of external and internal privacy and security policies, representations, certifications, publications related to privacy and security.</w:t>
      </w:r>
      <w:r>
        <w:rPr>
          <w:rFonts w:ascii="Times New Roman" w:hAnsi="Times New Roman"/>
          <w:sz w:val="20"/>
        </w:rPr>
        <w:t xml:space="preserve"> </w:t>
      </w:r>
    </w:p>
    <w:p>
      <w:pPr>
        <w:pStyle w:val="TextBody"/>
        <w:spacing w:lineRule="auto" w:line="273" w:before="0" w:after="0"/>
        <w:jc w:val="center"/>
        <w:rPr>
          <w:rFonts w:ascii="Times New Roman" w:hAnsi="Times New Roman"/>
          <w:b w:val="false"/>
          <w:sz w:val="20"/>
        </w:rPr>
      </w:pPr>
      <w:r>
        <w:rPr>
          <w:rFonts w:ascii="Times New Roman" w:hAnsi="Times New Roman"/>
          <w:b w:val="false"/>
          <w:sz w:val="20"/>
        </w:rPr>
        <w:t>68</w:t>
      </w:r>
    </w:p>
    <w:p>
      <w:pPr>
        <w:pStyle w:val="HorizontalLine"/>
        <w:rPr/>
      </w:pPr>
      <w:r>
        <w:rPr/>
      </w:r>
    </w:p>
    <w:p>
      <w:pPr>
        <w:pStyle w:val="TextBody"/>
        <w:spacing w:lineRule="auto" w:line="273" w:before="0" w:after="0"/>
        <w:jc w:val="left"/>
        <w:rPr/>
      </w:pPr>
      <w:r>
        <w:rPr/>
        <w:t> </w:t>
      </w:r>
    </w:p>
    <w:p>
      <w:pPr>
        <w:pStyle w:val="TextBody"/>
        <w:spacing w:lineRule="auto" w:line="273" w:before="240" w:after="0"/>
        <w:jc w:val="left"/>
        <w:rPr>
          <w:rFonts w:ascii="Times New Roman" w:hAnsi="Times New Roman"/>
          <w:sz w:val="20"/>
        </w:rPr>
      </w:pPr>
      <w:r>
        <w:rPr>
          <w:rFonts w:ascii="Times New Roman" w:hAnsi="Times New Roman"/>
          <w:b w:val="false"/>
          <w:sz w:val="20"/>
        </w:rPr>
        <w:t>Compliance with domestic and foreign privacy, data security, and data protection laws, regulations, and contractual and other obligations could require us to take on more onerous obligations in our contracts, restrict our ability to collect, use and disclose data, or in some cases, impact our ability to operate in certain jurisdictions. The actual or perceived failure to comply with domestic and foreign privacy, data privacy, and data protection laws and regulations could result in government enforcement actions (which could include civil, criminal, and administrative penalties), private litigation and/or adverse publicity and could negatively affect our operating results and business. Moreover, clinical trial subjects about whom we or our potential collaborators obtain information, as well as the providers who share this information with us, may contractually limit our ability to use and disclose the information. Claims that we have violated individuals’ privacy rights, failed to comply with privacy, data security, and data protection laws, or breached our contractual obligations, even if we are not found liable, could be expensive and time consuming to defend and could result in adverse publicity that could harm our business.</w:t>
      </w:r>
      <w:r>
        <w:rPr>
          <w:rFonts w:ascii="Times New Roman" w:hAnsi="Times New Roman"/>
          <w:sz w:val="20"/>
        </w:rPr>
        <w:t xml:space="preserve"> </w:t>
      </w:r>
    </w:p>
    <w:p>
      <w:pPr>
        <w:pStyle w:val="TextBody"/>
        <w:spacing w:lineRule="auto" w:line="273" w:before="360" w:after="0"/>
        <w:jc w:val="left"/>
        <w:rPr>
          <w:rFonts w:ascii="Times New Roman" w:hAnsi="Times New Roman"/>
          <w:sz w:val="20"/>
        </w:rPr>
      </w:pPr>
      <w:r>
        <w:rPr>
          <w:rFonts w:ascii="Times New Roman" w:hAnsi="Times New Roman"/>
          <w:b/>
          <w:i/>
          <w:sz w:val="20"/>
        </w:rPr>
        <w:t>We or the third parties upon whom we depend may be adversely affected by natural disasters and our business continuity and disaster recovery plans may not adequately protect us from a serious disaster.</w:t>
      </w:r>
      <w:r>
        <w:rPr>
          <w:rFonts w:ascii="Times New Roman" w:hAnsi="Times New Roman"/>
          <w:sz w:val="20"/>
        </w:rPr>
        <w:t xml:space="preserve"> </w:t>
      </w:r>
    </w:p>
    <w:p>
      <w:pPr>
        <w:pStyle w:val="TextBody"/>
        <w:spacing w:lineRule="auto" w:line="273" w:before="120" w:after="0"/>
        <w:jc w:val="left"/>
        <w:rPr>
          <w:rFonts w:ascii="Times New Roman" w:hAnsi="Times New Roman"/>
          <w:sz w:val="20"/>
        </w:rPr>
      </w:pPr>
      <w:r>
        <w:rPr>
          <w:rFonts w:ascii="Times New Roman" w:hAnsi="Times New Roman"/>
          <w:b w:val="false"/>
          <w:sz w:val="20"/>
        </w:rPr>
        <w:t>Our current operations are primarily located in San Francisco, California. Any unplanned event, such as earthquake, flood, fire, explosion, extreme weather conditions, medical epidemic or pandemic, power shortage, telecommunication failure or other natural or man-made accident or incident that results in our being unable to fully utilize our facilities, or the manufacturing facilities of our third-party contract manufacturers, may have a material and adverse effect on our ability to operate our business, particularly on a daily basis, and have significant negative consequences on our financial and operating conditions. Loss of access to these facilities may result in increased costs, delays in the development of our product candidates or interruption of our business operations, and have a material adverse effect on our business, financial condition, results of operations and prospects. If a natural disaster, power outage or other event occurred that prevented us from using all or a significant portion of our headquarters, that damaged critical infrastructure such as our research facilities or the manufacturing facilities of our third-party contract manufacturers, or that otherwise disrupted operations, it may be difficult or, in certain cases, impossible, for us to continue our business for a substantial period of time. The disaster recovery and business continuity plans we have in place may prove inadequate in the event of a serious disaster or similar event. We may incur substantial expenses as a result of the limited nature of our disaster recovery and business continuity plans, which could have a material adverse effect on our business. As part of our risk management policy, we maintain insurance coverage at levels that we believe are appropriate for our business. However, in the event of an accident or incident at these facilities, we cannot assure you that the amounts of insurance will be sufficient to satisfy any damages and losses. If our facilities, or the manufacturing facilities of our third-party contract manufacturers, are unable to operate because of an accident or incident or for any other reason, even for a short period of time, any or all of our research and development programs may be harmed. Any business interruption could have a material and adverse effect on our business, financial condition, results of operations and prospects.</w:t>
      </w:r>
      <w:r>
        <w:rPr>
          <w:rFonts w:ascii="Times New Roman" w:hAnsi="Times New Roman"/>
          <w:sz w:val="20"/>
        </w:rPr>
        <w:t xml:space="preserve"> </w:t>
      </w:r>
    </w:p>
    <w:p>
      <w:pPr>
        <w:pStyle w:val="TextBody"/>
        <w:spacing w:lineRule="auto" w:line="273" w:before="0" w:after="0"/>
        <w:jc w:val="center"/>
        <w:rPr>
          <w:rFonts w:ascii="Times New Roman" w:hAnsi="Times New Roman"/>
          <w:b w:val="false"/>
          <w:sz w:val="20"/>
        </w:rPr>
      </w:pPr>
      <w:r>
        <w:rPr>
          <w:rFonts w:ascii="Times New Roman" w:hAnsi="Times New Roman"/>
          <w:b w:val="false"/>
          <w:sz w:val="20"/>
        </w:rPr>
        <w:t>69</w:t>
      </w:r>
    </w:p>
    <w:p>
      <w:pPr>
        <w:pStyle w:val="HorizontalLine"/>
        <w:rPr/>
      </w:pPr>
      <w:r>
        <w:rPr/>
      </w:r>
    </w:p>
    <w:p>
      <w:pPr>
        <w:pStyle w:val="TextBody"/>
        <w:spacing w:lineRule="auto" w:line="273" w:before="0" w:after="0"/>
        <w:jc w:val="left"/>
        <w:rPr/>
      </w:pPr>
      <w:r>
        <w:rPr/>
        <w:t> </w:t>
      </w:r>
    </w:p>
    <w:p>
      <w:pPr>
        <w:pStyle w:val="TextBody"/>
        <w:spacing w:lineRule="auto" w:line="273" w:before="120" w:after="0"/>
        <w:jc w:val="left"/>
        <w:rPr>
          <w:rFonts w:ascii="Times New Roman" w:hAnsi="Times New Roman"/>
          <w:sz w:val="20"/>
        </w:rPr>
      </w:pPr>
      <w:r>
        <w:rPr>
          <w:rFonts w:ascii="Times New Roman" w:hAnsi="Times New Roman"/>
          <w:b/>
          <w:i/>
          <w:sz w:val="20"/>
        </w:rPr>
        <w:t>Changes in tax laws or regulations that are applied adversely to us may have a material adverse effect on our business, cash flow, financial condition or results of operations.</w:t>
      </w:r>
      <w:r>
        <w:rPr>
          <w:rFonts w:ascii="Times New Roman" w:hAnsi="Times New Roman"/>
          <w:sz w:val="20"/>
        </w:rPr>
        <w:t xml:space="preserve"> </w:t>
      </w:r>
    </w:p>
    <w:p>
      <w:pPr>
        <w:pStyle w:val="TextBody"/>
        <w:spacing w:lineRule="auto" w:line="273" w:before="120" w:after="0"/>
        <w:jc w:val="left"/>
        <w:rPr>
          <w:rFonts w:ascii="Times New Roman" w:hAnsi="Times New Roman"/>
          <w:sz w:val="20"/>
        </w:rPr>
      </w:pPr>
      <w:r>
        <w:rPr>
          <w:rFonts w:ascii="Times New Roman" w:hAnsi="Times New Roman"/>
          <w:b w:val="false"/>
          <w:sz w:val="20"/>
        </w:rPr>
        <w:t>New income, sales, use or other tax laws, statutes, rules, regulations or ordinances could be enacted at any time, which could adversely affect our business operations and financial performance. Further, existing tax laws, statutes, rules, regulations or ordinances could be interpreted, changed, modified or applied adversely to us. For example, the Tax Cuts and Jobs Act of 2017, or the Tax Cuts and Jobs Act, enacted many significant changes to the U.S. tax laws. Future guidance from the Internal Revenue Service and other tax authorities with respect to the Tax Cuts and Jobs Act may affect us, and certain aspects of the Tax Cuts and Jobs Act could be repealed or modified in future legislation. For example, the CARES Act modified certain provisions of the Tax Cuts and Jobs Act. In addition, it is uncertain if and to what extent various states will conform to the Tax Cuts and Jobs Act, the CARES Act, or any newly enacted federal tax legislation. Changes in corporate tax rates, the realization of net deferred tax assets relating to our operations, the taxation of foreign earnings, and the deductibility of expenses under the Tax Cuts and Jobs Act, the CARES Act or future reform legislation could have a material impact on the value of our deferred tax assets, could result in significant one-time charges, and could increase our future U.S. tax expense.</w:t>
      </w:r>
      <w:r>
        <w:rPr>
          <w:rFonts w:ascii="Times New Roman" w:hAnsi="Times New Roman"/>
          <w:sz w:val="20"/>
        </w:rPr>
        <w:t xml:space="preserve"> </w:t>
      </w:r>
    </w:p>
    <w:p>
      <w:pPr>
        <w:pStyle w:val="TextBody"/>
        <w:spacing w:lineRule="auto" w:line="273" w:before="360" w:after="0"/>
        <w:jc w:val="left"/>
        <w:rPr>
          <w:rFonts w:ascii="Times New Roman" w:hAnsi="Times New Roman"/>
          <w:sz w:val="20"/>
        </w:rPr>
      </w:pPr>
      <w:r>
        <w:rPr>
          <w:rFonts w:ascii="Times New Roman" w:hAnsi="Times New Roman"/>
          <w:b/>
          <w:i/>
          <w:sz w:val="20"/>
        </w:rPr>
        <w:t>Our ability to use our net operating loss carryforwards and certain other tax attributes may be limited.</w:t>
      </w:r>
      <w:r>
        <w:rPr>
          <w:rFonts w:ascii="Times New Roman" w:hAnsi="Times New Roman"/>
          <w:sz w:val="20"/>
        </w:rPr>
        <w:t xml:space="preserve"> </w:t>
      </w:r>
    </w:p>
    <w:p>
      <w:pPr>
        <w:pStyle w:val="TextBody"/>
        <w:spacing w:lineRule="auto" w:line="273" w:before="120" w:after="0"/>
        <w:jc w:val="left"/>
        <w:rPr>
          <w:rFonts w:ascii="Times New Roman" w:hAnsi="Times New Roman"/>
          <w:sz w:val="20"/>
        </w:rPr>
      </w:pPr>
      <w:r>
        <w:rPr>
          <w:rFonts w:ascii="Times New Roman" w:hAnsi="Times New Roman"/>
          <w:b w:val="false"/>
          <w:sz w:val="20"/>
        </w:rPr>
        <w:t>We have incurred substantial losses during our history and do not expect to become profitable in the near future, and we may never achieve profitability. Unused losses incurred in taxable years beginning on or prior to December 31, 2017, will carry forward to offset future taxable income, if any, until such unused losses expire. Under the Tax Cuts and Jobs Act, as modified by the CARES Act, unused U.S. federal net operating losses generated in tax years beginning after December 31, 2017, will not expire and may be carried forward indefinitely but the deductibility of such federal net operating losses in taxable years beginning after December 31, 2020, is limited to 80% of current year taxable income. It is uncertain if and to what extent various states will conform to the Tax Cuts and Jobs Act or the CARES Act. In addition, both our current and our future unused losses and other tax attributes may be subject to limitation under Sections 382 and 383 of the Internal Revenue Code of 1986, as amended, or the Code, if we undergo, or have undergone, an “ownership change,” generally defined as a greater than 50 percentage point change (by value) in our equity ownership by certain stockholders over a three-year period. We have not completed a Section 382 study to assess whether an ownership change has occurred or whether there have been multiple ownership changes since our formation due to the complexity and cost associated with such a study and the fact that there may be additional ownership changes in the future. As a result, our net operating loss carryforwards generated in taxable years beginning on or before December 31, 2017, may expire prior to being used, and the deductibility of our net operating loss carryforwards generated in taxable years beginning after December 31, 2017 may be limited, and, if we undergo an ownership change (or if we previously underwent such an ownership change), our ability to use all of our pre-change net operating loss carryforwards and other pre-change tax attributes (such as research tax credits) to offset our post-change income or taxes may be limited. Similar provisions of state tax law may also apply to limit our use of accumulated state tax attributes. In addition, at the state level, there may be periods during which the use of net operating losses is suspended or otherwise limited, which could accelerate or permanently increase state taxes owed. As a result, even if we attain profitability, we may be unable to use all or a material portion of our net operating losses and other tax attributes, which could adversely affect our future cash flows.</w:t>
      </w:r>
      <w:r>
        <w:rPr>
          <w:rFonts w:ascii="Times New Roman" w:hAnsi="Times New Roman"/>
          <w:sz w:val="20"/>
        </w:rPr>
        <w:t xml:space="preserve"> </w:t>
      </w:r>
    </w:p>
    <w:p>
      <w:pPr>
        <w:pStyle w:val="TextBody"/>
        <w:spacing w:lineRule="auto" w:line="273" w:before="360" w:after="0"/>
        <w:jc w:val="left"/>
        <w:rPr>
          <w:rFonts w:ascii="Times New Roman" w:hAnsi="Times New Roman"/>
          <w:sz w:val="20"/>
        </w:rPr>
      </w:pPr>
      <w:r>
        <w:rPr>
          <w:rFonts w:ascii="Times New Roman" w:hAnsi="Times New Roman"/>
          <w:b/>
          <w:i/>
          <w:sz w:val="20"/>
        </w:rPr>
        <w:t>We have engaged, and will continue to engage, in strategic transactions that could impact our liquidity, increase our expenses and present significant distractions to our management.</w:t>
      </w:r>
      <w:r>
        <w:rPr>
          <w:rFonts w:ascii="Times New Roman" w:hAnsi="Times New Roman"/>
          <w:sz w:val="20"/>
        </w:rPr>
        <w:t xml:space="preserve"> </w:t>
      </w:r>
    </w:p>
    <w:p>
      <w:pPr>
        <w:pStyle w:val="TextBody"/>
        <w:spacing w:lineRule="auto" w:line="273" w:before="120" w:after="0"/>
        <w:jc w:val="left"/>
        <w:rPr>
          <w:rFonts w:ascii="Times New Roman" w:hAnsi="Times New Roman"/>
          <w:sz w:val="20"/>
        </w:rPr>
      </w:pPr>
      <w:r>
        <w:rPr>
          <w:rFonts w:ascii="Times New Roman" w:hAnsi="Times New Roman"/>
          <w:b w:val="false"/>
          <w:sz w:val="20"/>
        </w:rPr>
        <w:t>We have engaged, for instance with affiliates of Takeda Pharmaceutical Company Limited, Viracta Therapeutics, Inc. and Merck KGaA, Darmstadt, Germany, and from time to time, we may consider further strategic transactions, such as acquisitions of companies, businesses or assets and out-licensing or in-licensing of products, product candidates or technologies. Additional potential transactions that we may consider include a variety of different business arrangements, including spin-offs, strategic partnerships, joint ventures, restructurings, divestitures, business combinations and investments. Any such transaction may require us to incur non-recurring or other charges, may increase our near term or long-term expenditures and may pose significant integration challenges or disrupt our management or business, which could adversely affect our operations and financial results. For example, these transactions may entail numerous operational and financial risks, including:</w:t>
      </w:r>
      <w:r>
        <w:rPr>
          <w:rFonts w:ascii="Times New Roman" w:hAnsi="Times New Roman"/>
          <w:sz w:val="20"/>
        </w:rPr>
        <w:t xml:space="preserve"> </w:t>
      </w:r>
    </w:p>
    <w:p>
      <w:pPr>
        <w:pStyle w:val="TextBody"/>
        <w:spacing w:lineRule="auto" w:line="273" w:before="120" w:after="0"/>
        <w:jc w:val="left"/>
        <w:rPr/>
      </w:pPr>
      <w:r>
        <w:rPr/>
        <w:t>•</w:t>
      </w:r>
    </w:p>
    <w:p>
      <w:pPr>
        <w:pStyle w:val="TextBody"/>
        <w:spacing w:lineRule="auto" w:line="273" w:before="120" w:after="0"/>
        <w:jc w:val="left"/>
        <w:rPr>
          <w:rFonts w:ascii="Times New Roman" w:hAnsi="Times New Roman"/>
          <w:b w:val="false"/>
          <w:sz w:val="20"/>
        </w:rPr>
      </w:pPr>
      <w:r>
        <w:rPr>
          <w:rFonts w:ascii="Times New Roman" w:hAnsi="Times New Roman"/>
          <w:b w:val="false"/>
          <w:sz w:val="20"/>
        </w:rPr>
        <w:t xml:space="preserve">exposure to unknown liabilities; </w:t>
      </w:r>
    </w:p>
    <w:p>
      <w:pPr>
        <w:pStyle w:val="TextBody"/>
        <w:spacing w:lineRule="auto" w:line="273" w:before="120" w:after="0"/>
        <w:jc w:val="left"/>
        <w:rPr/>
      </w:pPr>
      <w:r>
        <w:rPr/>
        <w:t>•</w:t>
      </w:r>
    </w:p>
    <w:p>
      <w:pPr>
        <w:pStyle w:val="TextBody"/>
        <w:spacing w:lineRule="auto" w:line="273" w:before="120" w:after="0"/>
        <w:jc w:val="left"/>
        <w:rPr>
          <w:rFonts w:ascii="Times New Roman" w:hAnsi="Times New Roman"/>
          <w:b w:val="false"/>
          <w:sz w:val="20"/>
        </w:rPr>
      </w:pPr>
      <w:r>
        <w:rPr>
          <w:rFonts w:ascii="Times New Roman" w:hAnsi="Times New Roman"/>
          <w:b w:val="false"/>
          <w:sz w:val="20"/>
        </w:rPr>
        <w:t xml:space="preserve">disruption of our business and diversion of our management’s time and attention in order to develop acquired products, product candidates or technologies; </w:t>
      </w:r>
    </w:p>
    <w:p>
      <w:pPr>
        <w:pStyle w:val="TextBody"/>
        <w:spacing w:lineRule="auto" w:line="273" w:before="120" w:after="0"/>
        <w:jc w:val="left"/>
        <w:rPr/>
      </w:pPr>
      <w:r>
        <w:rPr/>
        <w:t>•</w:t>
      </w:r>
    </w:p>
    <w:p>
      <w:pPr>
        <w:pStyle w:val="TextBody"/>
        <w:spacing w:lineRule="auto" w:line="273" w:before="120" w:after="0"/>
        <w:jc w:val="left"/>
        <w:rPr>
          <w:rFonts w:ascii="Times New Roman" w:hAnsi="Times New Roman"/>
          <w:b w:val="false"/>
          <w:sz w:val="20"/>
        </w:rPr>
      </w:pPr>
      <w:r>
        <w:rPr>
          <w:rFonts w:ascii="Times New Roman" w:hAnsi="Times New Roman"/>
          <w:b w:val="false"/>
          <w:sz w:val="20"/>
        </w:rPr>
        <w:t xml:space="preserve">incurrence of substantial debt or dilutive issuances of equity securities to pay for acquisitions; </w:t>
      </w:r>
    </w:p>
    <w:p>
      <w:pPr>
        <w:pStyle w:val="TextBody"/>
        <w:spacing w:lineRule="auto" w:line="273" w:before="120" w:after="0"/>
        <w:jc w:val="left"/>
        <w:rPr/>
      </w:pPr>
      <w:r>
        <w:rPr/>
        <w:t>•</w:t>
      </w:r>
    </w:p>
    <w:p>
      <w:pPr>
        <w:pStyle w:val="TextBody"/>
        <w:spacing w:lineRule="auto" w:line="273" w:before="120" w:after="0"/>
        <w:jc w:val="left"/>
        <w:rPr>
          <w:rFonts w:ascii="Times New Roman" w:hAnsi="Times New Roman"/>
          <w:b w:val="false"/>
          <w:sz w:val="20"/>
        </w:rPr>
      </w:pPr>
      <w:r>
        <w:rPr>
          <w:rFonts w:ascii="Times New Roman" w:hAnsi="Times New Roman"/>
          <w:b w:val="false"/>
          <w:sz w:val="20"/>
        </w:rPr>
        <w:t xml:space="preserve">higher than expected acquisition and integration costs; </w:t>
      </w:r>
    </w:p>
    <w:p>
      <w:pPr>
        <w:pStyle w:val="TextBody"/>
        <w:spacing w:lineRule="auto" w:line="273" w:before="120" w:after="0"/>
        <w:jc w:val="left"/>
        <w:rPr/>
      </w:pPr>
      <w:r>
        <w:rPr/>
        <w:t>•</w:t>
      </w:r>
    </w:p>
    <w:p>
      <w:pPr>
        <w:pStyle w:val="TextBody"/>
        <w:spacing w:lineRule="auto" w:line="273" w:before="120" w:after="0"/>
        <w:jc w:val="left"/>
        <w:rPr>
          <w:rFonts w:ascii="Times New Roman" w:hAnsi="Times New Roman"/>
          <w:b w:val="false"/>
          <w:sz w:val="20"/>
        </w:rPr>
      </w:pPr>
      <w:r>
        <w:rPr>
          <w:rFonts w:ascii="Times New Roman" w:hAnsi="Times New Roman"/>
          <w:b w:val="false"/>
          <w:sz w:val="20"/>
        </w:rPr>
        <w:t xml:space="preserve">write-downs of assets or goodwill or impairment charges; </w:t>
      </w:r>
    </w:p>
    <w:p>
      <w:pPr>
        <w:pStyle w:val="TextBody"/>
        <w:spacing w:lineRule="auto" w:line="273" w:before="120" w:after="0"/>
        <w:jc w:val="left"/>
        <w:rPr/>
      </w:pPr>
      <w:r>
        <w:rPr/>
        <w:t>•</w:t>
      </w:r>
    </w:p>
    <w:p>
      <w:pPr>
        <w:pStyle w:val="TextBody"/>
        <w:spacing w:lineRule="auto" w:line="273" w:before="120" w:after="283"/>
        <w:jc w:val="left"/>
        <w:rPr>
          <w:rFonts w:ascii="Times New Roman" w:hAnsi="Times New Roman"/>
          <w:b w:val="false"/>
          <w:sz w:val="20"/>
        </w:rPr>
      </w:pPr>
      <w:r>
        <w:rPr>
          <w:rFonts w:ascii="Times New Roman" w:hAnsi="Times New Roman"/>
          <w:b w:val="false"/>
          <w:sz w:val="20"/>
        </w:rPr>
        <w:t xml:space="preserve">increased amortization expenses; </w:t>
      </w:r>
    </w:p>
    <w:p>
      <w:pPr>
        <w:pStyle w:val="TextBody"/>
        <w:spacing w:lineRule="auto" w:line="273" w:before="0" w:after="0"/>
        <w:jc w:val="center"/>
        <w:rPr>
          <w:rFonts w:ascii="Times New Roman" w:hAnsi="Times New Roman"/>
          <w:b w:val="false"/>
          <w:sz w:val="20"/>
        </w:rPr>
      </w:pPr>
      <w:r>
        <w:rPr>
          <w:rFonts w:ascii="Times New Roman" w:hAnsi="Times New Roman"/>
          <w:b w:val="false"/>
          <w:sz w:val="20"/>
        </w:rPr>
        <w:t>70</w:t>
      </w:r>
    </w:p>
    <w:p>
      <w:pPr>
        <w:pStyle w:val="HorizontalLine"/>
        <w:rPr/>
      </w:pPr>
      <w:r>
        <w:rPr/>
      </w:r>
    </w:p>
    <w:p>
      <w:pPr>
        <w:pStyle w:val="TextBody"/>
        <w:spacing w:lineRule="auto" w:line="273" w:before="0" w:after="0"/>
        <w:jc w:val="left"/>
        <w:rPr/>
      </w:pPr>
      <w:r>
        <w:rPr/>
        <w:t> </w:t>
      </w:r>
    </w:p>
    <w:p>
      <w:pPr>
        <w:pStyle w:val="TextBody"/>
        <w:spacing w:lineRule="auto" w:line="273" w:before="120" w:after="0"/>
        <w:jc w:val="left"/>
        <w:rPr/>
      </w:pPr>
      <w:r>
        <w:rPr/>
        <w:t>•</w:t>
      </w:r>
    </w:p>
    <w:p>
      <w:pPr>
        <w:pStyle w:val="TextBody"/>
        <w:spacing w:lineRule="auto" w:line="273" w:before="120" w:after="0"/>
        <w:jc w:val="left"/>
        <w:rPr>
          <w:rFonts w:ascii="Times New Roman" w:hAnsi="Times New Roman"/>
          <w:b w:val="false"/>
          <w:sz w:val="20"/>
        </w:rPr>
      </w:pPr>
      <w:r>
        <w:rPr>
          <w:rFonts w:ascii="Times New Roman" w:hAnsi="Times New Roman"/>
          <w:b w:val="false"/>
          <w:sz w:val="20"/>
        </w:rPr>
        <w:t xml:space="preserve">difficulty and cost in combining the operations, systems and personnel of any acquired businesses with our operations, systems and personnel; </w:t>
      </w:r>
    </w:p>
    <w:p>
      <w:pPr>
        <w:pStyle w:val="TextBody"/>
        <w:spacing w:lineRule="auto" w:line="273" w:before="120" w:after="0"/>
        <w:jc w:val="left"/>
        <w:rPr/>
      </w:pPr>
      <w:r>
        <w:rPr/>
        <w:t>•</w:t>
      </w:r>
    </w:p>
    <w:p>
      <w:pPr>
        <w:pStyle w:val="TextBody"/>
        <w:spacing w:lineRule="auto" w:line="273" w:before="120" w:after="0"/>
        <w:jc w:val="left"/>
        <w:rPr>
          <w:rFonts w:ascii="Times New Roman" w:hAnsi="Times New Roman"/>
          <w:b w:val="false"/>
          <w:sz w:val="20"/>
        </w:rPr>
      </w:pPr>
      <w:r>
        <w:rPr>
          <w:rFonts w:ascii="Times New Roman" w:hAnsi="Times New Roman"/>
          <w:b w:val="false"/>
          <w:sz w:val="20"/>
        </w:rPr>
        <w:t xml:space="preserve">impairment of relationships with key suppliers or customers of any acquired businesses due to changes in management and ownership; and </w:t>
      </w:r>
    </w:p>
    <w:p>
      <w:pPr>
        <w:pStyle w:val="TextBody"/>
        <w:spacing w:lineRule="auto" w:line="273" w:before="120" w:after="0"/>
        <w:jc w:val="left"/>
        <w:rPr/>
      </w:pPr>
      <w:r>
        <w:rPr/>
        <w:t>•</w:t>
      </w:r>
    </w:p>
    <w:p>
      <w:pPr>
        <w:pStyle w:val="TextBody"/>
        <w:spacing w:lineRule="auto" w:line="273" w:before="120" w:after="283"/>
        <w:jc w:val="left"/>
        <w:rPr>
          <w:rFonts w:ascii="Times New Roman" w:hAnsi="Times New Roman"/>
          <w:b w:val="false"/>
          <w:sz w:val="20"/>
        </w:rPr>
      </w:pPr>
      <w:r>
        <w:rPr>
          <w:rFonts w:ascii="Times New Roman" w:hAnsi="Times New Roman"/>
          <w:b w:val="false"/>
          <w:sz w:val="20"/>
        </w:rPr>
        <w:t xml:space="preserve">inability to retain key employees of any acquired businesses. </w:t>
      </w:r>
    </w:p>
    <w:p>
      <w:pPr>
        <w:pStyle w:val="TextBody"/>
        <w:spacing w:lineRule="auto" w:line="273" w:before="360" w:after="0"/>
        <w:jc w:val="left"/>
        <w:rPr>
          <w:rFonts w:ascii="Times New Roman" w:hAnsi="Times New Roman"/>
          <w:sz w:val="20"/>
        </w:rPr>
      </w:pPr>
      <w:r>
        <w:rPr>
          <w:rFonts w:ascii="Times New Roman" w:hAnsi="Times New Roman"/>
          <w:b/>
          <w:sz w:val="20"/>
        </w:rPr>
        <w:t>Risks related to our intellectual property</w:t>
      </w:r>
      <w:r>
        <w:rPr>
          <w:rFonts w:ascii="Times New Roman" w:hAnsi="Times New Roman"/>
          <w:sz w:val="20"/>
        </w:rPr>
        <w:t xml:space="preserve"> </w:t>
      </w:r>
    </w:p>
    <w:p>
      <w:pPr>
        <w:pStyle w:val="TextBody"/>
        <w:spacing w:lineRule="auto" w:line="273" w:before="120" w:after="0"/>
        <w:jc w:val="left"/>
        <w:rPr>
          <w:rFonts w:ascii="Times New Roman" w:hAnsi="Times New Roman"/>
          <w:sz w:val="20"/>
        </w:rPr>
      </w:pPr>
      <w:r>
        <w:rPr>
          <w:rFonts w:ascii="Times New Roman" w:hAnsi="Times New Roman"/>
          <w:b/>
          <w:i/>
          <w:sz w:val="20"/>
        </w:rPr>
        <w:t>If we are unable to obtain and maintain patent protection or other necessary rights for our products and technology, or if the scope of the patent protection obtained is not sufficiently broad or our rights under our patents (owned, co-owned or licensed) is not sufficiently broad, our competitors could develop and commercialize products and technology similar or identical to ours, and our ability to successfully commercialize our products and technology may be adversely affected.</w:t>
      </w:r>
      <w:r>
        <w:rPr>
          <w:rFonts w:ascii="Times New Roman" w:hAnsi="Times New Roman"/>
          <w:sz w:val="20"/>
        </w:rPr>
        <w:t xml:space="preserve"> </w:t>
      </w:r>
    </w:p>
    <w:p>
      <w:pPr>
        <w:pStyle w:val="TextBody"/>
        <w:spacing w:lineRule="auto" w:line="273" w:before="120" w:after="0"/>
        <w:jc w:val="left"/>
        <w:rPr>
          <w:rFonts w:ascii="Times New Roman" w:hAnsi="Times New Roman"/>
          <w:sz w:val="20"/>
        </w:rPr>
      </w:pPr>
      <w:r>
        <w:rPr>
          <w:rFonts w:ascii="Times New Roman" w:hAnsi="Times New Roman"/>
          <w:b w:val="false"/>
          <w:sz w:val="20"/>
        </w:rPr>
        <w:t>Our commercial success depends in part on our ability to obtain and maintain proprietary or intellectual property protection in the United States and other countries for our current product candidates and future products, as well as our core technologies, including our manufacturing know-how. We strive to protect and enhance the proprietary technology, inventions and improvements that are commercially important to the development of our business by seeking, maintaining and defending our intellectual property, whether developed internally or licensed from third parties. We also rely on trade secrets, know-how, continuing technological innovation and in-licensing opportunities to develop, strengthen and maintain our proprietary position in the field of cancer drug development. Additionally, we intend to rely on regulatory protection afforded through rare drug designations, data exclusivity and market exclusivity as well as patent term extensions, where available.</w:t>
      </w:r>
      <w:r>
        <w:rPr>
          <w:rFonts w:ascii="Times New Roman" w:hAnsi="Times New Roman"/>
          <w:sz w:val="20"/>
        </w:rPr>
        <w:t xml:space="preserve"> </w:t>
      </w:r>
    </w:p>
    <w:p>
      <w:pPr>
        <w:pStyle w:val="TextBody"/>
        <w:spacing w:lineRule="auto" w:line="273" w:before="240" w:after="0"/>
        <w:jc w:val="left"/>
        <w:rPr>
          <w:rFonts w:ascii="Times New Roman" w:hAnsi="Times New Roman"/>
          <w:sz w:val="20"/>
        </w:rPr>
      </w:pPr>
      <w:r>
        <w:rPr>
          <w:rFonts w:ascii="Times New Roman" w:hAnsi="Times New Roman"/>
          <w:b w:val="false"/>
          <w:sz w:val="20"/>
        </w:rPr>
        <w:t>The patent position of biotechnology and pharmaceutical companies generally is highly uncertain, involves complex legal and factual questions, and has in recent years been the subject of much litigation. The degree of patent protection we require to successfully compete in the marketplace may be unavailable or severely limited in some cases and may not adequately protect our rights or permit us to gain or keep any competitive advantage. We cannot provide any assurances that any of our own or licensed patent applications will mature into issued patents, and cannot provide any assurances that any such patents, if issued, will include claims with a scope sufficient to protect our current and future product candidates or otherwise provide any competitive advantage. Additionally, patents can be enforced only in those jurisdictions in which the patent has issued. Furthermore, patents have a limited lifespan. In the United States, the natural expiration of a patent is generally twenty years after its first nonprovisional U.S. filing. The natural expiration of a patent outside of the United States varies in accordance with provisions of applicable local law, but is generally 20 years from the earliest local filing date. Various extensions may be available; however, the life of a patent, and the protection it affords, is limited. Given the amount of time required for the development, testing and regulatory review of new product candidates, patents protecting such candidates might expire before or shortly after such candidates are commercialized.</w:t>
      </w:r>
      <w:r>
        <w:rPr>
          <w:rFonts w:ascii="Times New Roman" w:hAnsi="Times New Roman"/>
          <w:sz w:val="20"/>
        </w:rPr>
        <w:t xml:space="preserve"> </w:t>
      </w:r>
    </w:p>
    <w:p>
      <w:pPr>
        <w:pStyle w:val="TextBody"/>
        <w:spacing w:lineRule="auto" w:line="273" w:before="240" w:after="0"/>
        <w:jc w:val="left"/>
        <w:rPr>
          <w:rFonts w:ascii="Times New Roman" w:hAnsi="Times New Roman"/>
          <w:sz w:val="20"/>
        </w:rPr>
      </w:pPr>
      <w:r>
        <w:rPr>
          <w:rFonts w:ascii="Times New Roman" w:hAnsi="Times New Roman"/>
          <w:b w:val="false"/>
          <w:sz w:val="20"/>
        </w:rPr>
        <w:t>Moreover, our exclusive licenses may be subject to field restrictions and retained rights, which may adversely impact our competitive position. See “Management’s Discussion and Analysis of Financial Condition and Results of Operations—Significant agreements.” Our licensed patent portfolio may not provide us with adequate and continuing patent protection sufficient to exclude others from commercializing products similar to our product candidates, including generic versions of such products. In addition, the patent portfolio licensed to us is, or may be, licensed to third parties outside our licensed field, and such third parties may have certain enforcement rights. Thus, patents licensed to us could be put at risk of being invalidated or interpreted narrowly in litigation filed by or against another licensee or in administrative proceedings brought by or against another licensee in response to such litigation or for other reasons.</w:t>
      </w:r>
      <w:r>
        <w:rPr>
          <w:rFonts w:ascii="Times New Roman" w:hAnsi="Times New Roman"/>
          <w:sz w:val="20"/>
        </w:rPr>
        <w:t xml:space="preserve"> </w:t>
      </w:r>
    </w:p>
    <w:p>
      <w:pPr>
        <w:pStyle w:val="TextBody"/>
        <w:spacing w:lineRule="auto" w:line="273" w:before="240" w:after="0"/>
        <w:jc w:val="left"/>
        <w:rPr>
          <w:rFonts w:ascii="Times New Roman" w:hAnsi="Times New Roman"/>
          <w:sz w:val="20"/>
        </w:rPr>
      </w:pPr>
      <w:r>
        <w:rPr>
          <w:rFonts w:ascii="Times New Roman" w:hAnsi="Times New Roman"/>
          <w:b w:val="false"/>
          <w:sz w:val="20"/>
        </w:rPr>
        <w:t>Other parties have developed technologies that may be related or competitive to our own and such parties may have filed or may file patent applications, or may have received or may receive patents, claiming inventions that may overlap or conflict with those claimed in our own patent applications or issued patents. Publications of discoveries in the scientific literature often lag behind the actual discoveries, and patent applications in the United States and in other jurisdictions are typically not published until 18 months after filing, or in some cases not at all. Therefore, we cannot know with certainty whether the inventors of our patents and applications were the first to make the inventions claimed in those patents or pending patent applications, or that they were the first to file for patent protection of such inventions. Further, we cannot assure you that all of the potentially relevant prior art relating to our patents and patent applications has been found. If such prior art exists, it can invalidate a patent or prevent a patent from issuing from a pending patent application. As a result, the issuance, scope, validity and commercial value of our patent rights cannot be predicted with any certainty. Further, if the breadth or strength of protection provided by our patents and patent applications is threatened, regardless of the outcome, it could dissuade companies from collaborating with us to license, develop or commercialize current or future product candidates.</w:t>
      </w:r>
      <w:r>
        <w:rPr>
          <w:rFonts w:ascii="Times New Roman" w:hAnsi="Times New Roman"/>
          <w:sz w:val="20"/>
        </w:rPr>
        <w:t xml:space="preserve"> </w:t>
      </w:r>
    </w:p>
    <w:p>
      <w:pPr>
        <w:pStyle w:val="TextBody"/>
        <w:spacing w:lineRule="auto" w:line="273" w:before="0" w:after="0"/>
        <w:jc w:val="center"/>
        <w:rPr>
          <w:rFonts w:ascii="Times New Roman" w:hAnsi="Times New Roman"/>
          <w:b w:val="false"/>
          <w:sz w:val="20"/>
        </w:rPr>
      </w:pPr>
      <w:r>
        <w:rPr>
          <w:rFonts w:ascii="Times New Roman" w:hAnsi="Times New Roman"/>
          <w:b w:val="false"/>
          <w:sz w:val="20"/>
        </w:rPr>
        <w:t>71</w:t>
      </w:r>
    </w:p>
    <w:p>
      <w:pPr>
        <w:pStyle w:val="HorizontalLine"/>
        <w:rPr/>
      </w:pPr>
      <w:r>
        <w:rPr/>
      </w:r>
    </w:p>
    <w:p>
      <w:pPr>
        <w:pStyle w:val="TextBody"/>
        <w:spacing w:lineRule="auto" w:line="273" w:before="0" w:after="0"/>
        <w:jc w:val="left"/>
        <w:rPr/>
      </w:pPr>
      <w:r>
        <w:rPr/>
        <w:t> </w:t>
      </w:r>
    </w:p>
    <w:p>
      <w:pPr>
        <w:pStyle w:val="TextBody"/>
        <w:spacing w:lineRule="auto" w:line="273" w:before="240" w:after="0"/>
        <w:jc w:val="left"/>
        <w:rPr>
          <w:rFonts w:ascii="Times New Roman" w:hAnsi="Times New Roman"/>
          <w:sz w:val="20"/>
        </w:rPr>
      </w:pPr>
      <w:r>
        <w:rPr>
          <w:rFonts w:ascii="Times New Roman" w:hAnsi="Times New Roman"/>
          <w:b w:val="false"/>
          <w:sz w:val="20"/>
        </w:rPr>
        <w:t>In addition, the patent prosecution process is expensive and time-consuming, and we or our licensors may not be able to file and prosecute all necessary or desirable patent applications at a reasonable cost or in a timely manner. In addition, the scope of the claims initially submitted for examination may be significantly narrowed by the time they issue, if at all. It is also possible that we or our licensors will fail to identify patentable aspects of our research and development output before it is too late to obtain patent protection. We cannot provide any assurances that we will be able to pursue or obtain additional patent protection based on our research and development efforts, or that any such patents or other intellectual property we generate will provide any competitive advantage. Moreover, we do not have the right to control the preparation, filing and prosecution of patent applications, or to control the maintenance of the patents, covering technology that we license from third parties. Therefore, these patents and applications may not be filed, prosecuted or maintained in a manner consistent with the best interests of our business.</w:t>
      </w:r>
      <w:r>
        <w:rPr>
          <w:rFonts w:ascii="Times New Roman" w:hAnsi="Times New Roman"/>
          <w:sz w:val="20"/>
        </w:rPr>
        <w:t xml:space="preserve"> </w:t>
      </w:r>
    </w:p>
    <w:p>
      <w:pPr>
        <w:pStyle w:val="TextBody"/>
        <w:spacing w:lineRule="auto" w:line="273" w:before="240" w:after="0"/>
        <w:jc w:val="left"/>
        <w:rPr>
          <w:rFonts w:ascii="Times New Roman" w:hAnsi="Times New Roman"/>
          <w:sz w:val="20"/>
        </w:rPr>
      </w:pPr>
      <w:r>
        <w:rPr>
          <w:rFonts w:ascii="Times New Roman" w:hAnsi="Times New Roman"/>
          <w:b w:val="false"/>
          <w:sz w:val="20"/>
        </w:rPr>
        <w:t xml:space="preserve">Even if we acquire patent protection that we expect should enable us to maintain competitive advantage, the issuance of a patent is not conclusive as to its inventorship, scope, validity or enforceability. Third parties, including competitors, may challenge the inventorship, scope, validity, or enforceability thereof, which may result in such patents being narrowed, invalidated or held unenforceable. If issued, our patents may be challenged in patent offices in the United States and abroad, or in court. For example, we may be subject to a third-party submission of prior art to the U.S. Patent and Trademark Office, or USPTO, challenging the validity of one or more claims of our patents, once issued. Such submissions may also be made prior to a patent’s issuance, precluding the granting of a patent based on one of our patent applications. We may become involved in opposition, reexamination, </w:t>
      </w:r>
      <w:r>
        <w:rPr>
          <w:rFonts w:ascii="Times New Roman" w:hAnsi="Times New Roman"/>
          <w:b w:val="false"/>
          <w:i/>
          <w:sz w:val="20"/>
        </w:rPr>
        <w:t>inter partes</w:t>
      </w:r>
      <w:r>
        <w:rPr>
          <w:rFonts w:ascii="Times New Roman" w:hAnsi="Times New Roman"/>
          <w:sz w:val="20"/>
        </w:rPr>
        <w:t xml:space="preserve"> </w:t>
      </w:r>
      <w:r>
        <w:rPr>
          <w:rFonts w:ascii="Times New Roman" w:hAnsi="Times New Roman"/>
          <w:b w:val="false"/>
          <w:sz w:val="20"/>
        </w:rPr>
        <w:t>review, post-grant review, derivation, interference, or similar proceedings in the United States or abroad challenging the claims of our patents, once issued. Furthermore, patents may be challenged in court, once issued. Competitors may claim that they invented the inventions claimed in such patents or patent applications prior to the inventors of our patents, or may have filed patent applications before the inventors of our patents did. A competitor may also claim that we are infringing its patents and that we therefore cannot practice our technology as claimed under our patent applications and patents, if issued. As a result, one or more claims of our patents may be narrowed or invalidated. In litigation, a competitor could claim that our patents, if issued, are not valid for a number of reasons. If a court agrees, we would lose our rights to those challenged patents.</w:t>
      </w:r>
      <w:r>
        <w:rPr>
          <w:rFonts w:ascii="Times New Roman" w:hAnsi="Times New Roman"/>
          <w:sz w:val="20"/>
        </w:rPr>
        <w:t xml:space="preserve"> </w:t>
      </w:r>
    </w:p>
    <w:p>
      <w:pPr>
        <w:pStyle w:val="TextBody"/>
        <w:spacing w:lineRule="auto" w:line="273" w:before="240" w:after="0"/>
        <w:jc w:val="left"/>
        <w:rPr>
          <w:rFonts w:ascii="Times New Roman" w:hAnsi="Times New Roman"/>
          <w:sz w:val="20"/>
        </w:rPr>
      </w:pPr>
      <w:r>
        <w:rPr>
          <w:rFonts w:ascii="Times New Roman" w:hAnsi="Times New Roman"/>
          <w:b w:val="false"/>
          <w:sz w:val="20"/>
        </w:rPr>
        <w:t>Even if they are unchallenged, our patents and pending patent applications, if issued, may not provide us with any meaningful protection or prevent competitors from designing around our patent claims to circumvent our patents by developing similar or alternative technologies or therapeutics in a non-infringing manner. For example, even if we have a valid and enforceable patent, we may not be able to exclude others from practicing our invention if the other party can show that they used the invention in commerce before our filing date or the other party benefits from a compulsory license. If the patent protection provided by the patents and patent applications we hold or pursue with respect to our product candidates is not sufficiently broad to impede such competition, our ability to successfully commercialize our product candidates could be negatively affected, which would harm our business. Certain regulatory exclusivities may be available, however, the scope of such regulatory exclusivities is subject to change, and may not provide us with adequate and continuing protection sufficient to exclude others from commercializing products similar to our product candidates.</w:t>
      </w:r>
      <w:r>
        <w:rPr>
          <w:rFonts w:ascii="Times New Roman" w:hAnsi="Times New Roman"/>
          <w:sz w:val="20"/>
        </w:rPr>
        <w:t xml:space="preserve"> </w:t>
      </w:r>
    </w:p>
    <w:p>
      <w:pPr>
        <w:pStyle w:val="TextBody"/>
        <w:spacing w:lineRule="auto" w:line="273" w:before="360" w:after="0"/>
        <w:jc w:val="left"/>
        <w:rPr>
          <w:rFonts w:ascii="Times New Roman" w:hAnsi="Times New Roman"/>
          <w:sz w:val="20"/>
        </w:rPr>
      </w:pPr>
      <w:r>
        <w:rPr>
          <w:rFonts w:ascii="Times New Roman" w:hAnsi="Times New Roman"/>
          <w:b/>
          <w:i/>
          <w:sz w:val="20"/>
        </w:rPr>
        <w:t>If the scope of any patent protection we obtain is not sufficiently broad, or if we lose any of our patent protection, our ability to prevent our competitors from commercializing similar or identical product candidates would be adversely affected.</w:t>
      </w:r>
      <w:r>
        <w:rPr>
          <w:rFonts w:ascii="Times New Roman" w:hAnsi="Times New Roman"/>
          <w:sz w:val="20"/>
        </w:rPr>
        <w:t xml:space="preserve"> </w:t>
      </w:r>
    </w:p>
    <w:p>
      <w:pPr>
        <w:pStyle w:val="TextBody"/>
        <w:spacing w:lineRule="auto" w:line="273" w:before="120" w:after="0"/>
        <w:jc w:val="left"/>
        <w:rPr>
          <w:rFonts w:ascii="Times New Roman" w:hAnsi="Times New Roman"/>
          <w:sz w:val="20"/>
        </w:rPr>
      </w:pPr>
      <w:r>
        <w:rPr>
          <w:rFonts w:ascii="Times New Roman" w:hAnsi="Times New Roman"/>
          <w:b w:val="false"/>
          <w:sz w:val="20"/>
        </w:rPr>
        <w:t>The patent position of biopharmaceutical companies generally is highly uncertain, involves complex legal and factual questions, and has been the subject of much litigation in recent years. As a result, the issuance, scope, validity, enforceability and commercial value of our patent rights are highly uncertain. Our pending and future patent applications and those of our licensors may not result in patents being issued which protect our product candidates or which effectively prevent others from commercializing competitive product candidates.</w:t>
      </w:r>
      <w:r>
        <w:rPr>
          <w:rFonts w:ascii="Times New Roman" w:hAnsi="Times New Roman"/>
          <w:sz w:val="20"/>
        </w:rPr>
        <w:t xml:space="preserve"> </w:t>
      </w:r>
    </w:p>
    <w:p>
      <w:pPr>
        <w:pStyle w:val="TextBody"/>
        <w:spacing w:lineRule="auto" w:line="273" w:before="240" w:after="0"/>
        <w:jc w:val="left"/>
        <w:rPr>
          <w:rFonts w:ascii="Times New Roman" w:hAnsi="Times New Roman"/>
          <w:sz w:val="20"/>
        </w:rPr>
      </w:pPr>
      <w:r>
        <w:rPr>
          <w:rFonts w:ascii="Times New Roman" w:hAnsi="Times New Roman"/>
          <w:b w:val="false"/>
          <w:sz w:val="20"/>
        </w:rPr>
        <w:t>Moreover, the coverage claimed in a patent application can be significantly reduced before the patent is issued, and its scope can be reinterpreted after issuance. Even if patent applications we own or in-license in the future issue as patents, they may not issue in a form that will provide us with any meaningful protection, prevent competitors or other third parties from competing with us, or otherwise provide us with any competitive advantage. Any patents that we own or in-license may be challenged or circumvented by third parties or may be narrowed or invalidated as a result of challenges by third parties. Consequently, we do not know whether our product candidates will be protectable or remain protected by valid and enforceable patents. Our competitors or other third parties may be able to circumvent our patents or the patents of our licensors by developing similar or alternative technologies or products in a non-infringing manner which could materially adversely affect our business, financial condition, results of operations and prospects.</w:t>
      </w:r>
      <w:r>
        <w:rPr>
          <w:rFonts w:ascii="Times New Roman" w:hAnsi="Times New Roman"/>
          <w:sz w:val="20"/>
        </w:rPr>
        <w:t xml:space="preserve"> </w:t>
      </w:r>
    </w:p>
    <w:p>
      <w:pPr>
        <w:pStyle w:val="TextBody"/>
        <w:spacing w:lineRule="auto" w:line="273" w:before="0" w:after="0"/>
        <w:jc w:val="center"/>
        <w:rPr>
          <w:rFonts w:ascii="Times New Roman" w:hAnsi="Times New Roman"/>
          <w:b w:val="false"/>
          <w:sz w:val="20"/>
        </w:rPr>
      </w:pPr>
      <w:r>
        <w:rPr>
          <w:rFonts w:ascii="Times New Roman" w:hAnsi="Times New Roman"/>
          <w:b w:val="false"/>
          <w:sz w:val="20"/>
        </w:rPr>
        <w:t>72</w:t>
      </w:r>
    </w:p>
    <w:p>
      <w:pPr>
        <w:pStyle w:val="HorizontalLine"/>
        <w:rPr/>
      </w:pPr>
      <w:r>
        <w:rPr/>
      </w:r>
    </w:p>
    <w:p>
      <w:pPr>
        <w:pStyle w:val="TextBody"/>
        <w:spacing w:lineRule="auto" w:line="273" w:before="0" w:after="0"/>
        <w:jc w:val="left"/>
        <w:rPr/>
      </w:pPr>
      <w:r>
        <w:rPr/>
        <w:t> </w:t>
      </w:r>
    </w:p>
    <w:p>
      <w:pPr>
        <w:pStyle w:val="TextBody"/>
        <w:spacing w:lineRule="auto" w:line="273" w:before="240" w:after="0"/>
        <w:jc w:val="left"/>
        <w:rPr>
          <w:rFonts w:ascii="Times New Roman" w:hAnsi="Times New Roman"/>
          <w:sz w:val="20"/>
        </w:rPr>
      </w:pPr>
      <w:r>
        <w:rPr>
          <w:rFonts w:ascii="Times New Roman" w:hAnsi="Times New Roman"/>
          <w:b w:val="false"/>
          <w:sz w:val="20"/>
        </w:rPr>
        <w:t xml:space="preserve">The issuance of a patent is not conclusive as to its inventorship, scope, validity or enforceability, and our patents or the patents of our licensors may be challenged in the courts or patent offices in the United States and abroad. We may be subject to a third-party pre-issuance submission of prior art to the USPTO, or become involved in opposition, derivation, revocation, reexamination, post-grant review, and </w:t>
      </w:r>
      <w:r>
        <w:rPr>
          <w:rFonts w:ascii="Times New Roman" w:hAnsi="Times New Roman"/>
          <w:b w:val="false"/>
          <w:i/>
          <w:sz w:val="20"/>
        </w:rPr>
        <w:t>inter partes</w:t>
      </w:r>
      <w:r>
        <w:rPr>
          <w:rFonts w:ascii="Times New Roman" w:hAnsi="Times New Roman"/>
          <w:sz w:val="20"/>
        </w:rPr>
        <w:t xml:space="preserve"> </w:t>
      </w:r>
      <w:r>
        <w:rPr>
          <w:rFonts w:ascii="Times New Roman" w:hAnsi="Times New Roman"/>
          <w:b w:val="false"/>
          <w:sz w:val="20"/>
        </w:rPr>
        <w:t>review, or other similar proceedings challenging our owned patent rights. An adverse determination in any such submission, proceeding or litigation could reduce the scope of, or invalidate or render unenforceable, our patent rights, allow third parties to commercialize our product candidates and compete directly with us, without payment to us, or result in our inability to manufacture or commercialize products without infringing third-party patent rights. Moreover, our patents or the patents of our licensors may become subject to post-grant challenge proceedings, such as oppositions in a foreign patent office, that challenge our priority of invention or other features of patentability with respect to our patents and patent applications and those of our licensors. Such challenges may result in loss of patent rights, loss of exclusivity or in patent claims being narrowed, invalidated or held unenforceable, which could limit our ability to stop others from using or commercializing similar or identical technology and products, or limit the duration of the patent protection of our product candidates. Such proceedings also may result in substantial cost and require significant time from our scientists and management, even if the eventual outcome is favorable to us. In addition, if the breadth or strength of protection provided by our patents and patent applications or the patents and patent applications of our licensors is threatened, regardless of the outcome, it could dissuade companies from collaborating with us to license, develop or commercialize current or future product candidates.</w:t>
      </w:r>
      <w:r>
        <w:rPr>
          <w:rFonts w:ascii="Times New Roman" w:hAnsi="Times New Roman"/>
          <w:sz w:val="20"/>
        </w:rPr>
        <w:t xml:space="preserve"> </w:t>
      </w:r>
    </w:p>
    <w:p>
      <w:pPr>
        <w:pStyle w:val="TextBody"/>
        <w:spacing w:lineRule="auto" w:line="273" w:before="240" w:after="0"/>
        <w:jc w:val="left"/>
        <w:rPr>
          <w:rFonts w:ascii="Times New Roman" w:hAnsi="Times New Roman"/>
          <w:sz w:val="20"/>
        </w:rPr>
      </w:pPr>
      <w:r>
        <w:rPr>
          <w:rFonts w:ascii="Times New Roman" w:hAnsi="Times New Roman"/>
          <w:b w:val="false"/>
          <w:sz w:val="20"/>
        </w:rPr>
        <w:t>Furthermore, the issuance of a patent does not give us the right to practice the patented invention. Third parties may have blocking patents that could prevent us from marketing our own patented product and practicing our own patented technology.</w:t>
      </w:r>
      <w:r>
        <w:rPr>
          <w:rFonts w:ascii="Times New Roman" w:hAnsi="Times New Roman"/>
          <w:sz w:val="20"/>
        </w:rPr>
        <w:t xml:space="preserve"> </w:t>
      </w:r>
    </w:p>
    <w:p>
      <w:pPr>
        <w:pStyle w:val="TextBody"/>
        <w:spacing w:lineRule="auto" w:line="273" w:before="360" w:after="0"/>
        <w:jc w:val="left"/>
        <w:rPr>
          <w:rFonts w:ascii="Times New Roman" w:hAnsi="Times New Roman"/>
          <w:sz w:val="20"/>
        </w:rPr>
      </w:pPr>
      <w:r>
        <w:rPr>
          <w:rFonts w:ascii="Times New Roman" w:hAnsi="Times New Roman"/>
          <w:b/>
          <w:i/>
          <w:sz w:val="20"/>
        </w:rPr>
        <w:t>Intellectual property rights do not necessarily address all potential threats to our competitive advantage.</w:t>
      </w:r>
      <w:r>
        <w:rPr>
          <w:rFonts w:ascii="Times New Roman" w:hAnsi="Times New Roman"/>
          <w:sz w:val="20"/>
        </w:rPr>
        <w:t xml:space="preserve"> </w:t>
      </w:r>
    </w:p>
    <w:p>
      <w:pPr>
        <w:pStyle w:val="TextBody"/>
        <w:spacing w:lineRule="auto" w:line="273" w:before="120" w:after="0"/>
        <w:jc w:val="left"/>
        <w:rPr>
          <w:rFonts w:ascii="Times New Roman" w:hAnsi="Times New Roman"/>
          <w:sz w:val="20"/>
        </w:rPr>
      </w:pPr>
      <w:r>
        <w:rPr>
          <w:rFonts w:ascii="Times New Roman" w:hAnsi="Times New Roman"/>
          <w:b w:val="false"/>
          <w:sz w:val="20"/>
        </w:rPr>
        <w:t>The degree of future protection afforded by our intellectual property rights is uncertain because intellectual property rights have limitations, and may not adequately protect our business or permit us to maintain our competitive advantage. For example:</w:t>
      </w:r>
      <w:r>
        <w:rPr>
          <w:rFonts w:ascii="Times New Roman" w:hAnsi="Times New Roman"/>
          <w:sz w:val="20"/>
        </w:rPr>
        <w:t xml:space="preserve"> </w:t>
      </w:r>
    </w:p>
    <w:p>
      <w:pPr>
        <w:pStyle w:val="TextBody"/>
        <w:spacing w:lineRule="auto" w:line="273" w:before="120" w:after="0"/>
        <w:jc w:val="left"/>
        <w:rPr/>
      </w:pPr>
      <w:r>
        <w:rPr/>
        <w:t>•</w:t>
      </w:r>
    </w:p>
    <w:p>
      <w:pPr>
        <w:pStyle w:val="TextBody"/>
        <w:spacing w:lineRule="auto" w:line="273" w:before="120" w:after="0"/>
        <w:jc w:val="left"/>
        <w:rPr>
          <w:rFonts w:ascii="Times New Roman" w:hAnsi="Times New Roman"/>
          <w:b w:val="false"/>
          <w:sz w:val="20"/>
        </w:rPr>
      </w:pPr>
      <w:r>
        <w:rPr>
          <w:rFonts w:ascii="Times New Roman" w:hAnsi="Times New Roman"/>
          <w:b w:val="false"/>
          <w:sz w:val="20"/>
        </w:rPr>
        <w:t xml:space="preserve">others may be able to develop products that are similar to our product candidates but that are not covered by the claims of the patents that we own or license; </w:t>
      </w:r>
    </w:p>
    <w:p>
      <w:pPr>
        <w:pStyle w:val="TextBody"/>
        <w:spacing w:lineRule="auto" w:line="273" w:before="120" w:after="0"/>
        <w:jc w:val="left"/>
        <w:rPr/>
      </w:pPr>
      <w:r>
        <w:rPr/>
        <w:t>•</w:t>
      </w:r>
    </w:p>
    <w:p>
      <w:pPr>
        <w:pStyle w:val="TextBody"/>
        <w:spacing w:lineRule="auto" w:line="273" w:before="120" w:after="0"/>
        <w:jc w:val="left"/>
        <w:rPr>
          <w:rFonts w:ascii="Times New Roman" w:hAnsi="Times New Roman"/>
          <w:b w:val="false"/>
          <w:sz w:val="20"/>
        </w:rPr>
      </w:pPr>
      <w:r>
        <w:rPr>
          <w:rFonts w:ascii="Times New Roman" w:hAnsi="Times New Roman"/>
          <w:b w:val="false"/>
          <w:sz w:val="20"/>
        </w:rPr>
        <w:t xml:space="preserve">we or our licensors or collaborators might not have been the first to make the inventions covered by the issued patents or patent application that we own or license; </w:t>
      </w:r>
    </w:p>
    <w:p>
      <w:pPr>
        <w:pStyle w:val="TextBody"/>
        <w:spacing w:lineRule="auto" w:line="273" w:before="120" w:after="0"/>
        <w:jc w:val="left"/>
        <w:rPr/>
      </w:pPr>
      <w:r>
        <w:rPr/>
        <w:t>•</w:t>
      </w:r>
    </w:p>
    <w:p>
      <w:pPr>
        <w:pStyle w:val="TextBody"/>
        <w:spacing w:lineRule="auto" w:line="273" w:before="120" w:after="0"/>
        <w:jc w:val="left"/>
        <w:rPr>
          <w:rFonts w:ascii="Times New Roman" w:hAnsi="Times New Roman"/>
          <w:b w:val="false"/>
          <w:sz w:val="20"/>
        </w:rPr>
      </w:pPr>
      <w:r>
        <w:rPr>
          <w:rFonts w:ascii="Times New Roman" w:hAnsi="Times New Roman"/>
          <w:b w:val="false"/>
          <w:sz w:val="20"/>
        </w:rPr>
        <w:t xml:space="preserve">we or our licensors or collaborators might not have been the first to file patent applications covering certain of our inventions; </w:t>
      </w:r>
    </w:p>
    <w:p>
      <w:pPr>
        <w:pStyle w:val="TextBody"/>
        <w:spacing w:lineRule="auto" w:line="273" w:before="120" w:after="0"/>
        <w:jc w:val="left"/>
        <w:rPr/>
      </w:pPr>
      <w:r>
        <w:rPr/>
        <w:t>•</w:t>
      </w:r>
    </w:p>
    <w:p>
      <w:pPr>
        <w:pStyle w:val="TextBody"/>
        <w:spacing w:lineRule="auto" w:line="273" w:before="120" w:after="0"/>
        <w:jc w:val="left"/>
        <w:rPr>
          <w:rFonts w:ascii="Times New Roman" w:hAnsi="Times New Roman"/>
          <w:b w:val="false"/>
          <w:sz w:val="20"/>
        </w:rPr>
      </w:pPr>
      <w:r>
        <w:rPr>
          <w:rFonts w:ascii="Times New Roman" w:hAnsi="Times New Roman"/>
          <w:b w:val="false"/>
          <w:sz w:val="20"/>
        </w:rPr>
        <w:t xml:space="preserve">others may independently develop similar or alternative technologies or duplicate any of our technologies without infringing our intellectual property rights; </w:t>
      </w:r>
    </w:p>
    <w:p>
      <w:pPr>
        <w:pStyle w:val="TextBody"/>
        <w:spacing w:lineRule="auto" w:line="273" w:before="120" w:after="0"/>
        <w:jc w:val="left"/>
        <w:rPr/>
      </w:pPr>
      <w:r>
        <w:rPr/>
        <w:t>•</w:t>
      </w:r>
    </w:p>
    <w:p>
      <w:pPr>
        <w:pStyle w:val="TextBody"/>
        <w:spacing w:lineRule="auto" w:line="273" w:before="120" w:after="0"/>
        <w:jc w:val="left"/>
        <w:rPr>
          <w:rFonts w:ascii="Times New Roman" w:hAnsi="Times New Roman"/>
          <w:b w:val="false"/>
          <w:sz w:val="20"/>
        </w:rPr>
      </w:pPr>
      <w:r>
        <w:rPr>
          <w:rFonts w:ascii="Times New Roman" w:hAnsi="Times New Roman"/>
          <w:b w:val="false"/>
          <w:sz w:val="20"/>
        </w:rPr>
        <w:t xml:space="preserve">it is possible that the pending patent applications we own or license will not lead to issued patents; </w:t>
      </w:r>
    </w:p>
    <w:p>
      <w:pPr>
        <w:pStyle w:val="TextBody"/>
        <w:spacing w:lineRule="auto" w:line="273" w:before="120" w:after="0"/>
        <w:jc w:val="left"/>
        <w:rPr/>
      </w:pPr>
      <w:r>
        <w:rPr/>
        <w:t>•</w:t>
      </w:r>
    </w:p>
    <w:p>
      <w:pPr>
        <w:pStyle w:val="TextBody"/>
        <w:spacing w:lineRule="auto" w:line="273" w:before="120" w:after="0"/>
        <w:jc w:val="left"/>
        <w:rPr>
          <w:rFonts w:ascii="Times New Roman" w:hAnsi="Times New Roman"/>
          <w:b w:val="false"/>
          <w:sz w:val="20"/>
        </w:rPr>
      </w:pPr>
      <w:r>
        <w:rPr>
          <w:rFonts w:ascii="Times New Roman" w:hAnsi="Times New Roman"/>
          <w:b w:val="false"/>
          <w:sz w:val="20"/>
        </w:rPr>
        <w:t xml:space="preserve">issued patents that we own or license may be held invalid or unenforceable, as a result of legal challenges by our competitors; </w:t>
      </w:r>
    </w:p>
    <w:p>
      <w:pPr>
        <w:pStyle w:val="TextBody"/>
        <w:spacing w:lineRule="auto" w:line="273" w:before="120" w:after="0"/>
        <w:jc w:val="left"/>
        <w:rPr/>
      </w:pPr>
      <w:r>
        <w:rPr/>
        <w:t>•</w:t>
      </w:r>
    </w:p>
    <w:p>
      <w:pPr>
        <w:pStyle w:val="TextBody"/>
        <w:spacing w:lineRule="auto" w:line="273" w:before="120" w:after="0"/>
        <w:jc w:val="left"/>
        <w:rPr>
          <w:rFonts w:ascii="Times New Roman" w:hAnsi="Times New Roman"/>
          <w:b w:val="false"/>
          <w:sz w:val="20"/>
        </w:rPr>
      </w:pPr>
      <w:r>
        <w:rPr>
          <w:rFonts w:ascii="Times New Roman" w:hAnsi="Times New Roman"/>
          <w:b w:val="false"/>
          <w:sz w:val="20"/>
        </w:rPr>
        <w:t xml:space="preserve">our competitors might conduct research and development activities in countries where we do not have patent rights and then use the information learned from such activities to develop competitive products for sale in our major commercial markets; </w:t>
      </w:r>
    </w:p>
    <w:p>
      <w:pPr>
        <w:pStyle w:val="TextBody"/>
        <w:spacing w:lineRule="auto" w:line="273" w:before="120" w:after="0"/>
        <w:jc w:val="left"/>
        <w:rPr/>
      </w:pPr>
      <w:r>
        <w:rPr/>
        <w:t>•</w:t>
      </w:r>
    </w:p>
    <w:p>
      <w:pPr>
        <w:pStyle w:val="TextBody"/>
        <w:spacing w:lineRule="auto" w:line="273" w:before="120" w:after="0"/>
        <w:jc w:val="left"/>
        <w:rPr>
          <w:rFonts w:ascii="Times New Roman" w:hAnsi="Times New Roman"/>
          <w:b w:val="false"/>
          <w:sz w:val="20"/>
        </w:rPr>
      </w:pPr>
      <w:r>
        <w:rPr>
          <w:rFonts w:ascii="Times New Roman" w:hAnsi="Times New Roman"/>
          <w:b w:val="false"/>
          <w:sz w:val="20"/>
        </w:rPr>
        <w:t xml:space="preserve">we may not develop additional proprietary technologies that are patentable; </w:t>
      </w:r>
    </w:p>
    <w:p>
      <w:pPr>
        <w:pStyle w:val="TextBody"/>
        <w:spacing w:lineRule="auto" w:line="273" w:before="120" w:after="0"/>
        <w:jc w:val="left"/>
        <w:rPr/>
      </w:pPr>
      <w:r>
        <w:rPr/>
        <w:t>•</w:t>
      </w:r>
    </w:p>
    <w:p>
      <w:pPr>
        <w:pStyle w:val="TextBody"/>
        <w:spacing w:lineRule="auto" w:line="273" w:before="120" w:after="0"/>
        <w:jc w:val="left"/>
        <w:rPr>
          <w:rFonts w:ascii="Times New Roman" w:hAnsi="Times New Roman"/>
          <w:b w:val="false"/>
          <w:sz w:val="20"/>
        </w:rPr>
      </w:pPr>
      <w:r>
        <w:rPr>
          <w:rFonts w:ascii="Times New Roman" w:hAnsi="Times New Roman"/>
          <w:b w:val="false"/>
          <w:sz w:val="20"/>
        </w:rPr>
        <w:t xml:space="preserve">the patents of others may have an adverse effect on our business; </w:t>
      </w:r>
    </w:p>
    <w:p>
      <w:pPr>
        <w:pStyle w:val="TextBody"/>
        <w:spacing w:lineRule="auto" w:line="273" w:before="120" w:after="0"/>
        <w:jc w:val="left"/>
        <w:rPr/>
      </w:pPr>
      <w:r>
        <w:rPr/>
        <w:t>•</w:t>
      </w:r>
    </w:p>
    <w:p>
      <w:pPr>
        <w:pStyle w:val="TextBody"/>
        <w:spacing w:lineRule="auto" w:line="273" w:before="120" w:after="0"/>
        <w:jc w:val="left"/>
        <w:rPr>
          <w:rFonts w:ascii="Times New Roman" w:hAnsi="Times New Roman"/>
          <w:b w:val="false"/>
          <w:sz w:val="20"/>
        </w:rPr>
      </w:pPr>
      <w:r>
        <w:rPr>
          <w:rFonts w:ascii="Times New Roman" w:hAnsi="Times New Roman"/>
          <w:b w:val="false"/>
          <w:sz w:val="20"/>
        </w:rPr>
        <w:t xml:space="preserve">we may fail to adequately protect and police our trademarks and trade secrets; and </w:t>
      </w:r>
    </w:p>
    <w:p>
      <w:pPr>
        <w:pStyle w:val="TextBody"/>
        <w:spacing w:lineRule="auto" w:line="273" w:before="120" w:after="0"/>
        <w:jc w:val="left"/>
        <w:rPr/>
      </w:pPr>
      <w:r>
        <w:rPr/>
        <w:t>•</w:t>
      </w:r>
    </w:p>
    <w:p>
      <w:pPr>
        <w:pStyle w:val="TextBody"/>
        <w:spacing w:lineRule="auto" w:line="273" w:before="120" w:after="283"/>
        <w:jc w:val="left"/>
        <w:rPr>
          <w:rFonts w:ascii="Times New Roman" w:hAnsi="Times New Roman"/>
          <w:b w:val="false"/>
          <w:sz w:val="20"/>
        </w:rPr>
      </w:pPr>
      <w:r>
        <w:rPr>
          <w:rFonts w:ascii="Times New Roman" w:hAnsi="Times New Roman"/>
          <w:b w:val="false"/>
          <w:sz w:val="20"/>
        </w:rPr>
        <w:t xml:space="preserve">we may choose not to file a patent in order to maintain certain trade secrets or know-how, and a third-party may subsequently file a patent covering such intellectual property. </w:t>
      </w:r>
    </w:p>
    <w:p>
      <w:pPr>
        <w:pStyle w:val="TextBody"/>
        <w:spacing w:lineRule="auto" w:line="273" w:before="240" w:after="0"/>
        <w:jc w:val="left"/>
        <w:rPr>
          <w:rFonts w:ascii="Times New Roman" w:hAnsi="Times New Roman"/>
          <w:sz w:val="20"/>
        </w:rPr>
      </w:pPr>
      <w:r>
        <w:rPr>
          <w:rFonts w:ascii="Times New Roman" w:hAnsi="Times New Roman"/>
          <w:b w:val="false"/>
          <w:sz w:val="20"/>
        </w:rPr>
        <w:t>Should any of these events occur, it could significantly harm our business, results of operations and prospects.</w:t>
      </w:r>
      <w:r>
        <w:rPr>
          <w:rFonts w:ascii="Times New Roman" w:hAnsi="Times New Roman"/>
          <w:sz w:val="20"/>
        </w:rPr>
        <w:t xml:space="preserve"> </w:t>
      </w:r>
    </w:p>
    <w:p>
      <w:pPr>
        <w:pStyle w:val="TextBody"/>
        <w:spacing w:lineRule="auto" w:line="273" w:before="0" w:after="0"/>
        <w:jc w:val="center"/>
        <w:rPr>
          <w:rFonts w:ascii="Times New Roman" w:hAnsi="Times New Roman"/>
          <w:b w:val="false"/>
          <w:sz w:val="20"/>
        </w:rPr>
      </w:pPr>
      <w:r>
        <w:rPr>
          <w:rFonts w:ascii="Times New Roman" w:hAnsi="Times New Roman"/>
          <w:b w:val="false"/>
          <w:sz w:val="20"/>
        </w:rPr>
        <w:t>73</w:t>
      </w:r>
    </w:p>
    <w:p>
      <w:pPr>
        <w:pStyle w:val="HorizontalLine"/>
        <w:rPr/>
      </w:pPr>
      <w:r>
        <w:rPr/>
      </w:r>
    </w:p>
    <w:p>
      <w:pPr>
        <w:pStyle w:val="TextBody"/>
        <w:spacing w:lineRule="auto" w:line="273" w:before="0" w:after="0"/>
        <w:jc w:val="left"/>
        <w:rPr/>
      </w:pPr>
      <w:r>
        <w:rPr/>
        <w:t> </w:t>
      </w:r>
    </w:p>
    <w:p>
      <w:pPr>
        <w:pStyle w:val="TextBody"/>
        <w:spacing w:lineRule="auto" w:line="273" w:before="360" w:after="0"/>
        <w:jc w:val="left"/>
        <w:rPr>
          <w:rFonts w:ascii="Times New Roman" w:hAnsi="Times New Roman"/>
          <w:sz w:val="20"/>
        </w:rPr>
      </w:pPr>
      <w:r>
        <w:rPr>
          <w:rFonts w:ascii="Times New Roman" w:hAnsi="Times New Roman"/>
          <w:b/>
          <w:i/>
          <w:sz w:val="20"/>
        </w:rPr>
        <w:t>Our commercial success depends significantly on our ability to operate without infringing the patents and other proprietary rights of third parties. Claims by third parties that we infringe their proprietary rights may result in liability for damages or prevent or delay our developmental and commercialization efforts.</w:t>
      </w:r>
      <w:r>
        <w:rPr>
          <w:rFonts w:ascii="Times New Roman" w:hAnsi="Times New Roman"/>
          <w:sz w:val="20"/>
        </w:rPr>
        <w:t xml:space="preserve"> </w:t>
      </w:r>
    </w:p>
    <w:p>
      <w:pPr>
        <w:pStyle w:val="TextBody"/>
        <w:spacing w:lineRule="auto" w:line="273" w:before="120" w:after="0"/>
        <w:jc w:val="left"/>
        <w:rPr>
          <w:rFonts w:ascii="Times New Roman" w:hAnsi="Times New Roman"/>
          <w:sz w:val="20"/>
        </w:rPr>
      </w:pPr>
      <w:r>
        <w:rPr>
          <w:rFonts w:ascii="Times New Roman" w:hAnsi="Times New Roman"/>
          <w:b w:val="false"/>
          <w:sz w:val="20"/>
        </w:rPr>
        <w:t>Our commercial success depends in part on avoiding infringement of the patents and proprietary rights of third parties. However, our research, development and commercialization activities may be subject to claims that we infringe or otherwise violate patents or other intellectual property rights owned or controlled by third parties. Other entities may have or obtain patents or proprietary rights that could limit our ability to make, use, sell, offer for sale or import our product candidates and products that may be approved in the future, or impair our competitive position. There is a substantial amount of litigation, both within and outside the United States, involving patent and other intellectual property rights in the biopharmaceutical industry, including patent infringement lawsuits, oppositions, reexaminations, Inter Partes Review, or IPR, proceedings and Post Grant Review, or PGR, proceedings before the USPTO and/or corresponding foreign patent offices. Numerous third-party U.S. and foreign issued patents and pending patent applications exist in the fields in which we are developing product candidates. There may be third-party patents or patent applications with claims to materials, formulations, methods of manufacture or methods for treatment related to the use or manufacture of our product candidates.</w:t>
      </w:r>
      <w:r>
        <w:rPr>
          <w:rFonts w:ascii="Times New Roman" w:hAnsi="Times New Roman"/>
          <w:sz w:val="20"/>
        </w:rPr>
        <w:t xml:space="preserve"> </w:t>
      </w:r>
    </w:p>
    <w:p>
      <w:pPr>
        <w:pStyle w:val="TextBody"/>
        <w:spacing w:lineRule="auto" w:line="273" w:before="240" w:after="0"/>
        <w:jc w:val="left"/>
        <w:rPr>
          <w:rFonts w:ascii="Times New Roman" w:hAnsi="Times New Roman"/>
          <w:sz w:val="20"/>
        </w:rPr>
      </w:pPr>
      <w:r>
        <w:rPr>
          <w:rFonts w:ascii="Times New Roman" w:hAnsi="Times New Roman"/>
          <w:b w:val="false"/>
          <w:sz w:val="20"/>
        </w:rPr>
        <w:t>There may also be patent applications that, if issued as patents, could be asserted against us. Patent applications in the United States and elsewhere are typically published approximately 18 months after the earliest filing for which priority is claimed, with such earliest filing date being commonly referred to as the priority date. Certain U.S. patent applications that will not be filed outside the United States can remain confidential until patents issue. Therefore, patent applications covering our product candidates could have been filed by third parties without our knowledge. Additionally, pending patent applications that have been published can, subject to certain limitations, be later amended in a manner that could cover our product candidates and their uses or manufacturing processes. The scope of a patent claim is determined by an interpretation of the law, the written disclosure in a patent and the patent’s prosecution history and can involve other factors such as expert opinion. Our interpretation of the relevance or the scope of claims in a patent or a pending application may be incorrect, which may negatively impact our ability to market our product candidates. Further, we may incorrectly determine that our product candidates and their uses and manufacturing processes are not covered by a third-party patent or may incorrectly predict whether a third-party’s pending patent application will issue with claims of relevant scope. Our determination of the expiration date of any patent in the United States or abroad that we consider relevant may be incorrect, which may negatively impact our ability to develop and market our product candidates. Third-party intellectual property right holders may also actively bring infringement or other intellectual property-related claims against us, even if we have received patent protection for our product candidates and the relevant uses and processes.</w:t>
      </w:r>
      <w:r>
        <w:rPr>
          <w:rFonts w:ascii="Times New Roman" w:hAnsi="Times New Roman"/>
          <w:sz w:val="20"/>
        </w:rPr>
        <w:t xml:space="preserve"> </w:t>
      </w:r>
    </w:p>
    <w:p>
      <w:pPr>
        <w:pStyle w:val="TextBody"/>
        <w:spacing w:lineRule="auto" w:line="273" w:before="240" w:after="0"/>
        <w:jc w:val="left"/>
        <w:rPr>
          <w:rFonts w:ascii="Times New Roman" w:hAnsi="Times New Roman"/>
          <w:sz w:val="20"/>
        </w:rPr>
      </w:pPr>
      <w:r>
        <w:rPr>
          <w:rFonts w:ascii="Times New Roman" w:hAnsi="Times New Roman"/>
          <w:b w:val="false"/>
          <w:sz w:val="20"/>
        </w:rPr>
        <w:t>As the biopharmaceutical industry expands and more patents are issued, the risk increases that our product candidates may be subject to claims of infringement of the patent rights of third parties. Because patent applications are maintained as confidential for a certain period of time, until the relevant application is published, we may be unaware of third-party patents that may be infringed by commercialization of any of our product candidates, and we cannot be certain that we were the first to file a patent application related to a product candidate or technology. Moreover, because patent applications can take many years to issue, there may be currently pending patent applications that may later result in issued patents that our product candidates may infringe. In addition, identification of third-party patent rights that may be relevant to our technology is difficult because patent searching is imperfect due to differences in terminology among patents, incomplete databases and the difficulty in assessing the meaning of patent claims. There is also no assurance that there is not prior art of which we are aware, but which we do not believe is relevant to our business, which may, nonetheless, ultimately be found to limit our ability to make, use, sell, offer for sale or import our products that may be approved in the future, or impair our competitive position. In addition, third parties may obtain patents in the future and claim that use of our technologies infringes upon these patents. Any claims of patent infringement asserted by third parties would be time consuming and could:</w:t>
      </w:r>
      <w:r>
        <w:rPr>
          <w:rFonts w:ascii="Times New Roman" w:hAnsi="Times New Roman"/>
          <w:sz w:val="20"/>
        </w:rPr>
        <w:t xml:space="preserve"> </w:t>
      </w:r>
    </w:p>
    <w:p>
      <w:pPr>
        <w:pStyle w:val="TextBody"/>
        <w:spacing w:lineRule="auto" w:line="273" w:before="120" w:after="0"/>
        <w:jc w:val="left"/>
        <w:rPr/>
      </w:pPr>
      <w:r>
        <w:rPr/>
        <w:t>•</w:t>
      </w:r>
    </w:p>
    <w:p>
      <w:pPr>
        <w:pStyle w:val="TextBody"/>
        <w:spacing w:lineRule="auto" w:line="273" w:before="120" w:after="0"/>
        <w:jc w:val="left"/>
        <w:rPr>
          <w:rFonts w:ascii="Times New Roman" w:hAnsi="Times New Roman"/>
          <w:b w:val="false"/>
          <w:sz w:val="20"/>
        </w:rPr>
      </w:pPr>
      <w:r>
        <w:rPr>
          <w:rFonts w:ascii="Times New Roman" w:hAnsi="Times New Roman"/>
          <w:b w:val="false"/>
          <w:sz w:val="20"/>
        </w:rPr>
        <w:t xml:space="preserve">result in costly litigation that may cause negative publicity; </w:t>
      </w:r>
    </w:p>
    <w:p>
      <w:pPr>
        <w:pStyle w:val="TextBody"/>
        <w:spacing w:lineRule="auto" w:line="273" w:before="120" w:after="0"/>
        <w:jc w:val="left"/>
        <w:rPr/>
      </w:pPr>
      <w:r>
        <w:rPr/>
        <w:t>•</w:t>
      </w:r>
    </w:p>
    <w:p>
      <w:pPr>
        <w:pStyle w:val="TextBody"/>
        <w:spacing w:lineRule="auto" w:line="273" w:before="120" w:after="0"/>
        <w:jc w:val="left"/>
        <w:rPr>
          <w:rFonts w:ascii="Times New Roman" w:hAnsi="Times New Roman"/>
          <w:b w:val="false"/>
          <w:sz w:val="20"/>
        </w:rPr>
      </w:pPr>
      <w:r>
        <w:rPr>
          <w:rFonts w:ascii="Times New Roman" w:hAnsi="Times New Roman"/>
          <w:b w:val="false"/>
          <w:sz w:val="20"/>
        </w:rPr>
        <w:t xml:space="preserve">divert the time and attention of our technical personnel and management; </w:t>
      </w:r>
    </w:p>
    <w:p>
      <w:pPr>
        <w:pStyle w:val="TextBody"/>
        <w:spacing w:lineRule="auto" w:line="273" w:before="120" w:after="0"/>
        <w:jc w:val="left"/>
        <w:rPr/>
      </w:pPr>
      <w:r>
        <w:rPr/>
        <w:t>•</w:t>
      </w:r>
    </w:p>
    <w:p>
      <w:pPr>
        <w:pStyle w:val="TextBody"/>
        <w:spacing w:lineRule="auto" w:line="273" w:before="120" w:after="0"/>
        <w:jc w:val="left"/>
        <w:rPr>
          <w:rFonts w:ascii="Times New Roman" w:hAnsi="Times New Roman"/>
          <w:b w:val="false"/>
          <w:sz w:val="20"/>
        </w:rPr>
      </w:pPr>
      <w:r>
        <w:rPr>
          <w:rFonts w:ascii="Times New Roman" w:hAnsi="Times New Roman"/>
          <w:b w:val="false"/>
          <w:sz w:val="20"/>
        </w:rPr>
        <w:t xml:space="preserve">cause development delays; </w:t>
      </w:r>
    </w:p>
    <w:p>
      <w:pPr>
        <w:pStyle w:val="TextBody"/>
        <w:spacing w:lineRule="auto" w:line="273" w:before="120" w:after="0"/>
        <w:jc w:val="left"/>
        <w:rPr/>
      </w:pPr>
      <w:r>
        <w:rPr/>
        <w:t>•</w:t>
      </w:r>
    </w:p>
    <w:p>
      <w:pPr>
        <w:pStyle w:val="TextBody"/>
        <w:spacing w:lineRule="auto" w:line="273" w:before="120" w:after="0"/>
        <w:jc w:val="left"/>
        <w:rPr>
          <w:rFonts w:ascii="Times New Roman" w:hAnsi="Times New Roman"/>
          <w:b w:val="false"/>
          <w:sz w:val="20"/>
        </w:rPr>
      </w:pPr>
      <w:r>
        <w:rPr>
          <w:rFonts w:ascii="Times New Roman" w:hAnsi="Times New Roman"/>
          <w:b w:val="false"/>
          <w:sz w:val="20"/>
        </w:rPr>
        <w:t xml:space="preserve">prevent us from commercializing any of our product candidates until the asserted patent expires or is held finally invalid or not infringed in a court of law; </w:t>
      </w:r>
    </w:p>
    <w:p>
      <w:pPr>
        <w:pStyle w:val="TextBody"/>
        <w:spacing w:lineRule="auto" w:line="273" w:before="120" w:after="0"/>
        <w:jc w:val="left"/>
        <w:rPr/>
      </w:pPr>
      <w:r>
        <w:rPr/>
        <w:t>•</w:t>
      </w:r>
    </w:p>
    <w:p>
      <w:pPr>
        <w:pStyle w:val="TextBody"/>
        <w:spacing w:lineRule="auto" w:line="273" w:before="120" w:after="0"/>
        <w:jc w:val="left"/>
        <w:rPr>
          <w:rFonts w:ascii="Times New Roman" w:hAnsi="Times New Roman"/>
          <w:b w:val="false"/>
          <w:sz w:val="20"/>
        </w:rPr>
      </w:pPr>
      <w:r>
        <w:rPr>
          <w:rFonts w:ascii="Times New Roman" w:hAnsi="Times New Roman"/>
          <w:b w:val="false"/>
          <w:sz w:val="20"/>
        </w:rPr>
        <w:t xml:space="preserve">require us to develop non-infringing technology, which may not be possible on a cost-effective basis; </w:t>
      </w:r>
    </w:p>
    <w:p>
      <w:pPr>
        <w:pStyle w:val="TextBody"/>
        <w:spacing w:lineRule="auto" w:line="273" w:before="120" w:after="0"/>
        <w:jc w:val="left"/>
        <w:rPr/>
      </w:pPr>
      <w:r>
        <w:rPr/>
        <w:t>•</w:t>
      </w:r>
    </w:p>
    <w:p>
      <w:pPr>
        <w:pStyle w:val="TextBody"/>
        <w:spacing w:lineRule="auto" w:line="273" w:before="120" w:after="0"/>
        <w:jc w:val="left"/>
        <w:rPr>
          <w:rFonts w:ascii="Times New Roman" w:hAnsi="Times New Roman"/>
          <w:b w:val="false"/>
          <w:sz w:val="20"/>
        </w:rPr>
      </w:pPr>
      <w:r>
        <w:rPr>
          <w:rFonts w:ascii="Times New Roman" w:hAnsi="Times New Roman"/>
          <w:b w:val="false"/>
          <w:sz w:val="20"/>
        </w:rPr>
        <w:t xml:space="preserve">subject us to significant liability to third parties; or </w:t>
      </w:r>
    </w:p>
    <w:p>
      <w:pPr>
        <w:pStyle w:val="TextBody"/>
        <w:spacing w:lineRule="auto" w:line="273" w:before="120" w:after="0"/>
        <w:jc w:val="left"/>
        <w:rPr/>
      </w:pPr>
      <w:r>
        <w:rPr/>
        <w:t>•</w:t>
      </w:r>
    </w:p>
    <w:p>
      <w:pPr>
        <w:pStyle w:val="TextBody"/>
        <w:spacing w:lineRule="auto" w:line="273" w:before="120" w:after="283"/>
        <w:jc w:val="left"/>
        <w:rPr>
          <w:rFonts w:ascii="Times New Roman" w:hAnsi="Times New Roman"/>
          <w:b w:val="false"/>
          <w:sz w:val="20"/>
        </w:rPr>
      </w:pPr>
      <w:r>
        <w:rPr>
          <w:rFonts w:ascii="Times New Roman" w:hAnsi="Times New Roman"/>
          <w:b w:val="false"/>
          <w:sz w:val="20"/>
        </w:rPr>
        <w:t xml:space="preserve">require us to enter into royalty or licensing agreements, which may not be available on commercially reasonable terms, or at all, or which might be non-exclusive, which could result in our competitors gaining access to the same technology. </w:t>
      </w:r>
    </w:p>
    <w:p>
      <w:pPr>
        <w:pStyle w:val="TextBody"/>
        <w:spacing w:lineRule="auto" w:line="273" w:before="0" w:after="0"/>
        <w:jc w:val="center"/>
        <w:rPr>
          <w:rFonts w:ascii="Times New Roman" w:hAnsi="Times New Roman"/>
          <w:b w:val="false"/>
          <w:sz w:val="20"/>
        </w:rPr>
      </w:pPr>
      <w:r>
        <w:rPr>
          <w:rFonts w:ascii="Times New Roman" w:hAnsi="Times New Roman"/>
          <w:b w:val="false"/>
          <w:sz w:val="20"/>
        </w:rPr>
        <w:t>74</w:t>
      </w:r>
    </w:p>
    <w:p>
      <w:pPr>
        <w:pStyle w:val="HorizontalLine"/>
        <w:rPr/>
      </w:pPr>
      <w:r>
        <w:rPr/>
      </w:r>
    </w:p>
    <w:p>
      <w:pPr>
        <w:pStyle w:val="TextBody"/>
        <w:spacing w:lineRule="auto" w:line="273" w:before="0" w:after="0"/>
        <w:jc w:val="left"/>
        <w:rPr/>
      </w:pPr>
      <w:r>
        <w:rPr/>
        <w:t> </w:t>
      </w:r>
    </w:p>
    <w:p>
      <w:pPr>
        <w:pStyle w:val="TextBody"/>
        <w:spacing w:lineRule="auto" w:line="273" w:before="240" w:after="0"/>
        <w:jc w:val="left"/>
        <w:rPr>
          <w:rFonts w:ascii="Times New Roman" w:hAnsi="Times New Roman"/>
          <w:sz w:val="20"/>
        </w:rPr>
      </w:pPr>
      <w:r>
        <w:rPr>
          <w:rFonts w:ascii="Times New Roman" w:hAnsi="Times New Roman"/>
          <w:b w:val="false"/>
          <w:sz w:val="20"/>
        </w:rPr>
        <w:t>Although no third party has asserted a claim of patent infringement against us as of March 31, 2022, others may hold proprietary rights that could prevent our product candidates from being marketed. It is possible that a third-party may assert a claim of patent infringement directed at any of our product candidates. Any patent-related legal action against us claiming damages and seeking to enjoin commercial activities relating to our product candidates, treatment indications, or processes could subject us to significant liability for damages, including treble damages if we were determined to willfully infringe, and require us to obtain a license to manufacture or market our product candidates. Defense of these claims, regardless of their merit, would involve substantial litigation expense and would be a substantial diversion of employee resources from our business. We cannot predict whether we would prevail in any such actions or that any license required under any of these patents would be made available on commercially acceptable terms, if at all. Moreover, even if we or our current and/or future strategic partners were able to obtain a license, the rights may be nonexclusive, which could result in our competitors gaining access to the same intellectual property. In addition, we cannot be certain that we could redesign our product candidates, treatment indications, or processes to avoid infringement, if necessary. Accordingly, an adverse determination in a judicial or administrative proceeding, or the failure to obtain necessary licenses, could prevent us from developing and commercializing our product candidates, which could harm our business, financial condition and operating results. In addition, intellectual property litigation, regardless of its outcome, may cause negative publicity and could prohibit us from marketing or otherwise commercializing our product candidates and technology.</w:t>
      </w:r>
      <w:r>
        <w:rPr>
          <w:rFonts w:ascii="Times New Roman" w:hAnsi="Times New Roman"/>
          <w:sz w:val="20"/>
        </w:rPr>
        <w:t xml:space="preserve"> </w:t>
      </w:r>
    </w:p>
    <w:p>
      <w:pPr>
        <w:pStyle w:val="TextBody"/>
        <w:spacing w:lineRule="auto" w:line="273" w:before="240" w:after="0"/>
        <w:jc w:val="left"/>
        <w:rPr>
          <w:rFonts w:ascii="Times New Roman" w:hAnsi="Times New Roman"/>
          <w:sz w:val="20"/>
        </w:rPr>
      </w:pPr>
      <w:r>
        <w:rPr>
          <w:rFonts w:ascii="Times New Roman" w:hAnsi="Times New Roman"/>
          <w:b w:val="false"/>
          <w:sz w:val="20"/>
        </w:rPr>
        <w:t>Parties making claims against us may be able to sustain the costs of complex patent litigation more effectively than we can because they have substantially greater resources. Furthermore, because of the substantial amount of discovery required in connection with intellectual property litigation or administrative proceedings, there is a risk that some of our confidential information could be compromised by disclosure. In addition, any uncertainties resulting from the initiation and continuation of any litigation could have a material adverse effect on our ability to raise additional funds or otherwise have a material adverse effect on our business, results of operations, financial condition and prospects.</w:t>
      </w:r>
      <w:r>
        <w:rPr>
          <w:rFonts w:ascii="Times New Roman" w:hAnsi="Times New Roman"/>
          <w:sz w:val="20"/>
        </w:rPr>
        <w:t xml:space="preserve"> </w:t>
      </w:r>
    </w:p>
    <w:p>
      <w:pPr>
        <w:pStyle w:val="TextBody"/>
        <w:spacing w:lineRule="auto" w:line="273" w:before="360" w:after="0"/>
        <w:jc w:val="left"/>
        <w:rPr>
          <w:rFonts w:ascii="Times New Roman" w:hAnsi="Times New Roman"/>
          <w:sz w:val="20"/>
        </w:rPr>
      </w:pPr>
      <w:r>
        <w:rPr>
          <w:rFonts w:ascii="Times New Roman" w:hAnsi="Times New Roman"/>
          <w:b/>
          <w:i/>
          <w:sz w:val="20"/>
        </w:rPr>
        <w:t>Some of our current product candidates and research programs are licensed from third parties. If these license agreements are terminated or interpreted to narrow our rights, our ability to advance our current product candidates or develop new product candidates based on these technologies will be materially adversely affected.</w:t>
      </w:r>
      <w:r>
        <w:rPr>
          <w:rFonts w:ascii="Times New Roman" w:hAnsi="Times New Roman"/>
          <w:sz w:val="20"/>
        </w:rPr>
        <w:t xml:space="preserve"> </w:t>
      </w:r>
    </w:p>
    <w:p>
      <w:pPr>
        <w:pStyle w:val="TextBody"/>
        <w:spacing w:lineRule="auto" w:line="273" w:before="120" w:after="0"/>
        <w:jc w:val="left"/>
        <w:rPr>
          <w:rFonts w:ascii="Times New Roman" w:hAnsi="Times New Roman"/>
          <w:sz w:val="20"/>
        </w:rPr>
      </w:pPr>
      <w:r>
        <w:rPr>
          <w:rFonts w:ascii="Times New Roman" w:hAnsi="Times New Roman"/>
          <w:b w:val="false"/>
          <w:sz w:val="20"/>
        </w:rPr>
        <w:t>We now depend on, at least in part, Viracta Therapeutics, Inc., Takeda Pharmaceutical Company Limited, Dana Farber Cancer Institute, Millennium Pharmaceuticals, Inc. and Merck KGaA, Darmstadt, Germany, and will continue to depend on Viracta Therapeutics, Inc., Takeda Pharmaceutical Company Limited, Dana Farber Cancer Institute, Millennium Pharmaceuticals, Inc. and Merck KGaA, Darmstadt, Germany and on licenses and sublicenses from other third parties, as well as potentially on other strategic relationships with third parties, for the research, development, manufacturing and commercialization of our current product candidates. If any of our licenses or relationships or any in-licenses on which our licenses are based are terminated or breached, we may:</w:t>
      </w:r>
      <w:r>
        <w:rPr>
          <w:rFonts w:ascii="Times New Roman" w:hAnsi="Times New Roman"/>
          <w:sz w:val="20"/>
        </w:rPr>
        <w:t xml:space="preserve"> </w:t>
      </w:r>
    </w:p>
    <w:p>
      <w:pPr>
        <w:pStyle w:val="TextBody"/>
        <w:spacing w:lineRule="auto" w:line="273" w:before="120" w:after="0"/>
        <w:jc w:val="left"/>
        <w:rPr/>
      </w:pPr>
      <w:r>
        <w:rPr/>
        <w:t>•</w:t>
      </w:r>
    </w:p>
    <w:p>
      <w:pPr>
        <w:pStyle w:val="TextBody"/>
        <w:spacing w:lineRule="auto" w:line="273" w:before="120" w:after="0"/>
        <w:jc w:val="left"/>
        <w:rPr>
          <w:rFonts w:ascii="Times New Roman" w:hAnsi="Times New Roman"/>
          <w:b w:val="false"/>
          <w:sz w:val="20"/>
        </w:rPr>
      </w:pPr>
      <w:r>
        <w:rPr>
          <w:rFonts w:ascii="Times New Roman" w:hAnsi="Times New Roman"/>
          <w:b w:val="false"/>
          <w:sz w:val="20"/>
        </w:rPr>
        <w:t xml:space="preserve">lose our rights to develop and market our current product candidates; </w:t>
      </w:r>
    </w:p>
    <w:p>
      <w:pPr>
        <w:pStyle w:val="TextBody"/>
        <w:spacing w:lineRule="auto" w:line="273" w:before="120" w:after="0"/>
        <w:jc w:val="left"/>
        <w:rPr/>
      </w:pPr>
      <w:r>
        <w:rPr/>
        <w:t>•</w:t>
      </w:r>
    </w:p>
    <w:p>
      <w:pPr>
        <w:pStyle w:val="TextBody"/>
        <w:spacing w:lineRule="auto" w:line="273" w:before="120" w:after="0"/>
        <w:jc w:val="left"/>
        <w:rPr>
          <w:rFonts w:ascii="Times New Roman" w:hAnsi="Times New Roman"/>
          <w:b w:val="false"/>
          <w:sz w:val="20"/>
        </w:rPr>
      </w:pPr>
      <w:r>
        <w:rPr>
          <w:rFonts w:ascii="Times New Roman" w:hAnsi="Times New Roman"/>
          <w:b w:val="false"/>
          <w:sz w:val="20"/>
        </w:rPr>
        <w:t xml:space="preserve">lose patent or trade secret protection for our current product candidates; </w:t>
      </w:r>
    </w:p>
    <w:p>
      <w:pPr>
        <w:pStyle w:val="TextBody"/>
        <w:spacing w:lineRule="auto" w:line="273" w:before="120" w:after="0"/>
        <w:jc w:val="left"/>
        <w:rPr/>
      </w:pPr>
      <w:r>
        <w:rPr/>
        <w:t>•</w:t>
      </w:r>
    </w:p>
    <w:p>
      <w:pPr>
        <w:pStyle w:val="TextBody"/>
        <w:spacing w:lineRule="auto" w:line="273" w:before="120" w:after="0"/>
        <w:jc w:val="left"/>
        <w:rPr>
          <w:rFonts w:ascii="Times New Roman" w:hAnsi="Times New Roman"/>
          <w:b w:val="false"/>
          <w:sz w:val="20"/>
        </w:rPr>
      </w:pPr>
      <w:r>
        <w:rPr>
          <w:rFonts w:ascii="Times New Roman" w:hAnsi="Times New Roman"/>
          <w:b w:val="false"/>
          <w:sz w:val="20"/>
        </w:rPr>
        <w:t xml:space="preserve">experience significant delays in the development or commercialization of our current product candidates; </w:t>
      </w:r>
    </w:p>
    <w:p>
      <w:pPr>
        <w:pStyle w:val="TextBody"/>
        <w:spacing w:lineRule="auto" w:line="273" w:before="120" w:after="0"/>
        <w:jc w:val="left"/>
        <w:rPr/>
      </w:pPr>
      <w:r>
        <w:rPr/>
        <w:t>•</w:t>
      </w:r>
    </w:p>
    <w:p>
      <w:pPr>
        <w:pStyle w:val="TextBody"/>
        <w:spacing w:lineRule="auto" w:line="273" w:before="120" w:after="0"/>
        <w:jc w:val="left"/>
        <w:rPr>
          <w:rFonts w:ascii="Times New Roman" w:hAnsi="Times New Roman"/>
          <w:b w:val="false"/>
          <w:sz w:val="20"/>
        </w:rPr>
      </w:pPr>
      <w:r>
        <w:rPr>
          <w:rFonts w:ascii="Times New Roman" w:hAnsi="Times New Roman"/>
          <w:b w:val="false"/>
          <w:sz w:val="20"/>
        </w:rPr>
        <w:t xml:space="preserve">not be able to obtain any other licenses on acceptable terms, if at all; or </w:t>
      </w:r>
    </w:p>
    <w:p>
      <w:pPr>
        <w:pStyle w:val="TextBody"/>
        <w:spacing w:lineRule="auto" w:line="273" w:before="120" w:after="0"/>
        <w:jc w:val="left"/>
        <w:rPr/>
      </w:pPr>
      <w:r>
        <w:rPr/>
        <w:t>•</w:t>
      </w:r>
    </w:p>
    <w:p>
      <w:pPr>
        <w:pStyle w:val="TextBody"/>
        <w:spacing w:lineRule="auto" w:line="273" w:before="120" w:after="283"/>
        <w:jc w:val="left"/>
        <w:rPr>
          <w:rFonts w:ascii="Times New Roman" w:hAnsi="Times New Roman"/>
          <w:b w:val="false"/>
          <w:sz w:val="20"/>
        </w:rPr>
      </w:pPr>
      <w:r>
        <w:rPr>
          <w:rFonts w:ascii="Times New Roman" w:hAnsi="Times New Roman"/>
          <w:b w:val="false"/>
          <w:sz w:val="20"/>
        </w:rPr>
        <w:t xml:space="preserve">incur liability for damages. </w:t>
      </w:r>
    </w:p>
    <w:p>
      <w:pPr>
        <w:pStyle w:val="TextBody"/>
        <w:spacing w:lineRule="auto" w:line="273" w:before="240" w:after="0"/>
        <w:jc w:val="left"/>
        <w:rPr>
          <w:rFonts w:ascii="Times New Roman" w:hAnsi="Times New Roman"/>
          <w:sz w:val="20"/>
        </w:rPr>
      </w:pPr>
      <w:r>
        <w:rPr>
          <w:rFonts w:ascii="Times New Roman" w:hAnsi="Times New Roman"/>
          <w:b w:val="false"/>
          <w:sz w:val="20"/>
        </w:rPr>
        <w:t>Additionally, even if not terminated or breached, our intellectual property licenses or sublicenses may be subject to disagreements over contract interpretation which could narrow the scope of our rights to the relevant intellectual property or technology or increase our financial or other obligations.</w:t>
      </w:r>
      <w:r>
        <w:rPr>
          <w:rFonts w:ascii="Times New Roman" w:hAnsi="Times New Roman"/>
          <w:sz w:val="20"/>
        </w:rPr>
        <w:t xml:space="preserve"> </w:t>
      </w:r>
    </w:p>
    <w:p>
      <w:pPr>
        <w:pStyle w:val="TextBody"/>
        <w:spacing w:lineRule="auto" w:line="273" w:before="240" w:after="0"/>
        <w:jc w:val="left"/>
        <w:rPr>
          <w:rFonts w:ascii="Times New Roman" w:hAnsi="Times New Roman"/>
          <w:sz w:val="20"/>
        </w:rPr>
      </w:pPr>
      <w:r>
        <w:rPr>
          <w:rFonts w:ascii="Times New Roman" w:hAnsi="Times New Roman"/>
          <w:b w:val="false"/>
          <w:sz w:val="20"/>
        </w:rPr>
        <w:t>If we experience any of the foregoing, it could have a materially adverse effect on our business and could force us to cease operations which could cause you to lose all of your investment.</w:t>
      </w:r>
      <w:r>
        <w:rPr>
          <w:rFonts w:ascii="Times New Roman" w:hAnsi="Times New Roman"/>
          <w:sz w:val="20"/>
        </w:rPr>
        <w:t xml:space="preserve"> </w:t>
      </w:r>
    </w:p>
    <w:p>
      <w:pPr>
        <w:pStyle w:val="TextBody"/>
        <w:spacing w:lineRule="auto" w:line="273" w:before="360" w:after="0"/>
        <w:jc w:val="left"/>
        <w:rPr>
          <w:rFonts w:ascii="Times New Roman" w:hAnsi="Times New Roman"/>
          <w:sz w:val="20"/>
        </w:rPr>
      </w:pPr>
      <w:r>
        <w:rPr>
          <w:rFonts w:ascii="Times New Roman" w:hAnsi="Times New Roman"/>
          <w:b/>
          <w:i/>
          <w:sz w:val="20"/>
        </w:rPr>
        <w:t>If we breach our license agreements, it could have a material adverse effect on our commercialization efforts for our product candidates.</w:t>
      </w:r>
      <w:r>
        <w:rPr>
          <w:rFonts w:ascii="Times New Roman" w:hAnsi="Times New Roman"/>
          <w:sz w:val="20"/>
        </w:rPr>
        <w:t xml:space="preserve"> </w:t>
      </w:r>
    </w:p>
    <w:p>
      <w:pPr>
        <w:pStyle w:val="TextBody"/>
        <w:spacing w:lineRule="auto" w:line="273" w:before="120" w:after="0"/>
        <w:jc w:val="left"/>
        <w:rPr>
          <w:rFonts w:ascii="Times New Roman" w:hAnsi="Times New Roman"/>
          <w:sz w:val="20"/>
        </w:rPr>
      </w:pPr>
      <w:r>
        <w:rPr>
          <w:rFonts w:ascii="Times New Roman" w:hAnsi="Times New Roman"/>
          <w:b w:val="false"/>
          <w:sz w:val="20"/>
        </w:rPr>
        <w:t>If we breach any of the agreements under which we license the use, development and commercialization rights to our product candidates or technology from third parties, we could lose license rights that are important to our business. Or if we fail to comply with our obligations in the agreements under which we license intellectual property rights from third parties or otherwise experience disruptions to our business relationships with our licensors, we could lose license rights that are important to our business.</w:t>
      </w:r>
      <w:r>
        <w:rPr>
          <w:rFonts w:ascii="Times New Roman" w:hAnsi="Times New Roman"/>
          <w:sz w:val="20"/>
        </w:rPr>
        <w:t xml:space="preserve"> </w:t>
      </w:r>
    </w:p>
    <w:p>
      <w:pPr>
        <w:pStyle w:val="TextBody"/>
        <w:spacing w:lineRule="auto" w:line="273" w:before="0" w:after="0"/>
        <w:jc w:val="center"/>
        <w:rPr>
          <w:rFonts w:ascii="Times New Roman" w:hAnsi="Times New Roman"/>
          <w:b w:val="false"/>
          <w:sz w:val="20"/>
        </w:rPr>
      </w:pPr>
      <w:r>
        <w:rPr>
          <w:rFonts w:ascii="Times New Roman" w:hAnsi="Times New Roman"/>
          <w:b w:val="false"/>
          <w:sz w:val="20"/>
        </w:rPr>
        <w:t>75</w:t>
      </w:r>
    </w:p>
    <w:p>
      <w:pPr>
        <w:pStyle w:val="HorizontalLine"/>
        <w:rPr/>
      </w:pPr>
      <w:r>
        <w:rPr/>
      </w:r>
    </w:p>
    <w:p>
      <w:pPr>
        <w:pStyle w:val="TextBody"/>
        <w:spacing w:lineRule="auto" w:line="273" w:before="0" w:after="0"/>
        <w:jc w:val="left"/>
        <w:rPr/>
      </w:pPr>
      <w:r>
        <w:rPr/>
        <w:t> </w:t>
      </w:r>
    </w:p>
    <w:p>
      <w:pPr>
        <w:pStyle w:val="TextBody"/>
        <w:spacing w:lineRule="auto" w:line="273" w:before="240" w:after="0"/>
        <w:jc w:val="left"/>
        <w:rPr>
          <w:rFonts w:ascii="Times New Roman" w:hAnsi="Times New Roman"/>
          <w:sz w:val="20"/>
        </w:rPr>
      </w:pPr>
      <w:r>
        <w:rPr>
          <w:rFonts w:ascii="Times New Roman" w:hAnsi="Times New Roman"/>
          <w:b w:val="false"/>
          <w:sz w:val="20"/>
        </w:rPr>
        <w:t>Our current lead product candidates are protected by, among other intellectual property rights, patents and patent applications we co-own and exclusively in-licensed from Viracta Therapeutics, Inc. (f/k/a Sunesis Pharmaceuticals, Inc.). Our current lead product candidates and pipeline and our anticipated near-term pipeline may include technologies, licensed from, for example Merck KGaA, Darmstadt, Germany.</w:t>
      </w:r>
      <w:r>
        <w:rPr>
          <w:rFonts w:ascii="Times New Roman" w:hAnsi="Times New Roman"/>
          <w:sz w:val="20"/>
        </w:rPr>
        <w:t xml:space="preserve"> </w:t>
      </w:r>
    </w:p>
    <w:p>
      <w:pPr>
        <w:pStyle w:val="TextBody"/>
        <w:spacing w:lineRule="auto" w:line="273" w:before="240" w:after="0"/>
        <w:jc w:val="left"/>
        <w:rPr>
          <w:rFonts w:ascii="Times New Roman" w:hAnsi="Times New Roman"/>
          <w:sz w:val="20"/>
        </w:rPr>
      </w:pPr>
      <w:r>
        <w:rPr>
          <w:rFonts w:ascii="Times New Roman" w:hAnsi="Times New Roman"/>
          <w:b w:val="false"/>
          <w:sz w:val="20"/>
        </w:rPr>
        <w:t>Under the license agreements, we are subject to various obligations, including diligence obligations such as development and commercialization obligations, as well as potential royalty payments and other obligations. If we fail to comply with any of these obligations or otherwise breach our license agreements, our licensors may have the right to terminate the applicable license in whole or in part. Generally, the loss of any one of our current licenses, or any other license we may acquire in the future, could harm our business, prospects, financial condition and results of operations.</w:t>
      </w:r>
      <w:r>
        <w:rPr>
          <w:rFonts w:ascii="Times New Roman" w:hAnsi="Times New Roman"/>
          <w:sz w:val="20"/>
        </w:rPr>
        <w:t xml:space="preserve"> </w:t>
      </w:r>
    </w:p>
    <w:p>
      <w:pPr>
        <w:pStyle w:val="TextBody"/>
        <w:spacing w:lineRule="auto" w:line="273" w:before="240" w:after="0"/>
        <w:jc w:val="left"/>
        <w:rPr>
          <w:rFonts w:ascii="Times New Roman" w:hAnsi="Times New Roman"/>
          <w:sz w:val="20"/>
        </w:rPr>
      </w:pPr>
      <w:r>
        <w:rPr>
          <w:rFonts w:ascii="Times New Roman" w:hAnsi="Times New Roman"/>
          <w:b w:val="false"/>
          <w:sz w:val="20"/>
        </w:rPr>
        <w:t>Licensing of intellectual property is of critical importance to our business and involves complex legal, business and scientific issues. Disputes may arise between us and our licensors regarding intellectual property subject to a license agreement, including:</w:t>
      </w:r>
      <w:r>
        <w:rPr>
          <w:rFonts w:ascii="Times New Roman" w:hAnsi="Times New Roman"/>
          <w:sz w:val="20"/>
        </w:rPr>
        <w:t xml:space="preserve"> </w:t>
      </w:r>
    </w:p>
    <w:p>
      <w:pPr>
        <w:pStyle w:val="TextBody"/>
        <w:spacing w:lineRule="auto" w:line="273" w:before="120" w:after="0"/>
        <w:jc w:val="left"/>
        <w:rPr/>
      </w:pPr>
      <w:r>
        <w:rPr/>
        <w:t>•</w:t>
      </w:r>
    </w:p>
    <w:p>
      <w:pPr>
        <w:pStyle w:val="TextBody"/>
        <w:spacing w:lineRule="auto" w:line="273" w:before="120" w:after="0"/>
        <w:jc w:val="left"/>
        <w:rPr>
          <w:rFonts w:ascii="Times New Roman" w:hAnsi="Times New Roman"/>
          <w:b w:val="false"/>
          <w:sz w:val="20"/>
        </w:rPr>
      </w:pPr>
      <w:r>
        <w:rPr>
          <w:rFonts w:ascii="Times New Roman" w:hAnsi="Times New Roman"/>
          <w:b w:val="false"/>
          <w:sz w:val="20"/>
        </w:rPr>
        <w:t xml:space="preserve">the scope of rights granted under the license agreement and other interpretation-related issues; </w:t>
      </w:r>
    </w:p>
    <w:p>
      <w:pPr>
        <w:pStyle w:val="TextBody"/>
        <w:spacing w:lineRule="auto" w:line="273" w:before="120" w:after="0"/>
        <w:jc w:val="left"/>
        <w:rPr/>
      </w:pPr>
      <w:r>
        <w:rPr/>
        <w:t>•</w:t>
      </w:r>
    </w:p>
    <w:p>
      <w:pPr>
        <w:pStyle w:val="TextBody"/>
        <w:spacing w:lineRule="auto" w:line="273" w:before="120" w:after="0"/>
        <w:jc w:val="left"/>
        <w:rPr>
          <w:rFonts w:ascii="Times New Roman" w:hAnsi="Times New Roman"/>
          <w:b w:val="false"/>
          <w:sz w:val="20"/>
        </w:rPr>
      </w:pPr>
      <w:r>
        <w:rPr>
          <w:rFonts w:ascii="Times New Roman" w:hAnsi="Times New Roman"/>
          <w:b w:val="false"/>
          <w:sz w:val="20"/>
        </w:rPr>
        <w:t xml:space="preserve">whether and the extent to which our technology and processes infringe on intellectual property of the licensor that is not subject to the licensing agreement; </w:t>
      </w:r>
    </w:p>
    <w:p>
      <w:pPr>
        <w:pStyle w:val="TextBody"/>
        <w:spacing w:lineRule="auto" w:line="273" w:before="120" w:after="0"/>
        <w:jc w:val="left"/>
        <w:rPr/>
      </w:pPr>
      <w:r>
        <w:rPr/>
        <w:t>•</w:t>
      </w:r>
    </w:p>
    <w:p>
      <w:pPr>
        <w:pStyle w:val="TextBody"/>
        <w:spacing w:lineRule="auto" w:line="273" w:before="120" w:after="0"/>
        <w:jc w:val="left"/>
        <w:rPr>
          <w:rFonts w:ascii="Times New Roman" w:hAnsi="Times New Roman"/>
          <w:b w:val="false"/>
          <w:sz w:val="20"/>
        </w:rPr>
      </w:pPr>
      <w:r>
        <w:rPr>
          <w:rFonts w:ascii="Times New Roman" w:hAnsi="Times New Roman"/>
          <w:b w:val="false"/>
          <w:sz w:val="20"/>
        </w:rPr>
        <w:t xml:space="preserve">our right to sublicense patent and other intellectual property rights to third parties under collaborative development relationships; </w:t>
      </w:r>
    </w:p>
    <w:p>
      <w:pPr>
        <w:pStyle w:val="TextBody"/>
        <w:spacing w:lineRule="auto" w:line="273" w:before="120" w:after="0"/>
        <w:jc w:val="left"/>
        <w:rPr/>
      </w:pPr>
      <w:r>
        <w:rPr/>
        <w:t>•</w:t>
      </w:r>
    </w:p>
    <w:p>
      <w:pPr>
        <w:pStyle w:val="TextBody"/>
        <w:spacing w:lineRule="auto" w:line="273" w:before="120" w:after="0"/>
        <w:jc w:val="left"/>
        <w:rPr>
          <w:rFonts w:ascii="Times New Roman" w:hAnsi="Times New Roman"/>
          <w:b w:val="false"/>
          <w:sz w:val="20"/>
        </w:rPr>
      </w:pPr>
      <w:r>
        <w:rPr>
          <w:rFonts w:ascii="Times New Roman" w:hAnsi="Times New Roman"/>
          <w:b w:val="false"/>
          <w:sz w:val="20"/>
        </w:rPr>
        <w:t xml:space="preserve">our diligence obligations with respect to the use of the licensed technology in relation to our development and commercialization of our product candidates, and what activities satisfy those diligence obligations; </w:t>
      </w:r>
    </w:p>
    <w:p>
      <w:pPr>
        <w:pStyle w:val="TextBody"/>
        <w:spacing w:lineRule="auto" w:line="273" w:before="120" w:after="0"/>
        <w:jc w:val="left"/>
        <w:rPr/>
      </w:pPr>
      <w:r>
        <w:rPr/>
        <w:t>•</w:t>
      </w:r>
    </w:p>
    <w:p>
      <w:pPr>
        <w:pStyle w:val="TextBody"/>
        <w:spacing w:lineRule="auto" w:line="273" w:before="120" w:after="0"/>
        <w:jc w:val="left"/>
        <w:rPr>
          <w:rFonts w:ascii="Times New Roman" w:hAnsi="Times New Roman"/>
          <w:b w:val="false"/>
          <w:sz w:val="20"/>
        </w:rPr>
      </w:pPr>
      <w:r>
        <w:rPr>
          <w:rFonts w:ascii="Times New Roman" w:hAnsi="Times New Roman"/>
          <w:b w:val="false"/>
          <w:sz w:val="20"/>
        </w:rPr>
        <w:t xml:space="preserve">the priority of invention of patented technology; </w:t>
      </w:r>
    </w:p>
    <w:p>
      <w:pPr>
        <w:pStyle w:val="TextBody"/>
        <w:spacing w:lineRule="auto" w:line="273" w:before="120" w:after="0"/>
        <w:jc w:val="left"/>
        <w:rPr/>
      </w:pPr>
      <w:r>
        <w:rPr/>
        <w:t>•</w:t>
      </w:r>
    </w:p>
    <w:p>
      <w:pPr>
        <w:pStyle w:val="TextBody"/>
        <w:spacing w:lineRule="auto" w:line="273" w:before="120" w:after="0"/>
        <w:jc w:val="left"/>
        <w:rPr>
          <w:rFonts w:ascii="Times New Roman" w:hAnsi="Times New Roman"/>
          <w:b w:val="false"/>
          <w:sz w:val="20"/>
        </w:rPr>
      </w:pPr>
      <w:r>
        <w:rPr>
          <w:rFonts w:ascii="Times New Roman" w:hAnsi="Times New Roman"/>
          <w:b w:val="false"/>
          <w:sz w:val="20"/>
        </w:rPr>
        <w:t xml:space="preserve">the ownership of inventions and know-how resulting from the joint creation or use of intellectual property by our licensors and us and our partners; and </w:t>
      </w:r>
    </w:p>
    <w:p>
      <w:pPr>
        <w:pStyle w:val="TextBody"/>
        <w:spacing w:lineRule="auto" w:line="273" w:before="120" w:after="0"/>
        <w:jc w:val="left"/>
        <w:rPr/>
      </w:pPr>
      <w:r>
        <w:rPr/>
        <w:t>•</w:t>
      </w:r>
    </w:p>
    <w:p>
      <w:pPr>
        <w:pStyle w:val="TextBody"/>
        <w:spacing w:lineRule="auto" w:line="273" w:before="120" w:after="283"/>
        <w:jc w:val="left"/>
        <w:rPr>
          <w:rFonts w:ascii="Times New Roman" w:hAnsi="Times New Roman"/>
          <w:b w:val="false"/>
          <w:sz w:val="20"/>
        </w:rPr>
      </w:pPr>
      <w:r>
        <w:rPr>
          <w:rFonts w:ascii="Times New Roman" w:hAnsi="Times New Roman"/>
          <w:b w:val="false"/>
          <w:sz w:val="20"/>
        </w:rPr>
        <w:t xml:space="preserve">whether and the extent to which inventors are able to contest the assignment of their rights to our licensors. </w:t>
      </w:r>
    </w:p>
    <w:p>
      <w:pPr>
        <w:pStyle w:val="TextBody"/>
        <w:spacing w:lineRule="auto" w:line="273" w:before="240" w:after="0"/>
        <w:jc w:val="left"/>
        <w:rPr>
          <w:rFonts w:ascii="Times New Roman" w:hAnsi="Times New Roman"/>
          <w:sz w:val="20"/>
        </w:rPr>
      </w:pPr>
      <w:r>
        <w:rPr>
          <w:rFonts w:ascii="Times New Roman" w:hAnsi="Times New Roman"/>
          <w:b w:val="false"/>
          <w:sz w:val="20"/>
        </w:rPr>
        <w:t>If disputes over intellectual property that we have licensed prevent or impair our ability to maintain our current licensing arrangements on acceptable terms or at all, we may be unable to successfully develop and commercialize the affected product candidates. In addition, if disputes arise as to ownership of licensed intellectual property, our ability to pursue or enforce the licensed patent rights may be jeopardized. If we or our licensors fail to adequately protect this intellectual property, our ability to commercialize our products could suffer.</w:t>
      </w:r>
      <w:r>
        <w:rPr>
          <w:rFonts w:ascii="Times New Roman" w:hAnsi="Times New Roman"/>
          <w:sz w:val="20"/>
        </w:rPr>
        <w:t xml:space="preserve"> </w:t>
      </w:r>
    </w:p>
    <w:p>
      <w:pPr>
        <w:pStyle w:val="TextBody"/>
        <w:spacing w:lineRule="auto" w:line="273" w:before="240" w:after="0"/>
        <w:jc w:val="left"/>
        <w:rPr>
          <w:rFonts w:ascii="Times New Roman" w:hAnsi="Times New Roman"/>
          <w:sz w:val="20"/>
        </w:rPr>
      </w:pPr>
      <w:r>
        <w:rPr>
          <w:rFonts w:ascii="Times New Roman" w:hAnsi="Times New Roman"/>
          <w:b w:val="false"/>
          <w:sz w:val="20"/>
        </w:rPr>
        <w:t>In addition, the agreements under which we license intellectual property or technology from third parties, including our licenses with Viracta Therapeutics, Inc., Takeda Pharmaceutical Company Limited, Dana Farber Cancer Institute, Millennium Pharmaceuticals, Inc. and Merck KGaA, Darmstadt, Germany, are complex, and certain provisions in such agreements may be susceptible to multiple interpretations. The resolution of any contract interpretation disagreement that may arise could narrow what we believe to be the scope of our rights to the relevant intellectual property or technology, or increase what we believe to be our financial or other obligations under the relevant agreement, either of which could have a material adverse effect on our business, financial condition, results of operations, and prospects. Moreover, if disputes over intellectual property that we license prevent or impair our ability to maintain our licensing arrangements on commercially acceptable terms, we may be unable to successfully develop and commercialize the affected product candidates, which could have a material adverse effect on our business, financial conditions, results of operations, and prospects.</w:t>
      </w:r>
      <w:r>
        <w:rPr>
          <w:rFonts w:ascii="Times New Roman" w:hAnsi="Times New Roman"/>
          <w:sz w:val="20"/>
        </w:rPr>
        <w:t xml:space="preserve"> </w:t>
      </w:r>
    </w:p>
    <w:p>
      <w:pPr>
        <w:pStyle w:val="TextBody"/>
        <w:spacing w:lineRule="auto" w:line="273" w:before="240" w:after="0"/>
        <w:jc w:val="left"/>
        <w:rPr>
          <w:rFonts w:ascii="Times New Roman" w:hAnsi="Times New Roman"/>
          <w:sz w:val="20"/>
        </w:rPr>
      </w:pPr>
      <w:r>
        <w:rPr>
          <w:rFonts w:ascii="Times New Roman" w:hAnsi="Times New Roman"/>
          <w:b w:val="false"/>
          <w:sz w:val="20"/>
        </w:rPr>
        <w:t>In spite of our best efforts, our licensors might conclude that we materially breached our license agreements and might therefore terminate the license agreements, thereby removing our ability to develop and commercialize products and technology covered by these license agreements. If these in-licenses are terminated, or if the underlying patents fail to provide the intended exclusivity, competitors would have the freedom to seek regulatory approval of, and to market, products identical to ours. This could have a material adverse effect on our competitive position, business, financial conditions, results of operations, and prospects.</w:t>
      </w:r>
      <w:r>
        <w:rPr>
          <w:rFonts w:ascii="Times New Roman" w:hAnsi="Times New Roman"/>
          <w:sz w:val="20"/>
        </w:rPr>
        <w:t xml:space="preserve"> </w:t>
      </w:r>
    </w:p>
    <w:p>
      <w:pPr>
        <w:pStyle w:val="TextBody"/>
        <w:spacing w:lineRule="auto" w:line="273" w:before="240" w:after="0"/>
        <w:jc w:val="left"/>
        <w:rPr>
          <w:rFonts w:ascii="Times New Roman" w:hAnsi="Times New Roman"/>
          <w:sz w:val="20"/>
        </w:rPr>
      </w:pPr>
      <w:r>
        <w:rPr>
          <w:rFonts w:ascii="Times New Roman" w:hAnsi="Times New Roman"/>
          <w:b w:val="false"/>
          <w:sz w:val="20"/>
        </w:rPr>
        <w:t>While we cannot currently determine the amount of the royalty obligations we would be required to pay on sales of future products, if any, the amounts may be significant. The amount of our future royalty obligations will depend on the technology and intellectual property we use in products that we successfully develop and commercialize, if any. Therefore, even if we successfully develop and commercialize products, we may be unable to achieve or maintain profitability.</w:t>
      </w:r>
      <w:r>
        <w:rPr>
          <w:rFonts w:ascii="Times New Roman" w:hAnsi="Times New Roman"/>
          <w:sz w:val="20"/>
        </w:rPr>
        <w:t xml:space="preserve"> </w:t>
      </w:r>
    </w:p>
    <w:p>
      <w:pPr>
        <w:pStyle w:val="TextBody"/>
        <w:spacing w:lineRule="auto" w:line="273" w:before="0" w:after="0"/>
        <w:jc w:val="center"/>
        <w:rPr>
          <w:rFonts w:ascii="Times New Roman" w:hAnsi="Times New Roman"/>
          <w:b w:val="false"/>
          <w:sz w:val="20"/>
        </w:rPr>
      </w:pPr>
      <w:r>
        <w:rPr>
          <w:rFonts w:ascii="Times New Roman" w:hAnsi="Times New Roman"/>
          <w:b w:val="false"/>
          <w:sz w:val="20"/>
        </w:rPr>
        <w:t>76</w:t>
      </w:r>
    </w:p>
    <w:p>
      <w:pPr>
        <w:pStyle w:val="HorizontalLine"/>
        <w:rPr/>
      </w:pPr>
      <w:r>
        <w:rPr/>
      </w:r>
    </w:p>
    <w:p>
      <w:pPr>
        <w:pStyle w:val="TextBody"/>
        <w:spacing w:lineRule="auto" w:line="273" w:before="0" w:after="0"/>
        <w:jc w:val="left"/>
        <w:rPr/>
      </w:pPr>
      <w:r>
        <w:rPr/>
        <w:t> </w:t>
      </w:r>
    </w:p>
    <w:p>
      <w:pPr>
        <w:pStyle w:val="TextBody"/>
        <w:spacing w:lineRule="auto" w:line="273" w:before="360" w:after="0"/>
        <w:jc w:val="left"/>
        <w:rPr>
          <w:rFonts w:ascii="Times New Roman" w:hAnsi="Times New Roman"/>
          <w:sz w:val="20"/>
        </w:rPr>
      </w:pPr>
      <w:r>
        <w:rPr>
          <w:rFonts w:ascii="Times New Roman" w:hAnsi="Times New Roman"/>
          <w:b/>
          <w:i/>
          <w:sz w:val="20"/>
        </w:rPr>
        <w:t>In the future, we may need to obtain additional licenses of third-party technology that may not be available to us or are available only on commercially unreasonable terms, and which may cause us to operate our business in a more costly or otherwise adverse manner that was not anticipated.</w:t>
      </w:r>
      <w:r>
        <w:rPr>
          <w:rFonts w:ascii="Times New Roman" w:hAnsi="Times New Roman"/>
          <w:sz w:val="20"/>
        </w:rPr>
        <w:t xml:space="preserve"> </w:t>
      </w:r>
    </w:p>
    <w:p>
      <w:pPr>
        <w:pStyle w:val="TextBody"/>
        <w:spacing w:lineRule="auto" w:line="273" w:before="120" w:after="0"/>
        <w:jc w:val="left"/>
        <w:rPr>
          <w:rFonts w:ascii="Times New Roman" w:hAnsi="Times New Roman"/>
          <w:sz w:val="20"/>
        </w:rPr>
      </w:pPr>
      <w:r>
        <w:rPr>
          <w:rFonts w:ascii="Times New Roman" w:hAnsi="Times New Roman"/>
          <w:b w:val="false"/>
          <w:sz w:val="20"/>
        </w:rPr>
        <w:t>We seek to expand our product candidate pipeline in part by in-licensing the rights to key technologies. The future growth of our business will depend in part on our ability to in-license or otherwise acquire the rights to additional product candidates or technologies. We cannot assure you that we will be able to in-license or acquire the rights to any product candidates or technologies from third parties on acceptable terms or at all.</w:t>
      </w:r>
      <w:r>
        <w:rPr>
          <w:rFonts w:ascii="Times New Roman" w:hAnsi="Times New Roman"/>
          <w:sz w:val="20"/>
        </w:rPr>
        <w:t xml:space="preserve"> </w:t>
      </w:r>
    </w:p>
    <w:p>
      <w:pPr>
        <w:pStyle w:val="TextBody"/>
        <w:spacing w:lineRule="auto" w:line="273" w:before="240" w:after="0"/>
        <w:jc w:val="left"/>
        <w:rPr>
          <w:rFonts w:ascii="Times New Roman" w:hAnsi="Times New Roman"/>
          <w:sz w:val="20"/>
        </w:rPr>
      </w:pPr>
      <w:r>
        <w:rPr>
          <w:rFonts w:ascii="Times New Roman" w:hAnsi="Times New Roman"/>
          <w:b w:val="false"/>
          <w:sz w:val="20"/>
        </w:rPr>
        <w:t>Other companies and academic institutions may also have filed or are planning to file patent applications potentially relevant to our business. From time to time, in order to avoid infringing these third-party patents, we may be required to license technology from third parties to further develop or commercialize our existing or future product candidates. Should we be required to obtain licenses to any third-party technology, including any such patents required to manufacture, use or sell our existing or future product candidates, such licenses may not be available to us on commercially reasonable terms, or at all. The inability to obtain any third-party license required to develop or commercialize any of our existing or future product candidates could cause us to abandon any related efforts, which could seriously harm our business and operations.</w:t>
      </w:r>
      <w:r>
        <w:rPr>
          <w:rFonts w:ascii="Times New Roman" w:hAnsi="Times New Roman"/>
          <w:sz w:val="20"/>
        </w:rPr>
        <w:t xml:space="preserve"> </w:t>
      </w:r>
    </w:p>
    <w:p>
      <w:pPr>
        <w:pStyle w:val="TextBody"/>
        <w:spacing w:lineRule="auto" w:line="273" w:before="240" w:after="0"/>
        <w:jc w:val="left"/>
        <w:rPr>
          <w:rFonts w:ascii="Times New Roman" w:hAnsi="Times New Roman"/>
          <w:sz w:val="20"/>
        </w:rPr>
      </w:pPr>
      <w:r>
        <w:rPr>
          <w:rFonts w:ascii="Times New Roman" w:hAnsi="Times New Roman"/>
          <w:b w:val="false"/>
          <w:sz w:val="20"/>
        </w:rPr>
        <w:t>The in-licensing and acquisition of these technologies is a competitive area, and a number of more established companies are also pursuing strategies to license or acquire product candidates or technologies that we may consider attractive. These established companies may have a competitive advantage over us due to their size, cash resources and greater clinical development and commercialization capabilities. In addition, companies that perceive us to be a competitor may be unwilling to license rights to us. Furthermore, we may be unable to identify suitable product candidates or technologies within our area of focus. If we are unable to successfully obtain rights to suitable product candidates or technologies, our business, financial condition and prospects could suffer.</w:t>
      </w:r>
      <w:r>
        <w:rPr>
          <w:rFonts w:ascii="Times New Roman" w:hAnsi="Times New Roman"/>
          <w:sz w:val="20"/>
        </w:rPr>
        <w:t xml:space="preserve"> </w:t>
      </w:r>
    </w:p>
    <w:p>
      <w:pPr>
        <w:pStyle w:val="TextBody"/>
        <w:spacing w:lineRule="auto" w:line="273" w:before="360" w:after="0"/>
        <w:jc w:val="left"/>
        <w:rPr>
          <w:rFonts w:ascii="Times New Roman" w:hAnsi="Times New Roman"/>
          <w:sz w:val="20"/>
        </w:rPr>
      </w:pPr>
      <w:r>
        <w:rPr>
          <w:rFonts w:ascii="Times New Roman" w:hAnsi="Times New Roman"/>
          <w:b/>
          <w:i/>
          <w:sz w:val="20"/>
        </w:rPr>
        <w:t>We may be involved in lawsuits to protect or enforce our own patents or our licensors’ patents, which could be expensive, time consuming and unsuccessful. Further, our own issued patents or our licensors’ patents could be found invalid or unenforceable if challenged in court.</w:t>
      </w:r>
      <w:r>
        <w:rPr>
          <w:rFonts w:ascii="Times New Roman" w:hAnsi="Times New Roman"/>
          <w:sz w:val="20"/>
        </w:rPr>
        <w:t xml:space="preserve"> </w:t>
      </w:r>
    </w:p>
    <w:p>
      <w:pPr>
        <w:pStyle w:val="TextBody"/>
        <w:spacing w:lineRule="auto" w:line="273" w:before="120" w:after="0"/>
        <w:jc w:val="left"/>
        <w:rPr>
          <w:rFonts w:ascii="Times New Roman" w:hAnsi="Times New Roman"/>
          <w:sz w:val="20"/>
        </w:rPr>
      </w:pPr>
      <w:r>
        <w:rPr>
          <w:rFonts w:ascii="Times New Roman" w:hAnsi="Times New Roman"/>
          <w:b w:val="false"/>
          <w:sz w:val="20"/>
        </w:rPr>
        <w:t>Competitors may infringe our intellectual property rights. To prevent infringement or unauthorized use, we may be required to file infringement claims, which can be expensive and time-consuming. In addition, in a patent infringement proceeding, a court may decide that a patent we own or in-license is not valid, is unenforceable and/or is not infringed. If we or any of our collaborators were to initiate legal proceedings against a third-party to enforce a patent directed at one of our product candidates, the defendant could counterclaim that our patent or the patent of our licensors is invalid and/or unenforceable in whole or in part. In patent litigation in the United States, defendant counterclaims alleging invalidity and/or unenforceability are commonplace. Grounds for a validity challenge include an alleged failure to meet any of several statutory requirements, including lack of novelty, obviousness, lack of sufficient written description, non-enablement, or obviousness-type double patenting. Grounds for an unenforceability assertion could include an allegation that someone connected with prosecution of the patent withheld relevant information from the USPTO or made a misleading statement during prosecution.</w:t>
      </w:r>
      <w:r>
        <w:rPr>
          <w:rFonts w:ascii="Times New Roman" w:hAnsi="Times New Roman"/>
          <w:sz w:val="20"/>
        </w:rPr>
        <w:t xml:space="preserve"> </w:t>
      </w:r>
    </w:p>
    <w:p>
      <w:pPr>
        <w:pStyle w:val="TextBody"/>
        <w:spacing w:lineRule="auto" w:line="273" w:before="240" w:after="0"/>
        <w:jc w:val="left"/>
        <w:rPr>
          <w:rFonts w:ascii="Times New Roman" w:hAnsi="Times New Roman"/>
          <w:sz w:val="20"/>
        </w:rPr>
      </w:pPr>
      <w:r>
        <w:rPr>
          <w:rFonts w:ascii="Times New Roman" w:hAnsi="Times New Roman"/>
          <w:b w:val="false"/>
          <w:sz w:val="20"/>
        </w:rPr>
        <w:t>Third parties may also raise similar invalidity claims before the USPTO or patent offices abroad, even outside the context of litigation. Such mechanisms include re-examination, PGR, IPR, derivation proceedings, and equivalent proceedings in foreign jurisdictions (e.g., opposition proceedings). The outcome following legal assertions of invalidity and/or unenforceability is unpredictable. With respect to the validity question, for example, we cannot be certain that there is no invalidating prior art, of which we, our licensors, and the patent examiners are unaware during prosecution. There is also no assurance that there is not prior art of which we are aware, but which we do not believe affects the validity or enforceability of a claim in our patents and patent applications or the patents and patent applications of our licensors, which may, nonetheless, ultimately be found to affect the validity or enforceability of a claim. If a third-party were to prevail on a legal assertion of invalidity or unenforceability, we would lose at least part, and perhaps all, of the patent protection on our technology, or any product candidates that we may develop. Such a loss of patent protection would have a material adverse impact on our business, financial condition, results of operations and prospects.</w:t>
      </w:r>
      <w:r>
        <w:rPr>
          <w:rFonts w:ascii="Times New Roman" w:hAnsi="Times New Roman"/>
          <w:sz w:val="20"/>
        </w:rPr>
        <w:t xml:space="preserve"> </w:t>
      </w:r>
    </w:p>
    <w:p>
      <w:pPr>
        <w:pStyle w:val="TextBody"/>
        <w:spacing w:lineRule="auto" w:line="273" w:before="240" w:after="0"/>
        <w:jc w:val="left"/>
        <w:rPr>
          <w:rFonts w:ascii="Times New Roman" w:hAnsi="Times New Roman"/>
          <w:sz w:val="20"/>
        </w:rPr>
      </w:pPr>
      <w:r>
        <w:rPr>
          <w:rFonts w:ascii="Times New Roman" w:hAnsi="Times New Roman"/>
          <w:b w:val="false"/>
          <w:sz w:val="20"/>
        </w:rPr>
        <w:t>In addition, if the breadth or strength of protection provided by our patents and patent applications or the patents and patent applications of our licensors is threatened, it could dissuade companies from collaborating with us to license, develop or commercialize current or future product candidates.</w:t>
      </w:r>
      <w:r>
        <w:rPr>
          <w:rFonts w:ascii="Times New Roman" w:hAnsi="Times New Roman"/>
          <w:sz w:val="20"/>
        </w:rPr>
        <w:t xml:space="preserve"> </w:t>
      </w:r>
    </w:p>
    <w:p>
      <w:pPr>
        <w:pStyle w:val="TextBody"/>
        <w:spacing w:lineRule="auto" w:line="273" w:before="0" w:after="0"/>
        <w:jc w:val="center"/>
        <w:rPr>
          <w:rFonts w:ascii="Times New Roman" w:hAnsi="Times New Roman"/>
          <w:b w:val="false"/>
          <w:sz w:val="20"/>
        </w:rPr>
      </w:pPr>
      <w:r>
        <w:rPr>
          <w:rFonts w:ascii="Times New Roman" w:hAnsi="Times New Roman"/>
          <w:b w:val="false"/>
          <w:sz w:val="20"/>
        </w:rPr>
        <w:t>77</w:t>
      </w:r>
    </w:p>
    <w:p>
      <w:pPr>
        <w:pStyle w:val="HorizontalLine"/>
        <w:rPr/>
      </w:pPr>
      <w:r>
        <w:rPr/>
      </w:r>
    </w:p>
    <w:p>
      <w:pPr>
        <w:pStyle w:val="TextBody"/>
        <w:spacing w:lineRule="auto" w:line="273" w:before="0" w:after="0"/>
        <w:jc w:val="left"/>
        <w:rPr/>
      </w:pPr>
      <w:r>
        <w:rPr/>
        <w:t> </w:t>
      </w:r>
    </w:p>
    <w:p>
      <w:pPr>
        <w:pStyle w:val="TextBody"/>
        <w:spacing w:lineRule="auto" w:line="273" w:before="240" w:after="0"/>
        <w:jc w:val="left"/>
        <w:rPr>
          <w:rFonts w:ascii="Times New Roman" w:hAnsi="Times New Roman"/>
          <w:sz w:val="20"/>
        </w:rPr>
      </w:pPr>
      <w:r>
        <w:rPr>
          <w:rFonts w:ascii="Times New Roman" w:hAnsi="Times New Roman"/>
          <w:b w:val="false"/>
          <w:sz w:val="20"/>
        </w:rPr>
        <w:t>Even if resolved in our favor, litigation or other legal proceedings relating to our intellectual property rights may cause us to incur significant expenses, and could distract our technical and management personnel from their normal responsibilities. Such litigation or proceedings could substantially increase our operating costs and reduce the resources available for development activities or any future sales, marketing or distribution activities. We may not have sufficient financial or other resources to conduct such litigation or proceedings adequately. Some of our competitors may be able to sustain the costs of such litigation or proceedings more effectively than we can because of their greater financial resources. Uncertainties resulting from the initiation and continuation of patent litigation or other proceedings could compromise our ability to compete in the marketplace.</w:t>
      </w:r>
      <w:r>
        <w:rPr>
          <w:rFonts w:ascii="Times New Roman" w:hAnsi="Times New Roman"/>
          <w:sz w:val="20"/>
        </w:rPr>
        <w:t xml:space="preserve"> </w:t>
      </w:r>
    </w:p>
    <w:p>
      <w:pPr>
        <w:pStyle w:val="TextBody"/>
        <w:spacing w:lineRule="auto" w:line="273" w:before="240" w:after="0"/>
        <w:jc w:val="left"/>
        <w:rPr>
          <w:rFonts w:ascii="Times New Roman" w:hAnsi="Times New Roman"/>
          <w:sz w:val="20"/>
        </w:rPr>
      </w:pPr>
      <w:r>
        <w:rPr>
          <w:rFonts w:ascii="Times New Roman" w:hAnsi="Times New Roman"/>
          <w:b w:val="false"/>
          <w:sz w:val="20"/>
        </w:rPr>
        <w:t>Furthermore, because of the substantial amount of discovery required in connection with intellectual property litigation or other legal proceedings relating to our intellectual property rights, there is a risk that some of our confidential information could be compromised by disclosure during this type of litigation or other proceedings.</w:t>
      </w:r>
      <w:r>
        <w:rPr>
          <w:rFonts w:ascii="Times New Roman" w:hAnsi="Times New Roman"/>
          <w:sz w:val="20"/>
        </w:rPr>
        <w:t xml:space="preserve"> </w:t>
      </w:r>
    </w:p>
    <w:p>
      <w:pPr>
        <w:pStyle w:val="TextBody"/>
        <w:spacing w:lineRule="auto" w:line="273" w:before="360" w:after="0"/>
        <w:jc w:val="left"/>
        <w:rPr>
          <w:rFonts w:ascii="Times New Roman" w:hAnsi="Times New Roman"/>
          <w:sz w:val="20"/>
        </w:rPr>
      </w:pPr>
      <w:r>
        <w:rPr>
          <w:rFonts w:ascii="Times New Roman" w:hAnsi="Times New Roman"/>
          <w:b/>
          <w:i/>
          <w:sz w:val="20"/>
        </w:rPr>
        <w:t>Intellectual property litigation may lead to unfavorable publicity that harms our reputation and causes the market price of our common shares to decline.</w:t>
      </w:r>
      <w:r>
        <w:rPr>
          <w:rFonts w:ascii="Times New Roman" w:hAnsi="Times New Roman"/>
          <w:sz w:val="20"/>
        </w:rPr>
        <w:t xml:space="preserve"> </w:t>
      </w:r>
    </w:p>
    <w:p>
      <w:pPr>
        <w:pStyle w:val="TextBody"/>
        <w:spacing w:lineRule="auto" w:line="273" w:before="120" w:after="0"/>
        <w:jc w:val="left"/>
        <w:rPr>
          <w:rFonts w:ascii="Times New Roman" w:hAnsi="Times New Roman"/>
          <w:sz w:val="20"/>
        </w:rPr>
      </w:pPr>
      <w:r>
        <w:rPr>
          <w:rFonts w:ascii="Times New Roman" w:hAnsi="Times New Roman"/>
          <w:b w:val="false"/>
          <w:sz w:val="20"/>
        </w:rPr>
        <w:t>During the course of any intellectual property litigation, there could be public announcements of the initiation of the litigation as well as results of hearings, rulings on motions, and other interim proceedings or developments in the litigation. If securities analysts or investors regard these announcements as negative, the perceived value of our existing product candidates, approved products, programs or intellectual property could be diminished. Accordingly, the market price of shares of our common stock may decline. Such announcements could also harm our reputation or the market for our product candidates, which could have a material adverse effect on our business.</w:t>
      </w:r>
      <w:r>
        <w:rPr>
          <w:rFonts w:ascii="Times New Roman" w:hAnsi="Times New Roman"/>
          <w:sz w:val="20"/>
        </w:rPr>
        <w:t xml:space="preserve"> </w:t>
      </w:r>
    </w:p>
    <w:p>
      <w:pPr>
        <w:pStyle w:val="TextBody"/>
        <w:spacing w:lineRule="auto" w:line="273" w:before="360" w:after="0"/>
        <w:jc w:val="left"/>
        <w:rPr>
          <w:rFonts w:ascii="Times New Roman" w:hAnsi="Times New Roman"/>
          <w:sz w:val="20"/>
        </w:rPr>
      </w:pPr>
      <w:r>
        <w:rPr>
          <w:rFonts w:ascii="Times New Roman" w:hAnsi="Times New Roman"/>
          <w:b/>
          <w:i/>
          <w:sz w:val="20"/>
        </w:rPr>
        <w:t>Derivation proceedings may be necessary to determine priority of inventions, and an unfavorable outcome may require us to cease using the related technology or to attempt to license rights from the prevailing party.</w:t>
      </w:r>
      <w:r>
        <w:rPr>
          <w:rFonts w:ascii="Times New Roman" w:hAnsi="Times New Roman"/>
          <w:sz w:val="20"/>
        </w:rPr>
        <w:t xml:space="preserve"> </w:t>
      </w:r>
    </w:p>
    <w:p>
      <w:pPr>
        <w:pStyle w:val="TextBody"/>
        <w:spacing w:lineRule="auto" w:line="273" w:before="120" w:after="0"/>
        <w:jc w:val="left"/>
        <w:rPr>
          <w:rFonts w:ascii="Times New Roman" w:hAnsi="Times New Roman"/>
          <w:sz w:val="20"/>
        </w:rPr>
      </w:pPr>
      <w:r>
        <w:rPr>
          <w:rFonts w:ascii="Times New Roman" w:hAnsi="Times New Roman"/>
          <w:b w:val="false"/>
          <w:sz w:val="20"/>
        </w:rPr>
        <w:t>Derivation proceedings provoked by third parties or brought by us or declared by the USPTO may be necessary to determine the priority of inventions with respect to our patents or patent applications or those of our licensors. An unfavorable outcome could require us to cease using the related technology or to attempt to license rights to it from the prevailing party. Our business could be harmed if the prevailing party does not offer us a license on commercially reasonable terms. Our defense of derivation proceedings may fail and, even if successful, may result in substantial costs and distract our management and other employees. In addition, the uncertainties associated with such proceedings could have a material adverse effect on our ability to raise the funds necessary to continue our clinical trials, continue our development programs, license necessary technology from third parties or enter into development or manufacturing partnerships that would help us bring our product candidates to market.</w:t>
      </w:r>
      <w:r>
        <w:rPr>
          <w:rFonts w:ascii="Times New Roman" w:hAnsi="Times New Roman"/>
          <w:sz w:val="20"/>
        </w:rPr>
        <w:t xml:space="preserve"> </w:t>
      </w:r>
    </w:p>
    <w:p>
      <w:pPr>
        <w:pStyle w:val="TextBody"/>
        <w:spacing w:lineRule="auto" w:line="273" w:before="360" w:after="0"/>
        <w:jc w:val="left"/>
        <w:rPr>
          <w:rFonts w:ascii="Times New Roman" w:hAnsi="Times New Roman"/>
          <w:sz w:val="20"/>
        </w:rPr>
      </w:pPr>
      <w:r>
        <w:rPr>
          <w:rFonts w:ascii="Times New Roman" w:hAnsi="Times New Roman"/>
          <w:b/>
          <w:i/>
          <w:sz w:val="20"/>
        </w:rPr>
        <w:t>Because of the expense and uncertainty of litigation, we may not be in a position to enforce our intellectual property rights against third parties.</w:t>
      </w:r>
      <w:r>
        <w:rPr>
          <w:rFonts w:ascii="Times New Roman" w:hAnsi="Times New Roman"/>
          <w:sz w:val="20"/>
        </w:rPr>
        <w:t xml:space="preserve"> </w:t>
      </w:r>
    </w:p>
    <w:p>
      <w:pPr>
        <w:pStyle w:val="TextBody"/>
        <w:spacing w:lineRule="auto" w:line="273" w:before="120" w:after="0"/>
        <w:jc w:val="left"/>
        <w:rPr>
          <w:rFonts w:ascii="Times New Roman" w:hAnsi="Times New Roman"/>
          <w:sz w:val="20"/>
        </w:rPr>
      </w:pPr>
      <w:r>
        <w:rPr>
          <w:rFonts w:ascii="Times New Roman" w:hAnsi="Times New Roman"/>
          <w:b w:val="false"/>
          <w:sz w:val="20"/>
        </w:rPr>
        <w:t>Because of the expense and uncertainty of litigation, we may conclude that even if a third party is infringing our issued patent, any patents that may be issued as a result of our pending or future patent applications or other intellectual property rights, the risk-adjusted cost of bringing and enforcing such a claim or action may be too high or not in the best interest of our company or our stockholders, or it may be otherwise impractical or undesirable to enforce our intellectual property against some third parties. Our competitors or other third parties may be able to sustain the costs of complex patent litigation or proceedings more effectively than we can because of their greater financial resources and more mature and developed intellectual property portfolios. In such cases, we may decide that the more prudent course of action is to simply monitor the situation or initiate or seek some other non-litigious action or solution. In addition, the uncertainties associated with litigation could compromise our ability to raise the funds necessary to continue our product development, in-license needed technology, or enter into development partnerships that would help us bring our product candidates to market.</w:t>
      </w:r>
      <w:r>
        <w:rPr>
          <w:rFonts w:ascii="Times New Roman" w:hAnsi="Times New Roman"/>
          <w:sz w:val="20"/>
        </w:rPr>
        <w:t xml:space="preserve"> </w:t>
      </w:r>
    </w:p>
    <w:p>
      <w:pPr>
        <w:pStyle w:val="TextBody"/>
        <w:spacing w:lineRule="auto" w:line="273" w:before="0" w:after="0"/>
        <w:jc w:val="center"/>
        <w:rPr>
          <w:rFonts w:ascii="Times New Roman" w:hAnsi="Times New Roman"/>
          <w:b w:val="false"/>
          <w:sz w:val="20"/>
        </w:rPr>
      </w:pPr>
      <w:r>
        <w:rPr>
          <w:rFonts w:ascii="Times New Roman" w:hAnsi="Times New Roman"/>
          <w:b w:val="false"/>
          <w:sz w:val="20"/>
        </w:rPr>
        <w:t>78</w:t>
      </w:r>
    </w:p>
    <w:p>
      <w:pPr>
        <w:pStyle w:val="HorizontalLine"/>
        <w:rPr/>
      </w:pPr>
      <w:r>
        <w:rPr/>
      </w:r>
    </w:p>
    <w:p>
      <w:pPr>
        <w:pStyle w:val="TextBody"/>
        <w:spacing w:lineRule="auto" w:line="273" w:before="0" w:after="0"/>
        <w:jc w:val="left"/>
        <w:rPr/>
      </w:pPr>
      <w:r>
        <w:rPr/>
        <w:t> </w:t>
      </w:r>
    </w:p>
    <w:p>
      <w:pPr>
        <w:pStyle w:val="TextBody"/>
        <w:spacing w:lineRule="auto" w:line="273" w:before="360" w:after="0"/>
        <w:jc w:val="left"/>
        <w:rPr>
          <w:rFonts w:ascii="Times New Roman" w:hAnsi="Times New Roman"/>
          <w:sz w:val="20"/>
        </w:rPr>
      </w:pPr>
      <w:r>
        <w:rPr>
          <w:rFonts w:ascii="Times New Roman" w:hAnsi="Times New Roman"/>
          <w:b/>
          <w:i/>
          <w:sz w:val="20"/>
        </w:rPr>
        <w:t>Recent patent reform legislation could increase the uncertainties and costs surrounding the prosecution of our patent applications and/or those of our licensors and the enforcement or defense of our issued patents and/or those of our licensors.</w:t>
      </w:r>
      <w:r>
        <w:rPr>
          <w:rFonts w:ascii="Times New Roman" w:hAnsi="Times New Roman"/>
          <w:sz w:val="20"/>
        </w:rPr>
        <w:t xml:space="preserve"> </w:t>
      </w:r>
    </w:p>
    <w:p>
      <w:pPr>
        <w:pStyle w:val="TextBody"/>
        <w:spacing w:lineRule="auto" w:line="273" w:before="120" w:after="0"/>
        <w:jc w:val="left"/>
        <w:rPr>
          <w:rFonts w:ascii="Times New Roman" w:hAnsi="Times New Roman"/>
          <w:sz w:val="20"/>
        </w:rPr>
      </w:pPr>
      <w:r>
        <w:rPr>
          <w:rFonts w:ascii="Times New Roman" w:hAnsi="Times New Roman"/>
          <w:b w:val="false"/>
          <w:sz w:val="20"/>
        </w:rPr>
        <w:t>On September 16, 2011, the Leahy-Smith America Invents Act, or the Leahy-Smith Act, was signed into law. The Leahy-Smith Act includes a number of significant changes to U.S. patent law. These include provisions that affect the way patent applications will be prosecuted and may also affect patent litigation. In particular, under the Leahy-Smith Act, the United States transitioned in March 2013 to a “first inventor to file” system in which, assuming that other requirements of patentability are met, the first inventor to file a patent application will be entitled to the patent regardless of whether a third-party was first to invent the claimed invention. A third-party that files a patent application in the USPTO after March 2013 but before us could therefore be awarded a patent covering an invention of ours even if we had made the invention before it was made by such third-party. This will require us to be cognizant going forward of the time from invention to filing of a patent application. Furthermore, our ability to obtain and maintain valid and enforceable patents depends on whether the differences between our technology and the prior art allow our technology to be patentable over the prior art. Since patent applications in the United States and most other countries are confidential for a period of time after filing or until issuance, we may not be certain that we or our licensors are the first to either (1) file any patent application related to our product candidates or (2) invent any of the inventions claimed in the patents or patent applications.</w:t>
      </w:r>
      <w:r>
        <w:rPr>
          <w:rFonts w:ascii="Times New Roman" w:hAnsi="Times New Roman"/>
          <w:sz w:val="20"/>
        </w:rPr>
        <w:t xml:space="preserve"> </w:t>
      </w:r>
    </w:p>
    <w:p>
      <w:pPr>
        <w:pStyle w:val="TextBody"/>
        <w:spacing w:lineRule="auto" w:line="273" w:before="240" w:after="0"/>
        <w:jc w:val="left"/>
        <w:rPr>
          <w:rFonts w:ascii="Times New Roman" w:hAnsi="Times New Roman"/>
          <w:sz w:val="20"/>
        </w:rPr>
      </w:pPr>
      <w:r>
        <w:rPr>
          <w:rFonts w:ascii="Times New Roman" w:hAnsi="Times New Roman"/>
          <w:b w:val="false"/>
          <w:sz w:val="20"/>
        </w:rPr>
        <w:t>The Leahy-Smith Act also includes a number of significant changes that affect the way patent applications will be prosecuted and also may affect patent litigation. These include allowing third-party submission of prior art to the USPTO during patent prosecution and additional procedures to attack the validity of a patent by USPTO administered post-grant proceedings, including PGR, IPR, and derivation proceedings. An adverse determination in any such submission or proceeding could reduce the scope or enforceability of, or invalidate, our patent rights, which could adversely affect our competitive position.</w:t>
      </w:r>
      <w:r>
        <w:rPr>
          <w:rFonts w:ascii="Times New Roman" w:hAnsi="Times New Roman"/>
          <w:sz w:val="20"/>
        </w:rPr>
        <w:t xml:space="preserve"> </w:t>
      </w:r>
    </w:p>
    <w:p>
      <w:pPr>
        <w:pStyle w:val="TextBody"/>
        <w:spacing w:lineRule="auto" w:line="273" w:before="240" w:after="0"/>
        <w:jc w:val="left"/>
        <w:rPr>
          <w:rFonts w:ascii="Times New Roman" w:hAnsi="Times New Roman"/>
          <w:sz w:val="20"/>
        </w:rPr>
      </w:pPr>
      <w:r>
        <w:rPr>
          <w:rFonts w:ascii="Times New Roman" w:hAnsi="Times New Roman"/>
          <w:b w:val="false"/>
          <w:sz w:val="20"/>
        </w:rPr>
        <w:t>Because of a lower evidentiary standard in USPTO proceedings compared to the evidentiary standard in United States federal courts necessary to invalidate a patent claim, a third-party could potentially provide evidence in a USPTO proceeding sufficient for the USPTO to hold a claim invalid even though the same evidence would be insufficient to invalidate the claim if first presented in a district court action. Accordingly, a third-party may attempt to use the USPTO procedures to invalidate our patent claims that would not have been invalidated if first challenged by the third-party as a defendant in a district court action. Thus, the Leahy-Smith Act and its implementation could increase the uncertainties and costs surrounding the prosecution of our patent applications and/or those of our licensors and the enforcement or defense of our issued patents or those of our licensors, all of which could have a material adverse effect on our business, financial condition, results of operations and prospects.</w:t>
      </w:r>
      <w:r>
        <w:rPr>
          <w:rFonts w:ascii="Times New Roman" w:hAnsi="Times New Roman"/>
          <w:sz w:val="20"/>
        </w:rPr>
        <w:t xml:space="preserve"> </w:t>
      </w:r>
    </w:p>
    <w:p>
      <w:pPr>
        <w:pStyle w:val="TextBody"/>
        <w:spacing w:lineRule="auto" w:line="273" w:before="360" w:after="0"/>
        <w:jc w:val="left"/>
        <w:rPr>
          <w:rFonts w:ascii="Times New Roman" w:hAnsi="Times New Roman"/>
          <w:sz w:val="20"/>
        </w:rPr>
      </w:pPr>
      <w:r>
        <w:rPr>
          <w:rFonts w:ascii="Times New Roman" w:hAnsi="Times New Roman"/>
          <w:b/>
          <w:i/>
          <w:sz w:val="20"/>
        </w:rPr>
        <w:t>Changes in U.S. patent law, or laws in other countries, could diminish the value of patents in general, thereby impairing our ability to protect our product candidates.</w:t>
      </w:r>
      <w:r>
        <w:rPr>
          <w:rFonts w:ascii="Times New Roman" w:hAnsi="Times New Roman"/>
          <w:sz w:val="20"/>
        </w:rPr>
        <w:t xml:space="preserve"> </w:t>
      </w:r>
    </w:p>
    <w:p>
      <w:pPr>
        <w:pStyle w:val="TextBody"/>
        <w:spacing w:lineRule="auto" w:line="273" w:before="120" w:after="0"/>
        <w:jc w:val="left"/>
        <w:rPr>
          <w:rFonts w:ascii="Times New Roman" w:hAnsi="Times New Roman"/>
          <w:sz w:val="20"/>
        </w:rPr>
      </w:pPr>
      <w:r>
        <w:rPr>
          <w:rFonts w:ascii="Times New Roman" w:hAnsi="Times New Roman"/>
          <w:b w:val="false"/>
          <w:sz w:val="20"/>
        </w:rPr>
        <w:t>As is the case with other pharmaceutical companies, our success is heavily dependent on intellectual property, particularly patents. Obtaining and enforcing patents in the biopharmaceutical industry involve a high degree of technological and legal complexity. Therefore, obtaining and enforcing biopharmaceutical patents is costly, time consuming and inherently uncertain. Changes in either the patent laws or in the interpretations of patent laws in the United States and other countries may diminish the value of our intellectual property and may increase the uncertainties and costs surrounding the prosecution of patent applications and the enforcement or defense of issued patents. We cannot predict the breadth of claims that may be allowed or enforced in our patents or in third-party patents. In addition, Congress or other foreign legislative bodies may pass patent reform legislation that is unfavorable to us.</w:t>
      </w:r>
      <w:r>
        <w:rPr>
          <w:rFonts w:ascii="Times New Roman" w:hAnsi="Times New Roman"/>
          <w:sz w:val="20"/>
        </w:rPr>
        <w:t xml:space="preserve"> </w:t>
      </w:r>
    </w:p>
    <w:p>
      <w:pPr>
        <w:pStyle w:val="TextBody"/>
        <w:spacing w:lineRule="auto" w:line="273" w:before="240" w:after="0"/>
        <w:jc w:val="left"/>
        <w:rPr>
          <w:rFonts w:ascii="Times New Roman" w:hAnsi="Times New Roman"/>
          <w:sz w:val="20"/>
        </w:rPr>
      </w:pPr>
      <w:r>
        <w:rPr>
          <w:rFonts w:ascii="Times New Roman" w:hAnsi="Times New Roman"/>
          <w:b w:val="false"/>
          <w:sz w:val="20"/>
        </w:rPr>
        <w:t>For example, the U.S. Supreme Court has ruled on several patent cases in recent years, either narrowing the scope of patent protection available in certain circumstances or weakening the rights of patent owners in certain situations. In addition to increasing uncertainty with regard to our ability to obtain patents in the future, this combination of events has created uncertainty with respect to the value of patents, once obtained. Depending on decisions by the U.S. Congress, the U.S. federal courts, the USPTO, or similar authorities in foreign jurisdictions, the laws and regulations governing patents could change in unpredictable ways that would weaken our ability to obtain new patents or to enforce our existing patent and the patents we might obtain or license in the future.</w:t>
      </w:r>
      <w:r>
        <w:rPr>
          <w:rFonts w:ascii="Times New Roman" w:hAnsi="Times New Roman"/>
          <w:sz w:val="20"/>
        </w:rPr>
        <w:t xml:space="preserve"> </w:t>
      </w:r>
    </w:p>
    <w:p>
      <w:pPr>
        <w:pStyle w:val="TextBody"/>
        <w:spacing w:lineRule="auto" w:line="273" w:before="0" w:after="0"/>
        <w:jc w:val="center"/>
        <w:rPr>
          <w:rFonts w:ascii="Times New Roman" w:hAnsi="Times New Roman"/>
          <w:b w:val="false"/>
          <w:sz w:val="20"/>
        </w:rPr>
      </w:pPr>
      <w:r>
        <w:rPr>
          <w:rFonts w:ascii="Times New Roman" w:hAnsi="Times New Roman"/>
          <w:b w:val="false"/>
          <w:sz w:val="20"/>
        </w:rPr>
        <w:t>79</w:t>
      </w:r>
    </w:p>
    <w:p>
      <w:pPr>
        <w:pStyle w:val="HorizontalLine"/>
        <w:rPr/>
      </w:pPr>
      <w:r>
        <w:rPr/>
      </w:r>
    </w:p>
    <w:p>
      <w:pPr>
        <w:pStyle w:val="TextBody"/>
        <w:spacing w:lineRule="auto" w:line="273" w:before="0" w:after="0"/>
        <w:jc w:val="left"/>
        <w:rPr/>
      </w:pPr>
      <w:r>
        <w:rPr/>
        <w:t> </w:t>
      </w:r>
    </w:p>
    <w:p>
      <w:pPr>
        <w:pStyle w:val="TextBody"/>
        <w:spacing w:lineRule="auto" w:line="273" w:before="360" w:after="0"/>
        <w:jc w:val="left"/>
        <w:rPr>
          <w:rFonts w:ascii="Times New Roman" w:hAnsi="Times New Roman"/>
          <w:sz w:val="20"/>
        </w:rPr>
      </w:pPr>
      <w:r>
        <w:rPr>
          <w:rFonts w:ascii="Times New Roman" w:hAnsi="Times New Roman"/>
          <w:b/>
          <w:i/>
          <w:sz w:val="20"/>
        </w:rPr>
        <w:t>We may be subject to claims challenging the inventorship or ownership of our patents and other intellectual property.</w:t>
      </w:r>
      <w:r>
        <w:rPr>
          <w:rFonts w:ascii="Times New Roman" w:hAnsi="Times New Roman"/>
          <w:sz w:val="20"/>
        </w:rPr>
        <w:t xml:space="preserve"> </w:t>
      </w:r>
    </w:p>
    <w:p>
      <w:pPr>
        <w:pStyle w:val="TextBody"/>
        <w:spacing w:lineRule="auto" w:line="273" w:before="120" w:after="0"/>
        <w:jc w:val="left"/>
        <w:rPr>
          <w:rFonts w:ascii="Times New Roman" w:hAnsi="Times New Roman"/>
          <w:sz w:val="20"/>
        </w:rPr>
      </w:pPr>
      <w:r>
        <w:rPr>
          <w:rFonts w:ascii="Times New Roman" w:hAnsi="Times New Roman"/>
          <w:b w:val="false"/>
          <w:sz w:val="20"/>
        </w:rPr>
        <w:t>We and/or our licensors may be subject to claims that former employees, collaborators or other third parties have an interest in our patents or other intellectual property as an inventor or co-inventor. In addition, we cannot assure you that all inventors have been or will be identified by us and/or by our collaborators despite diligent effort. The failure to name the proper inventors on a patent application can result in the patents issuing thereon being unenforceable. Inventorship disputes may arise from conflicting views regarding the contributions of different individuals named as inventors, the effects of foreign laws where foreign nationals are involved in the development of the subject matter of the patent, conflicting obligations of third parties involved in developing our product candidates or as a result of questions regarding co-ownership of potential joint inventions. Litigation may be necessary to resolve these and other claims challenging inventorship and/or ownership. Alternatively, or additionally, we may enter into agreements to clarify the scope of our rights in such intellectual property. If we fail in defending any such claims, in addition to paying monetary damages, we may lose valuable intellectual property rights, such as exclusive ownership of, or right to use, valuable intellectual property. Such an outcome could have a material adverse effect on our business. Even if we are successful in defending against such claims, litigation could result in substantial costs and be a distraction to management and other employees.</w:t>
      </w:r>
      <w:r>
        <w:rPr>
          <w:rFonts w:ascii="Times New Roman" w:hAnsi="Times New Roman"/>
          <w:sz w:val="20"/>
        </w:rPr>
        <w:t xml:space="preserve"> </w:t>
      </w:r>
    </w:p>
    <w:p>
      <w:pPr>
        <w:pStyle w:val="TextBody"/>
        <w:spacing w:lineRule="auto" w:line="273" w:before="240" w:after="0"/>
        <w:jc w:val="left"/>
        <w:rPr>
          <w:rFonts w:ascii="Times New Roman" w:hAnsi="Times New Roman"/>
          <w:sz w:val="20"/>
        </w:rPr>
      </w:pPr>
      <w:r>
        <w:rPr>
          <w:rFonts w:ascii="Times New Roman" w:hAnsi="Times New Roman"/>
          <w:b w:val="false"/>
          <w:sz w:val="20"/>
        </w:rPr>
        <w:t>Our licensors may have relied on third-party consultants or collaborators such that our licensors are not the sole and exclusive owners of the patents we in-licensed. If other third parties have ownership rights or other rights to our in-licensed patents, they may be able to license such patents to our competitors, and our competitors could market competing products. This could have a material adverse effect on our competitive position, business, financial conditions, results of operations, and prospects.</w:t>
      </w:r>
      <w:r>
        <w:rPr>
          <w:rFonts w:ascii="Times New Roman" w:hAnsi="Times New Roman"/>
          <w:sz w:val="20"/>
        </w:rPr>
        <w:t xml:space="preserve"> </w:t>
      </w:r>
    </w:p>
    <w:p>
      <w:pPr>
        <w:pStyle w:val="TextBody"/>
        <w:spacing w:lineRule="auto" w:line="273" w:before="240" w:after="0"/>
        <w:jc w:val="left"/>
        <w:rPr>
          <w:rFonts w:ascii="Times New Roman" w:hAnsi="Times New Roman"/>
          <w:sz w:val="20"/>
        </w:rPr>
      </w:pPr>
      <w:r>
        <w:rPr>
          <w:rFonts w:ascii="Times New Roman" w:hAnsi="Times New Roman"/>
          <w:b w:val="false"/>
          <w:sz w:val="20"/>
        </w:rPr>
        <w:t>In addition, while it is our policy to require our employees and contractors who may be involved in the conception or development of intellectual property to execute agreements assigning such intellectual property to us, we may be unsuccessful in executing such an agreement with each party who, in fact, conceives or develops intellectual property that we regard as our own. The assignment of intellectual property rights may not be self-executing, or the assignment agreements may be breached, and we may be forced to bring claims against third parties, or defend claims that they may bring against us, to determine the ownership of what we regard as our intellectual property. Such claims could have a material adverse effect on our business, financial condition, results of operations, and prospects.</w:t>
      </w:r>
      <w:r>
        <w:rPr>
          <w:rFonts w:ascii="Times New Roman" w:hAnsi="Times New Roman"/>
          <w:sz w:val="20"/>
        </w:rPr>
        <w:t xml:space="preserve"> </w:t>
      </w:r>
    </w:p>
    <w:p>
      <w:pPr>
        <w:pStyle w:val="TextBody"/>
        <w:spacing w:lineRule="auto" w:line="273" w:before="360" w:after="0"/>
        <w:jc w:val="left"/>
        <w:rPr>
          <w:rFonts w:ascii="Times New Roman" w:hAnsi="Times New Roman"/>
          <w:sz w:val="20"/>
        </w:rPr>
      </w:pPr>
      <w:r>
        <w:rPr>
          <w:rFonts w:ascii="Times New Roman" w:hAnsi="Times New Roman"/>
          <w:b/>
          <w:i/>
          <w:sz w:val="20"/>
        </w:rPr>
        <w:t>Patent terms may be inadequate to protect our competitive position on our product candidates for an adequate amount of time.</w:t>
      </w:r>
      <w:r>
        <w:rPr>
          <w:rFonts w:ascii="Times New Roman" w:hAnsi="Times New Roman"/>
          <w:sz w:val="20"/>
        </w:rPr>
        <w:t xml:space="preserve"> </w:t>
      </w:r>
    </w:p>
    <w:p>
      <w:pPr>
        <w:pStyle w:val="TextBody"/>
        <w:spacing w:lineRule="auto" w:line="273" w:before="120" w:after="0"/>
        <w:jc w:val="left"/>
        <w:rPr>
          <w:rFonts w:ascii="Times New Roman" w:hAnsi="Times New Roman"/>
          <w:sz w:val="20"/>
        </w:rPr>
      </w:pPr>
      <w:r>
        <w:rPr>
          <w:rFonts w:ascii="Times New Roman" w:hAnsi="Times New Roman"/>
          <w:b w:val="false"/>
          <w:sz w:val="20"/>
        </w:rPr>
        <w:t>Patents have a limited lifespan. In the United States, if all maintenance fees are timely paid, the natural expiration of a patent is generally 20 years from its earliest U.S. non-provisional filing date. Various extensions may be available, but the life of a patent, and the protection it affords, is limited. Even if patents covering our product candidates are obtained, once the patent life has expired, we may be open to competition from competitive products. Given the amount of time required for the development, testing and regulatory review of new product candidates, patents protecting such candidates might expire before or shortly after such candidates are commercialized. As a result, our patent portfolio may not provide us with sufficient rights to exclude others from commercializing products similar or identical to ours.</w:t>
      </w:r>
      <w:r>
        <w:rPr>
          <w:rFonts w:ascii="Times New Roman" w:hAnsi="Times New Roman"/>
          <w:sz w:val="20"/>
        </w:rPr>
        <w:t xml:space="preserve"> </w:t>
      </w:r>
    </w:p>
    <w:p>
      <w:pPr>
        <w:pStyle w:val="TextBody"/>
        <w:spacing w:lineRule="auto" w:line="273" w:before="360" w:after="0"/>
        <w:jc w:val="left"/>
        <w:rPr>
          <w:rFonts w:ascii="Times New Roman" w:hAnsi="Times New Roman"/>
          <w:sz w:val="20"/>
        </w:rPr>
      </w:pPr>
      <w:r>
        <w:rPr>
          <w:rFonts w:ascii="Times New Roman" w:hAnsi="Times New Roman"/>
          <w:b/>
          <w:i/>
          <w:sz w:val="20"/>
        </w:rPr>
        <w:t>If we do not obtain patent term extension for our product candidates, our business may be materially harmed.</w:t>
      </w:r>
      <w:r>
        <w:rPr>
          <w:rFonts w:ascii="Times New Roman" w:hAnsi="Times New Roman"/>
          <w:sz w:val="20"/>
        </w:rPr>
        <w:t xml:space="preserve"> </w:t>
      </w:r>
    </w:p>
    <w:p>
      <w:pPr>
        <w:pStyle w:val="TextBody"/>
        <w:spacing w:lineRule="auto" w:line="273" w:before="120" w:after="0"/>
        <w:jc w:val="left"/>
        <w:rPr>
          <w:rFonts w:ascii="Times New Roman" w:hAnsi="Times New Roman"/>
          <w:sz w:val="20"/>
        </w:rPr>
      </w:pPr>
      <w:r>
        <w:rPr>
          <w:rFonts w:ascii="Times New Roman" w:hAnsi="Times New Roman"/>
          <w:b w:val="false"/>
          <w:sz w:val="20"/>
        </w:rPr>
        <w:t>Depending upon the timing, duration and specifics of FDA marketing approval of our product candidates, one or more of our U.S. patents or those of our licensors may be eligible for limited patent term restoration under the Drug Price Competition and Patent Term Restoration Act of 1984, or the Hatch-Waxman Amendments. The Hatch-Waxman Amendments permit a patent restoration term of up to five years as compensation for patent term lost during product development and the FDA regulatory review process. A maximum of one patent may be extended per FDA approved product as compensation for the patent term lost during the FDA regulatory review process. A patent term extension cannot extend the remaining term of a patent beyond a total of 14 years from the date of product approval and only those claims covering such approved drug product, a method for using it or a method for manufacturing it may be extended. Patent term extension may also be available in certain foreign countries upon regulatory approval of our product candidates. However, we may not be granted an extension because of, for example, failing to apply within applicable deadlines, failing to apply prior to expiration of relevant patents or otherwise failing to satisfy applicable requirements. Moreover, the applicable time period or the scope of patent protection afforded could be less than we request. If we are unable to obtain patent term extension or restoration or the term of any such extension is less than we request, our competitors may obtain approval of competing products following our patent expiration, and our revenue could be reduced, possibly materially. Further, if this occurs, our competitors may take advantage of our investment in development and trials by referencing our clinical and preclinical data and launch their product earlier than might otherwise be the case.</w:t>
      </w:r>
      <w:r>
        <w:rPr>
          <w:rFonts w:ascii="Times New Roman" w:hAnsi="Times New Roman"/>
          <w:sz w:val="20"/>
        </w:rPr>
        <w:t xml:space="preserve"> </w:t>
      </w:r>
    </w:p>
    <w:p>
      <w:pPr>
        <w:pStyle w:val="TextBody"/>
        <w:spacing w:lineRule="auto" w:line="273" w:before="0" w:after="0"/>
        <w:jc w:val="center"/>
        <w:rPr>
          <w:rFonts w:ascii="Times New Roman" w:hAnsi="Times New Roman"/>
          <w:b w:val="false"/>
          <w:sz w:val="20"/>
        </w:rPr>
      </w:pPr>
      <w:r>
        <w:rPr>
          <w:rFonts w:ascii="Times New Roman" w:hAnsi="Times New Roman"/>
          <w:b w:val="false"/>
          <w:sz w:val="20"/>
        </w:rPr>
        <w:t>80</w:t>
      </w:r>
    </w:p>
    <w:p>
      <w:pPr>
        <w:pStyle w:val="HorizontalLine"/>
        <w:rPr/>
      </w:pPr>
      <w:r>
        <w:rPr/>
      </w:r>
    </w:p>
    <w:p>
      <w:pPr>
        <w:pStyle w:val="TextBody"/>
        <w:spacing w:lineRule="auto" w:line="273" w:before="0" w:after="0"/>
        <w:jc w:val="left"/>
        <w:rPr/>
      </w:pPr>
      <w:r>
        <w:rPr/>
        <w:t> </w:t>
      </w:r>
    </w:p>
    <w:p>
      <w:pPr>
        <w:pStyle w:val="TextBody"/>
        <w:spacing w:lineRule="auto" w:line="273" w:before="360" w:after="0"/>
        <w:jc w:val="left"/>
        <w:rPr>
          <w:rFonts w:ascii="Times New Roman" w:hAnsi="Times New Roman"/>
          <w:sz w:val="20"/>
        </w:rPr>
      </w:pPr>
      <w:r>
        <w:rPr>
          <w:rFonts w:ascii="Times New Roman" w:hAnsi="Times New Roman"/>
          <w:b/>
          <w:i/>
          <w:sz w:val="20"/>
        </w:rPr>
        <w:t>We may not be able to protect our intellectual property rights throughout the world.</w:t>
      </w:r>
      <w:r>
        <w:rPr>
          <w:rFonts w:ascii="Times New Roman" w:hAnsi="Times New Roman"/>
          <w:sz w:val="20"/>
        </w:rPr>
        <w:t xml:space="preserve"> </w:t>
      </w:r>
    </w:p>
    <w:p>
      <w:pPr>
        <w:pStyle w:val="TextBody"/>
        <w:spacing w:lineRule="auto" w:line="273" w:before="120" w:after="0"/>
        <w:jc w:val="left"/>
        <w:rPr>
          <w:rFonts w:ascii="Times New Roman" w:hAnsi="Times New Roman"/>
          <w:sz w:val="20"/>
        </w:rPr>
      </w:pPr>
      <w:r>
        <w:rPr>
          <w:rFonts w:ascii="Times New Roman" w:hAnsi="Times New Roman"/>
          <w:b w:val="false"/>
          <w:sz w:val="20"/>
        </w:rPr>
        <w:t>Although we have pending patent applications in the United States and other countries, filing, prosecuting and defending patents in all countries throughout the world would be prohibitively expensive, and our intellectual property rights in some countries outside the United States can be less extensive than those in the United States. In addition, the laws of some foreign countries do not protect intellectual property rights to the same extent as federal and state laws in the United States. Consequently, we may not be able to prevent third parties from practicing our inventions in all countries outside the United States or from selling or importing products made using our inventions in and into the United States or other jurisdictions. Competitors may use our technologies in jurisdictions where we have not obtained patent protection to develop their own products and, further, may export otherwise infringing products to territories where we have patent protection, but enforcement is not as strong as that in the United States. These products may compete with our product candidates, and our patents, the patents of our licensors, or other intellectual property rights may not be effective or sufficient to prevent them from competing.</w:t>
      </w:r>
      <w:r>
        <w:rPr>
          <w:rFonts w:ascii="Times New Roman" w:hAnsi="Times New Roman"/>
          <w:sz w:val="20"/>
        </w:rPr>
        <w:t xml:space="preserve"> </w:t>
      </w:r>
    </w:p>
    <w:p>
      <w:pPr>
        <w:pStyle w:val="TextBody"/>
        <w:spacing w:lineRule="auto" w:line="273" w:before="240" w:after="0"/>
        <w:jc w:val="left"/>
        <w:rPr>
          <w:rFonts w:ascii="Times New Roman" w:hAnsi="Times New Roman"/>
          <w:sz w:val="20"/>
        </w:rPr>
      </w:pPr>
      <w:r>
        <w:rPr>
          <w:rFonts w:ascii="Times New Roman" w:hAnsi="Times New Roman"/>
          <w:b w:val="false"/>
          <w:sz w:val="20"/>
        </w:rPr>
        <w:t>Many companies have encountered significant problems in protecting and defending intellectual property rights in foreign jurisdictions. The legal systems of many foreign countries do not favor the enforcement of patents and other intellectual property protection, which could make it difficult for us to stop the infringement of our patents or our licensors’ patents or marketing of competing products in violation of our proprietary rights. Proceedings to enforce our patent rights in foreign jurisdictions could result in substantial costs and divert our efforts and attention from other aspects of our business, could put our patents or the patents of our licensors at risk of being invalidated or interpreted narrowly and our patent applications or the patent applications of our licensors at risk of not issuing and could provoke third parties to assert claims against us. We may not prevail in any lawsuits that we initiate, and the damages or other remedies awarded, if any, may not be commercially meaningful. Accordingly, our efforts to enforce our intellectual property rights around the world may be inadequate to obtain a significant commercial advantage from the intellectual property that we develop or license.</w:t>
      </w:r>
      <w:r>
        <w:rPr>
          <w:rFonts w:ascii="Times New Roman" w:hAnsi="Times New Roman"/>
          <w:sz w:val="20"/>
        </w:rPr>
        <w:t xml:space="preserve"> </w:t>
      </w:r>
    </w:p>
    <w:p>
      <w:pPr>
        <w:pStyle w:val="TextBody"/>
        <w:spacing w:lineRule="auto" w:line="273" w:before="240" w:after="0"/>
        <w:jc w:val="left"/>
        <w:rPr>
          <w:rFonts w:ascii="Times New Roman" w:hAnsi="Times New Roman"/>
          <w:sz w:val="20"/>
        </w:rPr>
      </w:pPr>
      <w:r>
        <w:rPr>
          <w:rFonts w:ascii="Times New Roman" w:hAnsi="Times New Roman"/>
          <w:b w:val="false"/>
          <w:sz w:val="20"/>
        </w:rPr>
        <w:t>Many countries have compulsory licensing laws under which a patent owner may be compelled to grant licenses to third parties. In addition, many countries limit the enforceability of patents against government agencies or government contractors. In these countries, the patent owner may have limited remedies, which could materially diminish the value of such patent. If we are forced to grant a license to third parties with respect to any patents relevant to our business, our competitive position may be impaired, and our business, financial condition, results of operations and prospects may be adversely affected.</w:t>
      </w:r>
      <w:r>
        <w:rPr>
          <w:rFonts w:ascii="Times New Roman" w:hAnsi="Times New Roman"/>
          <w:sz w:val="20"/>
        </w:rPr>
        <w:t xml:space="preserve"> </w:t>
      </w:r>
    </w:p>
    <w:p>
      <w:pPr>
        <w:pStyle w:val="TextBody"/>
        <w:spacing w:lineRule="auto" w:line="273" w:before="360" w:after="0"/>
        <w:jc w:val="left"/>
        <w:rPr>
          <w:rFonts w:ascii="Times New Roman" w:hAnsi="Times New Roman"/>
          <w:sz w:val="20"/>
        </w:rPr>
      </w:pPr>
      <w:r>
        <w:rPr>
          <w:rFonts w:ascii="Times New Roman" w:hAnsi="Times New Roman"/>
          <w:b/>
          <w:i/>
          <w:sz w:val="20"/>
        </w:rPr>
        <w:t>Obtaining and maintaining our patent protection depends on compliance with various procedural, documentary, fee payment and other requirements imposed by regulations and governmental patent agencies, and our patent protection could be reduced or eliminated for non-compliance with these requirements.</w:t>
      </w:r>
      <w:r>
        <w:rPr>
          <w:rFonts w:ascii="Times New Roman" w:hAnsi="Times New Roman"/>
          <w:sz w:val="20"/>
        </w:rPr>
        <w:t xml:space="preserve"> </w:t>
      </w:r>
    </w:p>
    <w:p>
      <w:pPr>
        <w:pStyle w:val="TextBody"/>
        <w:spacing w:lineRule="auto" w:line="273" w:before="120" w:after="0"/>
        <w:jc w:val="left"/>
        <w:rPr>
          <w:rFonts w:ascii="Times New Roman" w:hAnsi="Times New Roman"/>
          <w:sz w:val="20"/>
        </w:rPr>
      </w:pPr>
      <w:r>
        <w:rPr>
          <w:rFonts w:ascii="Times New Roman" w:hAnsi="Times New Roman"/>
          <w:b w:val="false"/>
          <w:sz w:val="20"/>
        </w:rPr>
        <w:t>Periodic maintenance fees, renewal fees, annuity fees and various other governmental fees on patents and/or applications will be due to the USPTO and various foreign patent offices at various points over the lifetime of our patents and/or applications and those of our licensors. We have systems in place to remind us to pay these fees, and we rely on our outside patent annuity service to pay these fees when due. Additionally, the USPTO and various foreign patent offices require compliance with a number of procedural, documentary, fee payment and other similar provisions during the patent application process. We employ reputable law firms and other professionals to help us comply, and in many cases, an inadvertent lapse can be cured by payment of a late fee or by other means in accordance with rules applicable to the particular jurisdiction. However, there are situations in which noncompliance can result in abandonment or lapse of the patent or patent application, resulting in partial or complete loss of patent rights in the relevant jurisdiction. If such an event were to occur, it could have a material adverse effect on our business.</w:t>
      </w:r>
      <w:r>
        <w:rPr>
          <w:rFonts w:ascii="Times New Roman" w:hAnsi="Times New Roman"/>
          <w:sz w:val="20"/>
        </w:rPr>
        <w:t xml:space="preserve"> </w:t>
      </w:r>
    </w:p>
    <w:p>
      <w:pPr>
        <w:pStyle w:val="TextBody"/>
        <w:spacing w:lineRule="auto" w:line="273" w:before="360" w:after="0"/>
        <w:jc w:val="left"/>
        <w:rPr>
          <w:rFonts w:ascii="Times New Roman" w:hAnsi="Times New Roman"/>
          <w:sz w:val="20"/>
        </w:rPr>
      </w:pPr>
      <w:r>
        <w:rPr>
          <w:rFonts w:ascii="Times New Roman" w:hAnsi="Times New Roman"/>
          <w:b/>
          <w:i/>
          <w:sz w:val="20"/>
        </w:rPr>
        <w:t>If our trademarks and trade names are not adequately protected, then we may not be able to build name recognition in our markets of interest and our business may be adversely affected.</w:t>
      </w:r>
      <w:r>
        <w:rPr>
          <w:rFonts w:ascii="Times New Roman" w:hAnsi="Times New Roman"/>
          <w:sz w:val="20"/>
        </w:rPr>
        <w:t xml:space="preserve"> </w:t>
      </w:r>
    </w:p>
    <w:p>
      <w:pPr>
        <w:pStyle w:val="TextBody"/>
        <w:spacing w:lineRule="auto" w:line="273" w:before="120" w:after="0"/>
        <w:jc w:val="left"/>
        <w:rPr>
          <w:rFonts w:ascii="Times New Roman" w:hAnsi="Times New Roman"/>
          <w:sz w:val="20"/>
        </w:rPr>
      </w:pPr>
      <w:r>
        <w:rPr>
          <w:rFonts w:ascii="Times New Roman" w:hAnsi="Times New Roman"/>
          <w:b w:val="false"/>
          <w:sz w:val="20"/>
        </w:rPr>
        <w:t>We intend to use registered or unregistered trademarks or trade names to brand and market ourselves and our products. Our trademarks or trade names may be challenged, infringed, circumvented or declared generic or determined to be infringing on other marks. We may not be able to protect our rights to these trademarks and trade names, which we need to build name recognition among potential partners or customers in our markets of interest. At times, competitors may adopt trade names or trademarks similar to ours, thereby impeding our ability to build brand identity and possibly leading to market confusion. In addition, there could be potential trade name or trademark infringement claims brought by owners of other registered trademarks or trademarks that incorporate variations of our registered or unregistered trademarks or trade names. Over the long term, if we are unable to establish name recognition based on our trademarks and trade names, then we may not be able to compete effectively, and our business may be adversely affected. Our efforts to enforce or protect our proprietary rights related to trademarks, trade secrets, domain names, copyrights or other intellectual property may be ineffective and could result in substantial costs and diversion of resources and could adversely affect our financial condition or results of operations.</w:t>
      </w:r>
      <w:r>
        <w:rPr>
          <w:rFonts w:ascii="Times New Roman" w:hAnsi="Times New Roman"/>
          <w:sz w:val="20"/>
        </w:rPr>
        <w:t xml:space="preserve"> </w:t>
      </w:r>
    </w:p>
    <w:p>
      <w:pPr>
        <w:pStyle w:val="TextBody"/>
        <w:spacing w:lineRule="auto" w:line="273" w:before="0" w:after="0"/>
        <w:jc w:val="center"/>
        <w:rPr>
          <w:rFonts w:ascii="Times New Roman" w:hAnsi="Times New Roman"/>
          <w:b w:val="false"/>
          <w:sz w:val="20"/>
        </w:rPr>
      </w:pPr>
      <w:r>
        <w:rPr>
          <w:rFonts w:ascii="Times New Roman" w:hAnsi="Times New Roman"/>
          <w:b w:val="false"/>
          <w:sz w:val="20"/>
        </w:rPr>
        <w:t>81</w:t>
      </w:r>
    </w:p>
    <w:p>
      <w:pPr>
        <w:pStyle w:val="HorizontalLine"/>
        <w:rPr/>
      </w:pPr>
      <w:r>
        <w:rPr/>
      </w:r>
    </w:p>
    <w:p>
      <w:pPr>
        <w:pStyle w:val="TextBody"/>
        <w:spacing w:lineRule="auto" w:line="273" w:before="0" w:after="0"/>
        <w:jc w:val="left"/>
        <w:rPr/>
      </w:pPr>
      <w:r>
        <w:rPr/>
        <w:t> </w:t>
      </w:r>
    </w:p>
    <w:p>
      <w:pPr>
        <w:pStyle w:val="TextBody"/>
        <w:spacing w:lineRule="auto" w:line="273" w:before="360" w:after="0"/>
        <w:jc w:val="left"/>
        <w:rPr>
          <w:rFonts w:ascii="Times New Roman" w:hAnsi="Times New Roman"/>
          <w:sz w:val="20"/>
        </w:rPr>
      </w:pPr>
      <w:r>
        <w:rPr>
          <w:rFonts w:ascii="Times New Roman" w:hAnsi="Times New Roman"/>
          <w:b/>
          <w:i/>
          <w:sz w:val="20"/>
        </w:rPr>
        <w:t>If we are unable to protect the confidentiality of our trade secrets, our business and competitive position would be harmed.</w:t>
      </w:r>
      <w:r>
        <w:rPr>
          <w:rFonts w:ascii="Times New Roman" w:hAnsi="Times New Roman"/>
          <w:sz w:val="20"/>
        </w:rPr>
        <w:t xml:space="preserve"> </w:t>
      </w:r>
    </w:p>
    <w:p>
      <w:pPr>
        <w:pStyle w:val="TextBody"/>
        <w:spacing w:lineRule="auto" w:line="273" w:before="120" w:after="0"/>
        <w:jc w:val="left"/>
        <w:rPr>
          <w:rFonts w:ascii="Times New Roman" w:hAnsi="Times New Roman"/>
          <w:sz w:val="20"/>
        </w:rPr>
      </w:pPr>
      <w:r>
        <w:rPr>
          <w:rFonts w:ascii="Times New Roman" w:hAnsi="Times New Roman"/>
          <w:b w:val="false"/>
          <w:sz w:val="20"/>
        </w:rPr>
        <w:t>In addition, we rely on the protection of our trade secrets, including unpatented know-how, technology and other proprietary information to maintain our competitive position. Although we have taken steps to protect our trade secrets and unpatented know-how, including entering into confidentiality agreements with third parties, and confidential information and inventions agreements with employees, consultants and advisors, we cannot provide any assurances that all such agreements have been duly executed, and any of these parties may breach the agreements and disclose our proprietary information, including our trade secrets, and we may not be able to obtain adequate remedies for such breaches. Enforcing a claim that a party illegally disclosed or misappropriated a trade secret is difficult, expensive and time-consuming, and the outcome is unpredictable. In addition, some courts inside and outside the United States are less willing or unwilling to protect trade secrets.</w:t>
      </w:r>
      <w:r>
        <w:rPr>
          <w:rFonts w:ascii="Times New Roman" w:hAnsi="Times New Roman"/>
          <w:sz w:val="20"/>
        </w:rPr>
        <w:t xml:space="preserve"> </w:t>
      </w:r>
    </w:p>
    <w:p>
      <w:pPr>
        <w:pStyle w:val="TextBody"/>
        <w:spacing w:lineRule="auto" w:line="273" w:before="240" w:after="0"/>
        <w:jc w:val="left"/>
        <w:rPr>
          <w:rFonts w:ascii="Times New Roman" w:hAnsi="Times New Roman"/>
          <w:sz w:val="20"/>
        </w:rPr>
      </w:pPr>
      <w:r>
        <w:rPr>
          <w:rFonts w:ascii="Times New Roman" w:hAnsi="Times New Roman"/>
          <w:b w:val="false"/>
          <w:sz w:val="20"/>
        </w:rPr>
        <w:t>Moreover, third parties may still obtain this information or may come upon this or similar information independently, and we would have no right to prevent them from using that technology or information to compete with us. If any of these events occurs or if we otherwise lose protection for our trade secrets, the value of this information may be greatly reduced, and our competitive position would be harmed. If we do not apply for patent protection prior to such publication or if we cannot otherwise maintain the confidentiality of our proprietary technology and other confidential information, then our ability to obtain patent protection or to protect our trade secret information may be jeopardized.</w:t>
      </w:r>
      <w:r>
        <w:rPr>
          <w:rFonts w:ascii="Times New Roman" w:hAnsi="Times New Roman"/>
          <w:sz w:val="20"/>
        </w:rPr>
        <w:t xml:space="preserve"> </w:t>
      </w:r>
    </w:p>
    <w:p>
      <w:pPr>
        <w:pStyle w:val="TextBody"/>
        <w:spacing w:lineRule="auto" w:line="273" w:before="360" w:after="0"/>
        <w:jc w:val="left"/>
        <w:rPr>
          <w:rFonts w:ascii="Times New Roman" w:hAnsi="Times New Roman"/>
          <w:sz w:val="20"/>
        </w:rPr>
      </w:pPr>
      <w:r>
        <w:rPr>
          <w:rFonts w:ascii="Times New Roman" w:hAnsi="Times New Roman"/>
          <w:b/>
          <w:i/>
          <w:sz w:val="20"/>
        </w:rPr>
        <w:t>We may be subject to claims that we or our employees have wrongfully used or disclosed alleged confidential information or trade secrets.</w:t>
      </w:r>
      <w:r>
        <w:rPr>
          <w:rFonts w:ascii="Times New Roman" w:hAnsi="Times New Roman"/>
          <w:sz w:val="20"/>
        </w:rPr>
        <w:t xml:space="preserve"> </w:t>
      </w:r>
    </w:p>
    <w:p>
      <w:pPr>
        <w:pStyle w:val="TextBody"/>
        <w:spacing w:lineRule="auto" w:line="273" w:before="120" w:after="0"/>
        <w:jc w:val="left"/>
        <w:rPr>
          <w:rFonts w:ascii="Times New Roman" w:hAnsi="Times New Roman"/>
          <w:sz w:val="20"/>
        </w:rPr>
      </w:pPr>
      <w:r>
        <w:rPr>
          <w:rFonts w:ascii="Times New Roman" w:hAnsi="Times New Roman"/>
          <w:b w:val="false"/>
          <w:sz w:val="20"/>
        </w:rPr>
        <w:t>We have entered into or may enter in the future into non-disclosure and confidentiality agreements to protect the proprietary positions of third parties, such as outside scientific collaborators, CROs, third-party manufacturers, consultants, advisors, potential partners, and other third parties. We may become subject to litigation where a third-party asserts that we or our employees inadvertently or otherwise breached the agreements and used or disclosed trade secrets or other information proprietary to the third parties. Defense of such matters, regardless of their merit, could involve substantial litigation expense and be a substantial diversion of employee resources from our business. We cannot predict whether we would prevail in any such actions. Moreover, intellectual property litigation, regardless of its outcome, may cause negative publicity and could prohibit us from marketing or otherwise commercializing our product candidates and technology. Failure to defend against any such claim could subject us to significant liability for monetary damages or prevent or delay our developmental and commercialization efforts, which could adversely affect our business. Even if we are successful in defending against these claims, litigation could result in substantial costs and be a distraction to our management team and other employees.</w:t>
      </w:r>
      <w:r>
        <w:rPr>
          <w:rFonts w:ascii="Times New Roman" w:hAnsi="Times New Roman"/>
          <w:sz w:val="20"/>
        </w:rPr>
        <w:t xml:space="preserve"> </w:t>
      </w:r>
    </w:p>
    <w:p>
      <w:pPr>
        <w:pStyle w:val="TextBody"/>
        <w:spacing w:lineRule="auto" w:line="273" w:before="240" w:after="0"/>
        <w:jc w:val="left"/>
        <w:rPr>
          <w:rFonts w:ascii="Times New Roman" w:hAnsi="Times New Roman"/>
          <w:sz w:val="20"/>
        </w:rPr>
      </w:pPr>
      <w:r>
        <w:rPr>
          <w:rFonts w:ascii="Times New Roman" w:hAnsi="Times New Roman"/>
          <w:b w:val="false"/>
          <w:sz w:val="20"/>
        </w:rPr>
        <w:t>Parties making claims against us may be able to sustain the costs of complex intellectual property litigation more effectively than we can because they have substantially greater resources. Furthermore, because of the substantial amount of discovery required in connection with intellectual property litigation, there is a risk that some of our confidential information could be compromised by disclosure. In addition, any uncertainties resulting from the initiation and continuation of any litigation could have a material adverse effect on our ability to raise additional funds or otherwise have a material adverse effect on our business, operating results, financial condition and prospects.</w:t>
      </w:r>
      <w:r>
        <w:rPr>
          <w:rFonts w:ascii="Times New Roman" w:hAnsi="Times New Roman"/>
          <w:sz w:val="20"/>
        </w:rPr>
        <w:t xml:space="preserve"> </w:t>
      </w:r>
    </w:p>
    <w:p>
      <w:pPr>
        <w:pStyle w:val="TextBody"/>
        <w:spacing w:lineRule="auto" w:line="273" w:before="360" w:after="0"/>
        <w:jc w:val="left"/>
        <w:rPr>
          <w:rFonts w:ascii="Times New Roman" w:hAnsi="Times New Roman"/>
          <w:sz w:val="20"/>
        </w:rPr>
      </w:pPr>
      <w:r>
        <w:rPr>
          <w:rFonts w:ascii="Times New Roman" w:hAnsi="Times New Roman"/>
          <w:b/>
          <w:i/>
          <w:sz w:val="20"/>
        </w:rPr>
        <w:t>We may be subject to claims that we have wrongfully hired an employee from a competitor or that we or our employees have wrongfully used or disclosed alleged confidential information or trade secrets of their former employers.</w:t>
      </w:r>
      <w:r>
        <w:rPr>
          <w:rFonts w:ascii="Times New Roman" w:hAnsi="Times New Roman"/>
          <w:sz w:val="20"/>
        </w:rPr>
        <w:t xml:space="preserve"> </w:t>
      </w:r>
    </w:p>
    <w:p>
      <w:pPr>
        <w:pStyle w:val="TextBody"/>
        <w:spacing w:lineRule="auto" w:line="273" w:before="120" w:after="0"/>
        <w:jc w:val="left"/>
        <w:rPr>
          <w:rFonts w:ascii="Times New Roman" w:hAnsi="Times New Roman"/>
          <w:sz w:val="20"/>
        </w:rPr>
      </w:pPr>
      <w:r>
        <w:rPr>
          <w:rFonts w:ascii="Times New Roman" w:hAnsi="Times New Roman"/>
          <w:b w:val="false"/>
          <w:sz w:val="20"/>
        </w:rPr>
        <w:t>As is common in the biopharmaceutical industry, in addition to our employees, we engage the services of consultants to assist us in the development of our product candidates. Many of these consultants, and many of our employees, were previously employed at, or may have previously provided or may be currently providing consulting services to, other pharmaceutical companies including our competitors or potential competitors. We may become subject to claims that we, our employees or a consultant inadvertently or otherwise used or disclosed trade secrets or other information proprietary to their former employers or their former or current clients. Litigation may be necessary to defend against these claims. If we fail in defending any such claims, in addition to paying monetary damages, we may lose valuable intellectual property rights or personnel, which could adversely affect our business. Even if we are successful in defending against these claims, litigation could result in substantial costs and be a distraction to our management team and other employees.</w:t>
      </w:r>
      <w:r>
        <w:rPr>
          <w:rFonts w:ascii="Times New Roman" w:hAnsi="Times New Roman"/>
          <w:sz w:val="20"/>
        </w:rPr>
        <w:t xml:space="preserve"> </w:t>
      </w:r>
    </w:p>
    <w:p>
      <w:pPr>
        <w:pStyle w:val="TextBody"/>
        <w:spacing w:lineRule="auto" w:line="273" w:before="0" w:after="0"/>
        <w:jc w:val="center"/>
        <w:rPr>
          <w:rFonts w:ascii="Times New Roman" w:hAnsi="Times New Roman"/>
          <w:b w:val="false"/>
          <w:sz w:val="20"/>
        </w:rPr>
      </w:pPr>
      <w:r>
        <w:rPr>
          <w:rFonts w:ascii="Times New Roman" w:hAnsi="Times New Roman"/>
          <w:b w:val="false"/>
          <w:sz w:val="20"/>
        </w:rPr>
        <w:t>82</w:t>
      </w:r>
    </w:p>
    <w:p>
      <w:pPr>
        <w:pStyle w:val="HorizontalLine"/>
        <w:rPr/>
      </w:pPr>
      <w:r>
        <w:rPr/>
      </w:r>
    </w:p>
    <w:p>
      <w:pPr>
        <w:pStyle w:val="TextBody"/>
        <w:spacing w:lineRule="auto" w:line="273" w:before="0" w:after="0"/>
        <w:jc w:val="left"/>
        <w:rPr/>
      </w:pPr>
      <w:r>
        <w:rPr/>
        <w:t> </w:t>
      </w:r>
    </w:p>
    <w:p>
      <w:pPr>
        <w:pStyle w:val="TextBody"/>
        <w:spacing w:lineRule="auto" w:line="273" w:before="360" w:after="0"/>
        <w:jc w:val="left"/>
        <w:rPr>
          <w:rFonts w:ascii="Times New Roman" w:hAnsi="Times New Roman"/>
          <w:sz w:val="20"/>
        </w:rPr>
      </w:pPr>
      <w:r>
        <w:rPr>
          <w:rFonts w:ascii="Times New Roman" w:hAnsi="Times New Roman"/>
          <w:b/>
          <w:i/>
          <w:sz w:val="20"/>
        </w:rPr>
        <w:t>The patent protection and patent prosecution for some of our product candidates may be dependent on third parties.</w:t>
      </w:r>
      <w:r>
        <w:rPr>
          <w:rFonts w:ascii="Times New Roman" w:hAnsi="Times New Roman"/>
          <w:sz w:val="20"/>
        </w:rPr>
        <w:t xml:space="preserve"> </w:t>
      </w:r>
    </w:p>
    <w:p>
      <w:pPr>
        <w:pStyle w:val="TextBody"/>
        <w:spacing w:lineRule="auto" w:line="273" w:before="120" w:after="0"/>
        <w:jc w:val="left"/>
        <w:rPr>
          <w:rFonts w:ascii="Times New Roman" w:hAnsi="Times New Roman"/>
          <w:sz w:val="20"/>
        </w:rPr>
      </w:pPr>
      <w:r>
        <w:rPr>
          <w:rFonts w:ascii="Times New Roman" w:hAnsi="Times New Roman"/>
          <w:b w:val="false"/>
          <w:sz w:val="20"/>
        </w:rPr>
        <w:t>While we normally seek to obtain the right to control prosecution, maintenance and enforcement of the patents relating to our product candidates, there may be times when the filing and prosecution activities for patents and patent applications relating to our product candidates are controlled by our licensors or collaboration partners. If any of our licensors or collaboration partners fail to prosecute, maintain and enforce such patents and patent applications in a manner consistent with the best interests of our business, including by payment of all applicable fees for patents covering our product candidates, we could lose our rights to the intellectual property or our exclusivity with respect to those rights, our ability to develop and commercialize those product candidates may be adversely affected and we may not be able to prevent competitors from making, using and selling competing products. In addition, even where we have the right to control patent prosecution of patents and patent applications we have licensed from third parties, we may still be adversely affected or prejudiced by actions or inactions of our licensors and their counsel that took place prior to the date upon which we assumed control over patent prosecution.</w:t>
      </w:r>
      <w:r>
        <w:rPr>
          <w:rFonts w:ascii="Times New Roman" w:hAnsi="Times New Roman"/>
          <w:sz w:val="20"/>
        </w:rPr>
        <w:t xml:space="preserve"> </w:t>
      </w:r>
    </w:p>
    <w:p>
      <w:pPr>
        <w:pStyle w:val="TextBody"/>
        <w:spacing w:lineRule="auto" w:line="273" w:before="240" w:after="0"/>
        <w:jc w:val="left"/>
        <w:rPr>
          <w:rFonts w:ascii="Times New Roman" w:hAnsi="Times New Roman"/>
          <w:sz w:val="20"/>
        </w:rPr>
      </w:pPr>
      <w:r>
        <w:rPr>
          <w:rFonts w:ascii="Times New Roman" w:hAnsi="Times New Roman"/>
          <w:b w:val="false"/>
          <w:sz w:val="20"/>
        </w:rPr>
        <w:t>Currently, our intellectual property protection includes patents and patent applications that we have in-licensed from Viracta Therapeutics, Inc., Takeda Pharmaceutical Company Limited, and Merck KGaA, Darmstadt, Germany. Our exclusive and non-exclusive licenses may be subject to certain retained rights, which may adversely impact our competitive position. We do not control the prosecution and maintenance of several of the licensed patent portfolios; thus, we cannot assure you that the licensed patent families will be prepared, filed, prosecuted, or maintained in a manner consistent with the best interests of our business. See “Management’s Discussion and Analysis of Financial Condition and Results of Operations—Significant agreements.” Our licensed patent portfolio may not provide us with adequate and continuing patent protection sufficient to exclude others from commercializing products similar to our product candidates.</w:t>
      </w:r>
      <w:r>
        <w:rPr>
          <w:rFonts w:ascii="Times New Roman" w:hAnsi="Times New Roman"/>
          <w:sz w:val="20"/>
        </w:rPr>
        <w:t xml:space="preserve"> </w:t>
      </w:r>
    </w:p>
    <w:p>
      <w:pPr>
        <w:pStyle w:val="TextBody"/>
        <w:spacing w:lineRule="auto" w:line="273" w:before="360" w:after="0"/>
        <w:jc w:val="left"/>
        <w:rPr>
          <w:rFonts w:ascii="Times New Roman" w:hAnsi="Times New Roman"/>
          <w:sz w:val="20"/>
        </w:rPr>
      </w:pPr>
      <w:r>
        <w:rPr>
          <w:rFonts w:ascii="Times New Roman" w:hAnsi="Times New Roman"/>
          <w:b/>
          <w:i/>
          <w:sz w:val="20"/>
        </w:rPr>
        <w:t>Intellectual property discovered through government funded programs may be subject to federal regulations such as “march-in” rights, certain reporting requirements and a preference for U.S.-based companies. Compliance with such regulations may limit our exclusive rights and limit our ability to contract with non-U.S. manufacturers.</w:t>
      </w:r>
      <w:r>
        <w:rPr>
          <w:rFonts w:ascii="Times New Roman" w:hAnsi="Times New Roman"/>
          <w:sz w:val="20"/>
        </w:rPr>
        <w:t xml:space="preserve"> </w:t>
      </w:r>
    </w:p>
    <w:p>
      <w:pPr>
        <w:pStyle w:val="TextBody"/>
        <w:spacing w:lineRule="auto" w:line="273" w:before="120" w:after="0"/>
        <w:jc w:val="left"/>
        <w:rPr>
          <w:rFonts w:ascii="Times New Roman" w:hAnsi="Times New Roman"/>
          <w:sz w:val="20"/>
        </w:rPr>
      </w:pPr>
      <w:r>
        <w:rPr>
          <w:rFonts w:ascii="Times New Roman" w:hAnsi="Times New Roman"/>
          <w:b w:val="false"/>
          <w:sz w:val="20"/>
        </w:rPr>
        <w:t>Some of our own issued patents or pending patent applications may have been generated through the use of U.S. government funding, and we may acquire or license in the future intellectual property rights that have been generated through the use of U.S. government funding or grants. Pursuant to the Bayh-Dole Act of 1980, the U.S. government has certain rights in inventions developed with government funding. These U.S. government rights include a non-exclusive, non-transferable, irrevocable worldwide license to use inventions for any governmental purpose. In addition, the U.S. government has the right, under certain limited circumstances, to require us to grant exclusive, partially exclusive, or non-exclusive licenses to any of these inventions to a third-party if it determines that: (1) adequate steps have not been taken to commercialize the invention; (2) government action is necessary to meet public health or safety needs; or (3) government action is necessary to meet requirements for public use under federal regulations (also referred to as “march-in rights”). If the U.S. government exercised its march-in rights in our existing or future intellectual property rights that are generated through the use of U.S. government funding or grants, we could be forced to license or sublicense intellectual property developed by us or that we license on terms unfavorable to us, and there can be no assurance that we would receive compensation from the U.S. government for the exercise of such rights. The U.S. government also has the right to take title to these inventions if the grant recipient fails to disclose the invention to the government or fails to file an application to register the intellectual property within specified time limits. Intellectual property generated under a government funded program is also subject to certain reporting requirements, compliance with which may require us to expend substantial resources. In addition, the U.S. government requires that any products embodying any of these inventions or produced through the use of any of these inventions be manufactured substantially in the United States. This preference for U.S. industry may be waived by the federal agency that provided the funding if the owner or assignee of the intellectual property can show that reasonable but unsuccessful efforts have been made to grant licenses on similar terms to potential licensees that would be likely to manufacture substantially in the United States or that under the circumstances domestic manufacture is not commercially feasible. This preference for U.S. industry may limit our ability to contract with non-U.S. product manufacturers for products covered by such intellectual property.</w:t>
      </w:r>
      <w:r>
        <w:rPr>
          <w:rFonts w:ascii="Times New Roman" w:hAnsi="Times New Roman"/>
          <w:sz w:val="20"/>
        </w:rPr>
        <w:t xml:space="preserve"> </w:t>
      </w:r>
    </w:p>
    <w:p>
      <w:pPr>
        <w:pStyle w:val="TextBody"/>
        <w:spacing w:lineRule="auto" w:line="273" w:before="360" w:after="0"/>
        <w:jc w:val="left"/>
        <w:rPr>
          <w:rFonts w:ascii="Times New Roman" w:hAnsi="Times New Roman"/>
          <w:sz w:val="20"/>
        </w:rPr>
      </w:pPr>
      <w:r>
        <w:rPr>
          <w:rFonts w:ascii="Times New Roman" w:hAnsi="Times New Roman"/>
          <w:b/>
          <w:sz w:val="20"/>
        </w:rPr>
        <w:t>Risks related to our common stock</w:t>
      </w:r>
      <w:r>
        <w:rPr>
          <w:rFonts w:ascii="Times New Roman" w:hAnsi="Times New Roman"/>
          <w:sz w:val="20"/>
        </w:rPr>
        <w:t xml:space="preserve"> </w:t>
      </w:r>
    </w:p>
    <w:p>
      <w:pPr>
        <w:pStyle w:val="TextBody"/>
        <w:spacing w:lineRule="auto" w:line="273" w:before="120" w:after="0"/>
        <w:jc w:val="left"/>
        <w:rPr>
          <w:rFonts w:ascii="Times New Roman" w:hAnsi="Times New Roman"/>
          <w:sz w:val="20"/>
        </w:rPr>
      </w:pPr>
      <w:r>
        <w:rPr>
          <w:rFonts w:ascii="Times New Roman" w:hAnsi="Times New Roman"/>
          <w:b/>
          <w:i/>
          <w:sz w:val="20"/>
        </w:rPr>
        <w:t>An active and liquid trading market for our common stock may never be sustained. As a result, you may not be able to resell your shares of common stock at or above the purchase price.</w:t>
      </w:r>
      <w:r>
        <w:rPr>
          <w:rFonts w:ascii="Times New Roman" w:hAnsi="Times New Roman"/>
          <w:sz w:val="20"/>
        </w:rPr>
        <w:t xml:space="preserve"> </w:t>
      </w:r>
    </w:p>
    <w:p>
      <w:pPr>
        <w:pStyle w:val="TextBody"/>
        <w:spacing w:lineRule="auto" w:line="273" w:before="120" w:after="0"/>
        <w:jc w:val="left"/>
        <w:rPr>
          <w:rFonts w:ascii="Times New Roman" w:hAnsi="Times New Roman"/>
          <w:sz w:val="20"/>
        </w:rPr>
      </w:pPr>
      <w:r>
        <w:rPr>
          <w:rFonts w:ascii="Times New Roman" w:hAnsi="Times New Roman"/>
          <w:b w:val="false"/>
          <w:sz w:val="20"/>
        </w:rPr>
        <w:t>An active trading market for our common stock may never be sustained. The market value of our common stock may decrease from the purchase price. As a result of these and other factors, you may be unable to resell your shares of our common stock at or above the purchase price. The lack of an active market may impair your ability to sell your shares at the time you wish to sell them or at a price that you consider reasonable. The lack of an active market may also reduce the fair market value of your shares.</w:t>
      </w:r>
      <w:r>
        <w:rPr>
          <w:rFonts w:ascii="Times New Roman" w:hAnsi="Times New Roman"/>
          <w:sz w:val="20"/>
        </w:rPr>
        <w:t xml:space="preserve"> </w:t>
      </w:r>
    </w:p>
    <w:p>
      <w:pPr>
        <w:pStyle w:val="TextBody"/>
        <w:spacing w:lineRule="auto" w:line="273" w:before="240" w:after="0"/>
        <w:jc w:val="left"/>
        <w:rPr>
          <w:rFonts w:ascii="Times New Roman" w:hAnsi="Times New Roman"/>
          <w:sz w:val="20"/>
        </w:rPr>
      </w:pPr>
      <w:r>
        <w:rPr>
          <w:rFonts w:ascii="Times New Roman" w:hAnsi="Times New Roman"/>
          <w:b w:val="false"/>
          <w:sz w:val="20"/>
        </w:rPr>
        <w:t>Furthermore, an inactive market may also impair our ability to raise capital by selling shares of our common stock and may impair our ability to enter into strategic collaborations or acquire companies or products by using our shares of common stock as consideration.</w:t>
      </w:r>
      <w:r>
        <w:rPr>
          <w:rFonts w:ascii="Times New Roman" w:hAnsi="Times New Roman"/>
          <w:sz w:val="20"/>
        </w:rPr>
        <w:t xml:space="preserve"> </w:t>
      </w:r>
    </w:p>
    <w:p>
      <w:pPr>
        <w:pStyle w:val="TextBody"/>
        <w:spacing w:lineRule="auto" w:line="273" w:before="0" w:after="0"/>
        <w:jc w:val="center"/>
        <w:rPr>
          <w:rFonts w:ascii="Times New Roman" w:hAnsi="Times New Roman"/>
          <w:b w:val="false"/>
          <w:sz w:val="20"/>
        </w:rPr>
      </w:pPr>
      <w:r>
        <w:rPr>
          <w:rFonts w:ascii="Times New Roman" w:hAnsi="Times New Roman"/>
          <w:b w:val="false"/>
          <w:sz w:val="20"/>
        </w:rPr>
        <w:t>83</w:t>
      </w:r>
    </w:p>
    <w:p>
      <w:pPr>
        <w:pStyle w:val="HorizontalLine"/>
        <w:rPr/>
      </w:pPr>
      <w:r>
        <w:rPr/>
      </w:r>
    </w:p>
    <w:p>
      <w:pPr>
        <w:pStyle w:val="TextBody"/>
        <w:spacing w:lineRule="auto" w:line="273" w:before="0" w:after="0"/>
        <w:jc w:val="left"/>
        <w:rPr/>
      </w:pPr>
      <w:r>
        <w:rPr/>
        <w:t> </w:t>
      </w:r>
    </w:p>
    <w:p>
      <w:pPr>
        <w:pStyle w:val="TextBody"/>
        <w:spacing w:lineRule="auto" w:line="273" w:before="360" w:after="0"/>
        <w:jc w:val="left"/>
        <w:rPr>
          <w:rFonts w:ascii="Times New Roman" w:hAnsi="Times New Roman"/>
          <w:sz w:val="20"/>
        </w:rPr>
      </w:pPr>
      <w:r>
        <w:rPr>
          <w:rFonts w:ascii="Times New Roman" w:hAnsi="Times New Roman"/>
          <w:b/>
          <w:i/>
          <w:sz w:val="20"/>
        </w:rPr>
        <w:t>Our quarterly operating results may fluctuate significantly or may fall below the expectations of investors or securities analysts, each of which may cause our stock price to fluctuate or decline.</w:t>
      </w:r>
      <w:r>
        <w:rPr>
          <w:rFonts w:ascii="Times New Roman" w:hAnsi="Times New Roman"/>
          <w:sz w:val="20"/>
        </w:rPr>
        <w:t xml:space="preserve"> </w:t>
      </w:r>
    </w:p>
    <w:p>
      <w:pPr>
        <w:pStyle w:val="TextBody"/>
        <w:spacing w:lineRule="auto" w:line="273" w:before="120" w:after="0"/>
        <w:jc w:val="left"/>
        <w:rPr>
          <w:rFonts w:ascii="Times New Roman" w:hAnsi="Times New Roman"/>
          <w:sz w:val="20"/>
        </w:rPr>
      </w:pPr>
      <w:r>
        <w:rPr>
          <w:rFonts w:ascii="Times New Roman" w:hAnsi="Times New Roman"/>
          <w:b w:val="false"/>
          <w:sz w:val="20"/>
        </w:rPr>
        <w:t>We expect our operating results to be subject to quarterly fluctuations. Our net loss and other operating results will be affected by numerous factors, including:</w:t>
      </w:r>
      <w:r>
        <w:rPr>
          <w:rFonts w:ascii="Times New Roman" w:hAnsi="Times New Roman"/>
          <w:sz w:val="20"/>
        </w:rPr>
        <w:t xml:space="preserve"> </w:t>
      </w:r>
    </w:p>
    <w:p>
      <w:pPr>
        <w:pStyle w:val="TextBody"/>
        <w:spacing w:lineRule="auto" w:line="273" w:before="120" w:after="0"/>
        <w:jc w:val="left"/>
        <w:rPr/>
      </w:pPr>
      <w:r>
        <w:rPr/>
        <w:t>•</w:t>
      </w:r>
    </w:p>
    <w:p>
      <w:pPr>
        <w:pStyle w:val="TextBody"/>
        <w:spacing w:lineRule="auto" w:line="273" w:before="120" w:after="0"/>
        <w:jc w:val="left"/>
        <w:rPr>
          <w:rFonts w:ascii="Times New Roman" w:hAnsi="Times New Roman"/>
          <w:b w:val="false"/>
          <w:sz w:val="20"/>
        </w:rPr>
      </w:pPr>
      <w:r>
        <w:rPr>
          <w:rFonts w:ascii="Times New Roman" w:hAnsi="Times New Roman"/>
          <w:b w:val="false"/>
          <w:sz w:val="20"/>
        </w:rPr>
        <w:t xml:space="preserve">variations in the level of expense related to the planned and ongoing development of our product candidates or future development programs, including scale-up CMC expenses; </w:t>
      </w:r>
    </w:p>
    <w:p>
      <w:pPr>
        <w:pStyle w:val="TextBody"/>
        <w:spacing w:lineRule="auto" w:line="273" w:before="120" w:after="0"/>
        <w:jc w:val="left"/>
        <w:rPr/>
      </w:pPr>
      <w:r>
        <w:rPr/>
        <w:t>•</w:t>
      </w:r>
    </w:p>
    <w:p>
      <w:pPr>
        <w:pStyle w:val="TextBody"/>
        <w:spacing w:lineRule="auto" w:line="273" w:before="120" w:after="0"/>
        <w:jc w:val="left"/>
        <w:rPr>
          <w:rFonts w:ascii="Times New Roman" w:hAnsi="Times New Roman"/>
          <w:b w:val="false"/>
          <w:sz w:val="20"/>
        </w:rPr>
      </w:pPr>
      <w:r>
        <w:rPr>
          <w:rFonts w:ascii="Times New Roman" w:hAnsi="Times New Roman"/>
          <w:b w:val="false"/>
          <w:sz w:val="20"/>
        </w:rPr>
        <w:t xml:space="preserve">our execution of any collaboration, licensing or similar arrangements, and the timing of payments we may make or receive under existing or future arrangements or the termination or modification of any such existing or future arrangements; </w:t>
      </w:r>
    </w:p>
    <w:p>
      <w:pPr>
        <w:pStyle w:val="TextBody"/>
        <w:spacing w:lineRule="auto" w:line="273" w:before="120" w:after="0"/>
        <w:jc w:val="left"/>
        <w:rPr/>
      </w:pPr>
      <w:r>
        <w:rPr/>
        <w:t>•</w:t>
      </w:r>
    </w:p>
    <w:p>
      <w:pPr>
        <w:pStyle w:val="TextBody"/>
        <w:spacing w:lineRule="auto" w:line="273" w:before="120" w:after="0"/>
        <w:jc w:val="left"/>
        <w:rPr>
          <w:rFonts w:ascii="Times New Roman" w:hAnsi="Times New Roman"/>
          <w:b w:val="false"/>
          <w:sz w:val="20"/>
        </w:rPr>
      </w:pPr>
      <w:r>
        <w:rPr>
          <w:rFonts w:ascii="Times New Roman" w:hAnsi="Times New Roman"/>
          <w:b w:val="false"/>
          <w:sz w:val="20"/>
        </w:rPr>
        <w:t xml:space="preserve">any intellectual property infringement lawsuit or opposition, interference or cancellation proceeding in which we may become involved; </w:t>
      </w:r>
    </w:p>
    <w:p>
      <w:pPr>
        <w:pStyle w:val="TextBody"/>
        <w:spacing w:lineRule="auto" w:line="273" w:before="120" w:after="0"/>
        <w:jc w:val="left"/>
        <w:rPr/>
      </w:pPr>
      <w:r>
        <w:rPr/>
        <w:t>•</w:t>
      </w:r>
    </w:p>
    <w:p>
      <w:pPr>
        <w:pStyle w:val="TextBody"/>
        <w:spacing w:lineRule="auto" w:line="273" w:before="120" w:after="0"/>
        <w:jc w:val="left"/>
        <w:rPr>
          <w:rFonts w:ascii="Times New Roman" w:hAnsi="Times New Roman"/>
          <w:b w:val="false"/>
          <w:sz w:val="20"/>
        </w:rPr>
      </w:pPr>
      <w:r>
        <w:rPr>
          <w:rFonts w:ascii="Times New Roman" w:hAnsi="Times New Roman"/>
          <w:b w:val="false"/>
          <w:sz w:val="20"/>
        </w:rPr>
        <w:t xml:space="preserve">additions and departures of key personnel; </w:t>
      </w:r>
    </w:p>
    <w:p>
      <w:pPr>
        <w:pStyle w:val="TextBody"/>
        <w:spacing w:lineRule="auto" w:line="273" w:before="120" w:after="0"/>
        <w:jc w:val="left"/>
        <w:rPr/>
      </w:pPr>
      <w:r>
        <w:rPr/>
        <w:t>•</w:t>
      </w:r>
    </w:p>
    <w:p>
      <w:pPr>
        <w:pStyle w:val="TextBody"/>
        <w:spacing w:lineRule="auto" w:line="273" w:before="120" w:after="0"/>
        <w:jc w:val="left"/>
        <w:rPr>
          <w:rFonts w:ascii="Times New Roman" w:hAnsi="Times New Roman"/>
          <w:b w:val="false"/>
          <w:sz w:val="20"/>
        </w:rPr>
      </w:pPr>
      <w:r>
        <w:rPr>
          <w:rFonts w:ascii="Times New Roman" w:hAnsi="Times New Roman"/>
          <w:b w:val="false"/>
          <w:sz w:val="20"/>
        </w:rPr>
        <w:t xml:space="preserve">strategic decisions by us or our competitors, such as acquisitions, divestitures, spin-offs, joint ventures, strategic investments or changes in business strategy; </w:t>
      </w:r>
    </w:p>
    <w:p>
      <w:pPr>
        <w:pStyle w:val="TextBody"/>
        <w:spacing w:lineRule="auto" w:line="273" w:before="120" w:after="0"/>
        <w:jc w:val="left"/>
        <w:rPr/>
      </w:pPr>
      <w:r>
        <w:rPr/>
        <w:t>•</w:t>
      </w:r>
    </w:p>
    <w:p>
      <w:pPr>
        <w:pStyle w:val="TextBody"/>
        <w:spacing w:lineRule="auto" w:line="273" w:before="120" w:after="0"/>
        <w:jc w:val="left"/>
        <w:rPr>
          <w:rFonts w:ascii="Times New Roman" w:hAnsi="Times New Roman"/>
          <w:b w:val="false"/>
          <w:sz w:val="20"/>
        </w:rPr>
      </w:pPr>
      <w:r>
        <w:rPr>
          <w:rFonts w:ascii="Times New Roman" w:hAnsi="Times New Roman"/>
          <w:b w:val="false"/>
          <w:sz w:val="20"/>
        </w:rPr>
        <w:t xml:space="preserve">if any of our product candidates receives regulatory approval, the terms of such approval and market acceptance and demand for such product candidates; </w:t>
      </w:r>
    </w:p>
    <w:p>
      <w:pPr>
        <w:pStyle w:val="TextBody"/>
        <w:spacing w:lineRule="auto" w:line="273" w:before="120" w:after="0"/>
        <w:jc w:val="left"/>
        <w:rPr/>
      </w:pPr>
      <w:r>
        <w:rPr/>
        <w:t>•</w:t>
      </w:r>
    </w:p>
    <w:p>
      <w:pPr>
        <w:pStyle w:val="TextBody"/>
        <w:spacing w:lineRule="auto" w:line="273" w:before="120" w:after="0"/>
        <w:jc w:val="left"/>
        <w:rPr>
          <w:rFonts w:ascii="Times New Roman" w:hAnsi="Times New Roman"/>
          <w:b w:val="false"/>
          <w:sz w:val="20"/>
        </w:rPr>
      </w:pPr>
      <w:r>
        <w:rPr>
          <w:rFonts w:ascii="Times New Roman" w:hAnsi="Times New Roman"/>
          <w:b w:val="false"/>
          <w:sz w:val="20"/>
        </w:rPr>
        <w:t xml:space="preserve">regulatory developments affecting our product candidates or those of our competitors; </w:t>
      </w:r>
    </w:p>
    <w:p>
      <w:pPr>
        <w:pStyle w:val="TextBody"/>
        <w:spacing w:lineRule="auto" w:line="273" w:before="120" w:after="0"/>
        <w:jc w:val="left"/>
        <w:rPr/>
      </w:pPr>
      <w:r>
        <w:rPr/>
        <w:t>•</w:t>
      </w:r>
    </w:p>
    <w:p>
      <w:pPr>
        <w:pStyle w:val="TextBody"/>
        <w:spacing w:lineRule="auto" w:line="273" w:before="120" w:after="0"/>
        <w:jc w:val="left"/>
        <w:rPr>
          <w:rFonts w:ascii="Times New Roman" w:hAnsi="Times New Roman"/>
          <w:b w:val="false"/>
          <w:sz w:val="20"/>
        </w:rPr>
      </w:pPr>
      <w:r>
        <w:rPr>
          <w:rFonts w:ascii="Times New Roman" w:hAnsi="Times New Roman"/>
          <w:b w:val="false"/>
          <w:sz w:val="20"/>
        </w:rPr>
        <w:t>changes in general market and economic conditions, such as due to the recent COVID-19 pandemic; and</w:t>
      </w:r>
    </w:p>
    <w:p>
      <w:pPr>
        <w:pStyle w:val="TextBody"/>
        <w:spacing w:lineRule="auto" w:line="273" w:before="120" w:after="0"/>
        <w:jc w:val="left"/>
        <w:rPr/>
      </w:pPr>
      <w:r>
        <w:rPr/>
        <w:t>•</w:t>
      </w:r>
    </w:p>
    <w:p>
      <w:pPr>
        <w:pStyle w:val="TextBody"/>
        <w:spacing w:lineRule="auto" w:line="273" w:before="120" w:after="283"/>
        <w:jc w:val="left"/>
        <w:rPr>
          <w:rFonts w:ascii="Times New Roman" w:hAnsi="Times New Roman"/>
          <w:b w:val="false"/>
          <w:sz w:val="20"/>
        </w:rPr>
      </w:pPr>
      <w:r>
        <w:rPr>
          <w:rFonts w:ascii="Times New Roman" w:hAnsi="Times New Roman"/>
          <w:b w:val="false"/>
          <w:sz w:val="20"/>
        </w:rPr>
        <w:t xml:space="preserve">business development activities, such as additional program in-licensing, which could result in up-front payments or increased development expenses. </w:t>
      </w:r>
    </w:p>
    <w:p>
      <w:pPr>
        <w:pStyle w:val="TextBody"/>
        <w:spacing w:lineRule="auto" w:line="273" w:before="240" w:after="0"/>
        <w:jc w:val="left"/>
        <w:rPr>
          <w:rFonts w:ascii="Times New Roman" w:hAnsi="Times New Roman"/>
          <w:sz w:val="20"/>
        </w:rPr>
      </w:pPr>
      <w:r>
        <w:rPr>
          <w:rFonts w:ascii="Times New Roman" w:hAnsi="Times New Roman"/>
          <w:b w:val="false"/>
          <w:sz w:val="20"/>
        </w:rPr>
        <w:t>If our quarterly operating results fall below the expectations of investors or securities analysts, the price of our common stock could decline substantially. Furthermore, any quarterly fluctuations in our operating results may, in turn, cause the price of our common stock to fluctuate substantially. We believe that quarterly comparisons of our financial results are not necessarily meaningful and should not be relied upon as an indication of our future performance.</w:t>
      </w:r>
      <w:r>
        <w:rPr>
          <w:rFonts w:ascii="Times New Roman" w:hAnsi="Times New Roman"/>
          <w:sz w:val="20"/>
        </w:rPr>
        <w:t xml:space="preserve"> </w:t>
      </w:r>
    </w:p>
    <w:p>
      <w:pPr>
        <w:pStyle w:val="TextBody"/>
        <w:spacing w:lineRule="auto" w:line="273" w:before="360" w:after="0"/>
        <w:jc w:val="left"/>
        <w:rPr>
          <w:rFonts w:ascii="Times New Roman" w:hAnsi="Times New Roman"/>
          <w:sz w:val="20"/>
        </w:rPr>
      </w:pPr>
      <w:r>
        <w:rPr>
          <w:rFonts w:ascii="Times New Roman" w:hAnsi="Times New Roman"/>
          <w:b/>
          <w:i/>
          <w:sz w:val="20"/>
        </w:rPr>
        <w:t>The market price of our common stock is likely to be highly volatile, which could result in substantial losses for purchasers of our common stock.</w:t>
      </w:r>
      <w:r>
        <w:rPr>
          <w:rFonts w:ascii="Times New Roman" w:hAnsi="Times New Roman"/>
          <w:sz w:val="20"/>
        </w:rPr>
        <w:t xml:space="preserve"> </w:t>
      </w:r>
    </w:p>
    <w:p>
      <w:pPr>
        <w:pStyle w:val="TextBody"/>
        <w:spacing w:lineRule="auto" w:line="273" w:before="120" w:after="0"/>
        <w:jc w:val="left"/>
        <w:rPr>
          <w:rFonts w:ascii="Times New Roman" w:hAnsi="Times New Roman"/>
          <w:sz w:val="20"/>
        </w:rPr>
      </w:pPr>
      <w:r>
        <w:rPr>
          <w:rFonts w:ascii="Times New Roman" w:hAnsi="Times New Roman"/>
          <w:b w:val="false"/>
          <w:sz w:val="20"/>
        </w:rPr>
        <w:t>The market price of our common stock is likely to continue to be highly volatile and subject to wide fluctuations in response to various factors, some of which we cannot control. As a result of this volatility, you may not be able to sell your shares of common stock at or above the price paid. The market price for our common stock may be influenced by many factors, including the other risks described in this “Risk Factors” section and the following:</w:t>
      </w:r>
      <w:r>
        <w:rPr>
          <w:rFonts w:ascii="Times New Roman" w:hAnsi="Times New Roman"/>
          <w:sz w:val="20"/>
        </w:rPr>
        <w:t xml:space="preserve"> </w:t>
      </w:r>
    </w:p>
    <w:p>
      <w:pPr>
        <w:pStyle w:val="TextBody"/>
        <w:spacing w:lineRule="auto" w:line="273" w:before="120" w:after="0"/>
        <w:jc w:val="left"/>
        <w:rPr/>
      </w:pPr>
      <w:r>
        <w:rPr/>
        <w:t>•</w:t>
      </w:r>
    </w:p>
    <w:p>
      <w:pPr>
        <w:pStyle w:val="TextBody"/>
        <w:spacing w:lineRule="auto" w:line="273" w:before="120" w:after="0"/>
        <w:jc w:val="left"/>
        <w:rPr>
          <w:rFonts w:ascii="Times New Roman" w:hAnsi="Times New Roman"/>
          <w:b w:val="false"/>
          <w:sz w:val="20"/>
        </w:rPr>
      </w:pPr>
      <w:r>
        <w:rPr>
          <w:rFonts w:ascii="Times New Roman" w:hAnsi="Times New Roman"/>
          <w:b w:val="false"/>
          <w:sz w:val="20"/>
        </w:rPr>
        <w:t xml:space="preserve">results of preclinical studies or clinical trials by us or those of our competitors or by existing or future collaborators or licensing partners; </w:t>
      </w:r>
    </w:p>
    <w:p>
      <w:pPr>
        <w:pStyle w:val="TextBody"/>
        <w:spacing w:lineRule="auto" w:line="273" w:before="120" w:after="0"/>
        <w:jc w:val="left"/>
        <w:rPr/>
      </w:pPr>
      <w:r>
        <w:rPr/>
        <w:t>•</w:t>
      </w:r>
    </w:p>
    <w:p>
      <w:pPr>
        <w:pStyle w:val="TextBody"/>
        <w:spacing w:lineRule="auto" w:line="273" w:before="120" w:after="0"/>
        <w:jc w:val="left"/>
        <w:rPr>
          <w:rFonts w:ascii="Times New Roman" w:hAnsi="Times New Roman"/>
          <w:b w:val="false"/>
          <w:sz w:val="20"/>
        </w:rPr>
      </w:pPr>
      <w:r>
        <w:rPr>
          <w:rFonts w:ascii="Times New Roman" w:hAnsi="Times New Roman"/>
          <w:b w:val="false"/>
          <w:sz w:val="20"/>
        </w:rPr>
        <w:t xml:space="preserve">the timing and enrollment status of our clinical trials; </w:t>
      </w:r>
    </w:p>
    <w:p>
      <w:pPr>
        <w:pStyle w:val="TextBody"/>
        <w:spacing w:lineRule="auto" w:line="273" w:before="120" w:after="0"/>
        <w:jc w:val="left"/>
        <w:rPr/>
      </w:pPr>
      <w:r>
        <w:rPr/>
        <w:t>•</w:t>
      </w:r>
    </w:p>
    <w:p>
      <w:pPr>
        <w:pStyle w:val="TextBody"/>
        <w:spacing w:lineRule="auto" w:line="273" w:before="120" w:after="0"/>
        <w:jc w:val="left"/>
        <w:rPr>
          <w:rFonts w:ascii="Times New Roman" w:hAnsi="Times New Roman"/>
          <w:b w:val="false"/>
          <w:sz w:val="20"/>
        </w:rPr>
      </w:pPr>
      <w:r>
        <w:rPr>
          <w:rFonts w:ascii="Times New Roman" w:hAnsi="Times New Roman"/>
          <w:b w:val="false"/>
          <w:sz w:val="20"/>
        </w:rPr>
        <w:t xml:space="preserve">changes in the development status of our product candidates, including variations in the level of expense related to the development of our programs or funding support by us or by existing or future collaborators or licensing partners; </w:t>
      </w:r>
    </w:p>
    <w:p>
      <w:pPr>
        <w:pStyle w:val="TextBody"/>
        <w:spacing w:lineRule="auto" w:line="273" w:before="120" w:after="0"/>
        <w:jc w:val="left"/>
        <w:rPr/>
      </w:pPr>
      <w:r>
        <w:rPr/>
        <w:t>•</w:t>
      </w:r>
    </w:p>
    <w:p>
      <w:pPr>
        <w:pStyle w:val="TextBody"/>
        <w:spacing w:lineRule="auto" w:line="273" w:before="120" w:after="0"/>
        <w:jc w:val="left"/>
        <w:rPr>
          <w:rFonts w:ascii="Times New Roman" w:hAnsi="Times New Roman"/>
          <w:b w:val="false"/>
          <w:sz w:val="20"/>
        </w:rPr>
      </w:pPr>
      <w:r>
        <w:rPr>
          <w:rFonts w:ascii="Times New Roman" w:hAnsi="Times New Roman"/>
          <w:b w:val="false"/>
          <w:sz w:val="20"/>
        </w:rPr>
        <w:t xml:space="preserve">regulatory or legal developments in the United States and other countries, especially changes in laws or regulations applicable to our business; </w:t>
      </w:r>
    </w:p>
    <w:p>
      <w:pPr>
        <w:pStyle w:val="TextBody"/>
        <w:spacing w:lineRule="auto" w:line="273" w:before="120" w:after="0"/>
        <w:jc w:val="left"/>
        <w:rPr/>
      </w:pPr>
      <w:r>
        <w:rPr/>
        <w:t>•</w:t>
      </w:r>
    </w:p>
    <w:p>
      <w:pPr>
        <w:pStyle w:val="TextBody"/>
        <w:spacing w:lineRule="auto" w:line="273" w:before="120" w:after="0"/>
        <w:jc w:val="left"/>
        <w:rPr>
          <w:rFonts w:ascii="Times New Roman" w:hAnsi="Times New Roman"/>
          <w:b w:val="false"/>
          <w:sz w:val="20"/>
        </w:rPr>
      </w:pPr>
      <w:r>
        <w:rPr>
          <w:rFonts w:ascii="Times New Roman" w:hAnsi="Times New Roman"/>
          <w:b w:val="false"/>
          <w:sz w:val="20"/>
        </w:rPr>
        <w:t xml:space="preserve">the success of competitive products or technologies; </w:t>
      </w:r>
    </w:p>
    <w:p>
      <w:pPr>
        <w:pStyle w:val="TextBody"/>
        <w:spacing w:lineRule="auto" w:line="273" w:before="120" w:after="0"/>
        <w:jc w:val="left"/>
        <w:rPr/>
      </w:pPr>
      <w:r>
        <w:rPr/>
        <w:t>•</w:t>
      </w:r>
    </w:p>
    <w:p>
      <w:pPr>
        <w:pStyle w:val="TextBody"/>
        <w:spacing w:lineRule="auto" w:line="273" w:before="120" w:after="0"/>
        <w:jc w:val="left"/>
        <w:rPr>
          <w:rFonts w:ascii="Times New Roman" w:hAnsi="Times New Roman"/>
          <w:b w:val="false"/>
          <w:sz w:val="20"/>
        </w:rPr>
      </w:pPr>
      <w:r>
        <w:rPr>
          <w:rFonts w:ascii="Times New Roman" w:hAnsi="Times New Roman"/>
          <w:b w:val="false"/>
          <w:sz w:val="20"/>
        </w:rPr>
        <w:t xml:space="preserve">introductions and announcements of new product candidates by us, our future collaboration partners, or our competitors, and the timing of these introductions or announcements; </w:t>
      </w:r>
    </w:p>
    <w:p>
      <w:pPr>
        <w:pStyle w:val="TextBody"/>
        <w:spacing w:lineRule="auto" w:line="273" w:before="120" w:after="0"/>
        <w:jc w:val="left"/>
        <w:rPr/>
      </w:pPr>
      <w:r>
        <w:rPr/>
        <w:t>•</w:t>
      </w:r>
    </w:p>
    <w:p>
      <w:pPr>
        <w:pStyle w:val="TextBody"/>
        <w:spacing w:lineRule="auto" w:line="273" w:before="120" w:after="0"/>
        <w:jc w:val="left"/>
        <w:rPr>
          <w:rFonts w:ascii="Times New Roman" w:hAnsi="Times New Roman"/>
          <w:b w:val="false"/>
          <w:sz w:val="20"/>
        </w:rPr>
      </w:pPr>
      <w:r>
        <w:rPr>
          <w:rFonts w:ascii="Times New Roman" w:hAnsi="Times New Roman"/>
          <w:b w:val="false"/>
          <w:sz w:val="20"/>
        </w:rPr>
        <w:t xml:space="preserve">actions taken by regulatory agencies with respect to our product candidates, clinical studies, manufacturing process or sales and marketing terms; </w:t>
      </w:r>
    </w:p>
    <w:p>
      <w:pPr>
        <w:pStyle w:val="TextBody"/>
        <w:spacing w:lineRule="auto" w:line="273" w:before="120" w:after="0"/>
        <w:jc w:val="left"/>
        <w:rPr/>
      </w:pPr>
      <w:r>
        <w:rPr/>
        <w:t>•</w:t>
      </w:r>
    </w:p>
    <w:p>
      <w:pPr>
        <w:pStyle w:val="TextBody"/>
        <w:spacing w:lineRule="auto" w:line="273" w:before="120" w:after="0"/>
        <w:jc w:val="left"/>
        <w:rPr>
          <w:rFonts w:ascii="Times New Roman" w:hAnsi="Times New Roman"/>
          <w:b w:val="false"/>
          <w:sz w:val="20"/>
        </w:rPr>
      </w:pPr>
      <w:r>
        <w:rPr>
          <w:rFonts w:ascii="Times New Roman" w:hAnsi="Times New Roman"/>
          <w:b w:val="false"/>
          <w:sz w:val="20"/>
        </w:rPr>
        <w:t xml:space="preserve">our execution of any collaboration, licensing or similar arrangements, and the timing of payments we may make or receive under existing or future arrangements or the termination or modification of any such existing or future arrangements; </w:t>
      </w:r>
    </w:p>
    <w:p>
      <w:pPr>
        <w:pStyle w:val="TextBody"/>
        <w:spacing w:lineRule="auto" w:line="273" w:before="120" w:after="0"/>
        <w:jc w:val="left"/>
        <w:rPr/>
      </w:pPr>
      <w:r>
        <w:rPr/>
        <w:t>•</w:t>
      </w:r>
    </w:p>
    <w:p>
      <w:pPr>
        <w:pStyle w:val="TextBody"/>
        <w:spacing w:lineRule="auto" w:line="273" w:before="120" w:after="0"/>
        <w:jc w:val="left"/>
        <w:rPr>
          <w:rFonts w:ascii="Times New Roman" w:hAnsi="Times New Roman"/>
          <w:b w:val="false"/>
          <w:sz w:val="20"/>
        </w:rPr>
      </w:pPr>
      <w:r>
        <w:rPr>
          <w:rFonts w:ascii="Times New Roman" w:hAnsi="Times New Roman"/>
          <w:b w:val="false"/>
          <w:sz w:val="20"/>
        </w:rPr>
        <w:t xml:space="preserve">actual or anticipated variations in our financial results or those of companies that are perceived to be similar to us; </w:t>
      </w:r>
    </w:p>
    <w:p>
      <w:pPr>
        <w:pStyle w:val="TextBody"/>
        <w:spacing w:lineRule="auto" w:line="273" w:before="120" w:after="0"/>
        <w:jc w:val="left"/>
        <w:rPr/>
      </w:pPr>
      <w:r>
        <w:rPr/>
        <w:t>•</w:t>
      </w:r>
    </w:p>
    <w:p>
      <w:pPr>
        <w:pStyle w:val="TextBody"/>
        <w:spacing w:lineRule="auto" w:line="273" w:before="120" w:after="283"/>
        <w:jc w:val="left"/>
        <w:rPr>
          <w:rFonts w:ascii="Times New Roman" w:hAnsi="Times New Roman"/>
          <w:b w:val="false"/>
          <w:sz w:val="20"/>
        </w:rPr>
      </w:pPr>
      <w:r>
        <w:rPr>
          <w:rFonts w:ascii="Times New Roman" w:hAnsi="Times New Roman"/>
          <w:b w:val="false"/>
          <w:sz w:val="20"/>
        </w:rPr>
        <w:t xml:space="preserve">the success of our efforts to acquire or in-license additional technologies or product candidates; </w:t>
      </w:r>
    </w:p>
    <w:p>
      <w:pPr>
        <w:pStyle w:val="TextBody"/>
        <w:spacing w:lineRule="auto" w:line="273" w:before="0" w:after="0"/>
        <w:jc w:val="center"/>
        <w:rPr>
          <w:rFonts w:ascii="Times New Roman" w:hAnsi="Times New Roman"/>
          <w:b w:val="false"/>
          <w:sz w:val="20"/>
        </w:rPr>
      </w:pPr>
      <w:r>
        <w:rPr>
          <w:rFonts w:ascii="Times New Roman" w:hAnsi="Times New Roman"/>
          <w:b w:val="false"/>
          <w:sz w:val="20"/>
        </w:rPr>
        <w:t>84</w:t>
      </w:r>
    </w:p>
    <w:p>
      <w:pPr>
        <w:pStyle w:val="HorizontalLine"/>
        <w:rPr/>
      </w:pPr>
      <w:r>
        <w:rPr/>
      </w:r>
    </w:p>
    <w:p>
      <w:pPr>
        <w:pStyle w:val="TextBody"/>
        <w:spacing w:lineRule="auto" w:line="273" w:before="0" w:after="0"/>
        <w:jc w:val="left"/>
        <w:rPr/>
      </w:pPr>
      <w:r>
        <w:rPr/>
        <w:t> </w:t>
      </w:r>
    </w:p>
    <w:p>
      <w:pPr>
        <w:pStyle w:val="TextBody"/>
        <w:spacing w:lineRule="auto" w:line="273" w:before="120" w:after="0"/>
        <w:jc w:val="left"/>
        <w:rPr/>
      </w:pPr>
      <w:r>
        <w:rPr/>
        <w:t>•</w:t>
      </w:r>
    </w:p>
    <w:p>
      <w:pPr>
        <w:pStyle w:val="TextBody"/>
        <w:spacing w:lineRule="auto" w:line="273" w:before="120" w:after="0"/>
        <w:jc w:val="left"/>
        <w:rPr>
          <w:rFonts w:ascii="Times New Roman" w:hAnsi="Times New Roman"/>
          <w:b w:val="false"/>
          <w:sz w:val="20"/>
        </w:rPr>
      </w:pPr>
      <w:r>
        <w:rPr>
          <w:rFonts w:ascii="Times New Roman" w:hAnsi="Times New Roman"/>
          <w:b w:val="false"/>
          <w:sz w:val="20"/>
        </w:rPr>
        <w:t xml:space="preserve">announced or completed significant acquisitions, strategic collaborations, joint ventures or capital commitments by us or our competitors; </w:t>
      </w:r>
    </w:p>
    <w:p>
      <w:pPr>
        <w:pStyle w:val="TextBody"/>
        <w:spacing w:lineRule="auto" w:line="273" w:before="120" w:after="0"/>
        <w:jc w:val="left"/>
        <w:rPr/>
      </w:pPr>
      <w:r>
        <w:rPr/>
        <w:t>•</w:t>
      </w:r>
    </w:p>
    <w:p>
      <w:pPr>
        <w:pStyle w:val="TextBody"/>
        <w:spacing w:lineRule="auto" w:line="273" w:before="120" w:after="0"/>
        <w:jc w:val="left"/>
        <w:rPr>
          <w:rFonts w:ascii="Times New Roman" w:hAnsi="Times New Roman"/>
          <w:b w:val="false"/>
          <w:sz w:val="20"/>
        </w:rPr>
      </w:pPr>
      <w:r>
        <w:rPr>
          <w:rFonts w:ascii="Times New Roman" w:hAnsi="Times New Roman"/>
          <w:b w:val="false"/>
          <w:sz w:val="20"/>
        </w:rPr>
        <w:t xml:space="preserve">developments or disputes concerning our intellectual property and proprietary rights; </w:t>
      </w:r>
    </w:p>
    <w:p>
      <w:pPr>
        <w:pStyle w:val="TextBody"/>
        <w:spacing w:lineRule="auto" w:line="273" w:before="120" w:after="0"/>
        <w:jc w:val="left"/>
        <w:rPr/>
      </w:pPr>
      <w:r>
        <w:rPr/>
        <w:t>•</w:t>
      </w:r>
    </w:p>
    <w:p>
      <w:pPr>
        <w:pStyle w:val="TextBody"/>
        <w:spacing w:lineRule="auto" w:line="273" w:before="120" w:after="0"/>
        <w:jc w:val="left"/>
        <w:rPr>
          <w:rFonts w:ascii="Times New Roman" w:hAnsi="Times New Roman"/>
          <w:b w:val="false"/>
          <w:sz w:val="20"/>
        </w:rPr>
      </w:pPr>
      <w:r>
        <w:rPr>
          <w:rFonts w:ascii="Times New Roman" w:hAnsi="Times New Roman"/>
          <w:b w:val="false"/>
          <w:sz w:val="20"/>
        </w:rPr>
        <w:t xml:space="preserve">the recruitment or departure of key personnel; </w:t>
      </w:r>
    </w:p>
    <w:p>
      <w:pPr>
        <w:pStyle w:val="TextBody"/>
        <w:spacing w:lineRule="auto" w:line="273" w:before="120" w:after="0"/>
        <w:jc w:val="left"/>
        <w:rPr/>
      </w:pPr>
      <w:r>
        <w:rPr/>
        <w:t>•</w:t>
      </w:r>
    </w:p>
    <w:p>
      <w:pPr>
        <w:pStyle w:val="TextBody"/>
        <w:spacing w:lineRule="auto" w:line="273" w:before="120" w:after="0"/>
        <w:jc w:val="left"/>
        <w:rPr>
          <w:rFonts w:ascii="Times New Roman" w:hAnsi="Times New Roman"/>
          <w:b w:val="false"/>
          <w:sz w:val="20"/>
        </w:rPr>
      </w:pPr>
      <w:r>
        <w:rPr>
          <w:rFonts w:ascii="Times New Roman" w:hAnsi="Times New Roman"/>
          <w:b w:val="false"/>
          <w:sz w:val="20"/>
        </w:rPr>
        <w:t xml:space="preserve">changes in the structure of healthcare payment systems; </w:t>
      </w:r>
    </w:p>
    <w:p>
      <w:pPr>
        <w:pStyle w:val="TextBody"/>
        <w:spacing w:lineRule="auto" w:line="273" w:before="120" w:after="0"/>
        <w:jc w:val="left"/>
        <w:rPr/>
      </w:pPr>
      <w:r>
        <w:rPr/>
        <w:t>•</w:t>
      </w:r>
    </w:p>
    <w:p>
      <w:pPr>
        <w:pStyle w:val="TextBody"/>
        <w:spacing w:lineRule="auto" w:line="273" w:before="120" w:after="0"/>
        <w:jc w:val="left"/>
        <w:rPr>
          <w:rFonts w:ascii="Times New Roman" w:hAnsi="Times New Roman"/>
          <w:b w:val="false"/>
          <w:sz w:val="20"/>
        </w:rPr>
      </w:pPr>
      <w:r>
        <w:rPr>
          <w:rFonts w:ascii="Times New Roman" w:hAnsi="Times New Roman"/>
          <w:b w:val="false"/>
          <w:sz w:val="20"/>
        </w:rPr>
        <w:t xml:space="preserve">actual or anticipated changes in earnings estimates or changes in stock market analyst recommendations regarding our common stock, other comparable companies or our industry generally; </w:t>
      </w:r>
    </w:p>
    <w:p>
      <w:pPr>
        <w:pStyle w:val="TextBody"/>
        <w:spacing w:lineRule="auto" w:line="273" w:before="120" w:after="0"/>
        <w:jc w:val="left"/>
        <w:rPr/>
      </w:pPr>
      <w:r>
        <w:rPr/>
        <w:t>•</w:t>
      </w:r>
    </w:p>
    <w:p>
      <w:pPr>
        <w:pStyle w:val="TextBody"/>
        <w:spacing w:lineRule="auto" w:line="273" w:before="120" w:after="0"/>
        <w:jc w:val="left"/>
        <w:rPr>
          <w:rFonts w:ascii="Times New Roman" w:hAnsi="Times New Roman"/>
          <w:b w:val="false"/>
          <w:sz w:val="20"/>
        </w:rPr>
      </w:pPr>
      <w:r>
        <w:rPr>
          <w:rFonts w:ascii="Times New Roman" w:hAnsi="Times New Roman"/>
          <w:b w:val="false"/>
          <w:sz w:val="20"/>
        </w:rPr>
        <w:t xml:space="preserve">our failure or the failure of our competitors to meet analysts’ projections or guidance that we or our competitors may give to the market; </w:t>
      </w:r>
    </w:p>
    <w:p>
      <w:pPr>
        <w:pStyle w:val="TextBody"/>
        <w:spacing w:lineRule="auto" w:line="273" w:before="120" w:after="0"/>
        <w:jc w:val="left"/>
        <w:rPr/>
      </w:pPr>
      <w:r>
        <w:rPr/>
        <w:t>•</w:t>
      </w:r>
    </w:p>
    <w:p>
      <w:pPr>
        <w:pStyle w:val="TextBody"/>
        <w:spacing w:lineRule="auto" w:line="273" w:before="120" w:after="0"/>
        <w:jc w:val="left"/>
        <w:rPr>
          <w:rFonts w:ascii="Times New Roman" w:hAnsi="Times New Roman"/>
          <w:b w:val="false"/>
          <w:sz w:val="20"/>
        </w:rPr>
      </w:pPr>
      <w:r>
        <w:rPr>
          <w:rFonts w:ascii="Times New Roman" w:hAnsi="Times New Roman"/>
          <w:b w:val="false"/>
          <w:sz w:val="20"/>
        </w:rPr>
        <w:t xml:space="preserve">speculation in the press or investment community; </w:t>
      </w:r>
    </w:p>
    <w:p>
      <w:pPr>
        <w:pStyle w:val="TextBody"/>
        <w:spacing w:lineRule="auto" w:line="273" w:before="120" w:after="0"/>
        <w:jc w:val="left"/>
        <w:rPr/>
      </w:pPr>
      <w:r>
        <w:rPr/>
        <w:t>•</w:t>
      </w:r>
    </w:p>
    <w:p>
      <w:pPr>
        <w:pStyle w:val="TextBody"/>
        <w:spacing w:lineRule="auto" w:line="273" w:before="120" w:after="0"/>
        <w:jc w:val="left"/>
        <w:rPr>
          <w:rFonts w:ascii="Times New Roman" w:hAnsi="Times New Roman"/>
          <w:b w:val="false"/>
          <w:sz w:val="20"/>
        </w:rPr>
      </w:pPr>
      <w:r>
        <w:rPr>
          <w:rFonts w:ascii="Times New Roman" w:hAnsi="Times New Roman"/>
          <w:b w:val="false"/>
          <w:sz w:val="20"/>
        </w:rPr>
        <w:t>share price and fluctuations of trading volume of our common stock;</w:t>
      </w:r>
    </w:p>
    <w:p>
      <w:pPr>
        <w:pStyle w:val="TextBody"/>
        <w:spacing w:lineRule="auto" w:line="273" w:before="120" w:after="0"/>
        <w:jc w:val="left"/>
        <w:rPr/>
      </w:pPr>
      <w:r>
        <w:rPr/>
        <w:t>•</w:t>
      </w:r>
    </w:p>
    <w:p>
      <w:pPr>
        <w:pStyle w:val="TextBody"/>
        <w:spacing w:lineRule="auto" w:line="273" w:before="120" w:after="0"/>
        <w:jc w:val="left"/>
        <w:rPr>
          <w:rFonts w:ascii="Times New Roman" w:hAnsi="Times New Roman"/>
          <w:b w:val="false"/>
          <w:sz w:val="20"/>
        </w:rPr>
      </w:pPr>
      <w:r>
        <w:rPr>
          <w:rFonts w:ascii="Times New Roman" w:hAnsi="Times New Roman"/>
          <w:b w:val="false"/>
          <w:sz w:val="20"/>
        </w:rPr>
        <w:t>the impact of interest rate increases on the overall stock market and the market for biopharmaceutical company stocks;</w:t>
      </w:r>
    </w:p>
    <w:p>
      <w:pPr>
        <w:pStyle w:val="TextBody"/>
        <w:spacing w:lineRule="auto" w:line="273" w:before="120" w:after="0"/>
        <w:jc w:val="left"/>
        <w:rPr/>
      </w:pPr>
      <w:r>
        <w:rPr/>
        <w:t>•</w:t>
      </w:r>
    </w:p>
    <w:p>
      <w:pPr>
        <w:pStyle w:val="TextBody"/>
        <w:spacing w:lineRule="auto" w:line="273" w:before="120" w:after="0"/>
        <w:jc w:val="left"/>
        <w:rPr>
          <w:rFonts w:ascii="Times New Roman" w:hAnsi="Times New Roman"/>
          <w:b w:val="false"/>
          <w:sz w:val="20"/>
        </w:rPr>
      </w:pPr>
      <w:r>
        <w:rPr>
          <w:rFonts w:ascii="Times New Roman" w:hAnsi="Times New Roman"/>
          <w:b w:val="false"/>
          <w:sz w:val="20"/>
        </w:rPr>
        <w:t xml:space="preserve">fluctuations in the valuation of companies perceived by investors to be comparable to us; </w:t>
      </w:r>
    </w:p>
    <w:p>
      <w:pPr>
        <w:pStyle w:val="TextBody"/>
        <w:spacing w:lineRule="auto" w:line="273" w:before="120" w:after="0"/>
        <w:jc w:val="left"/>
        <w:rPr/>
      </w:pPr>
      <w:r>
        <w:rPr/>
        <w:t>•</w:t>
      </w:r>
    </w:p>
    <w:p>
      <w:pPr>
        <w:pStyle w:val="TextBody"/>
        <w:spacing w:lineRule="auto" w:line="273" w:before="120" w:after="0"/>
        <w:jc w:val="left"/>
        <w:rPr>
          <w:rFonts w:ascii="Times New Roman" w:hAnsi="Times New Roman"/>
          <w:b w:val="false"/>
          <w:sz w:val="20"/>
        </w:rPr>
      </w:pPr>
      <w:r>
        <w:rPr>
          <w:rFonts w:ascii="Times New Roman" w:hAnsi="Times New Roman"/>
          <w:b w:val="false"/>
          <w:sz w:val="20"/>
        </w:rPr>
        <w:t xml:space="preserve">sales of shares of our common stock by us, insiders or our stockholders; </w:t>
      </w:r>
    </w:p>
    <w:p>
      <w:pPr>
        <w:pStyle w:val="TextBody"/>
        <w:spacing w:lineRule="auto" w:line="273" w:before="120" w:after="0"/>
        <w:jc w:val="left"/>
        <w:rPr/>
      </w:pPr>
      <w:r>
        <w:rPr/>
        <w:t>•</w:t>
      </w:r>
    </w:p>
    <w:p>
      <w:pPr>
        <w:pStyle w:val="TextBody"/>
        <w:spacing w:lineRule="auto" w:line="273" w:before="120" w:after="0"/>
        <w:jc w:val="left"/>
        <w:rPr>
          <w:rFonts w:ascii="Times New Roman" w:hAnsi="Times New Roman"/>
          <w:b w:val="false"/>
          <w:sz w:val="20"/>
        </w:rPr>
      </w:pPr>
      <w:r>
        <w:rPr>
          <w:rFonts w:ascii="Times New Roman" w:hAnsi="Times New Roman"/>
          <w:b w:val="false"/>
          <w:sz w:val="20"/>
        </w:rPr>
        <w:t xml:space="preserve">our ability or inability to raise additional capital and the terms on which we raise it; </w:t>
      </w:r>
    </w:p>
    <w:p>
      <w:pPr>
        <w:pStyle w:val="TextBody"/>
        <w:spacing w:lineRule="auto" w:line="273" w:before="120" w:after="0"/>
        <w:jc w:val="left"/>
        <w:rPr/>
      </w:pPr>
      <w:r>
        <w:rPr/>
        <w:t>•</w:t>
      </w:r>
    </w:p>
    <w:p>
      <w:pPr>
        <w:pStyle w:val="TextBody"/>
        <w:spacing w:lineRule="auto" w:line="273" w:before="120" w:after="0"/>
        <w:jc w:val="left"/>
        <w:rPr>
          <w:rFonts w:ascii="Times New Roman" w:hAnsi="Times New Roman"/>
          <w:b w:val="false"/>
          <w:sz w:val="20"/>
        </w:rPr>
      </w:pPr>
      <w:r>
        <w:rPr>
          <w:rFonts w:ascii="Times New Roman" w:hAnsi="Times New Roman"/>
          <w:b w:val="false"/>
          <w:sz w:val="20"/>
        </w:rPr>
        <w:t xml:space="preserve">the concentrated ownership of our common stock; </w:t>
      </w:r>
    </w:p>
    <w:p>
      <w:pPr>
        <w:pStyle w:val="TextBody"/>
        <w:spacing w:lineRule="auto" w:line="273" w:before="120" w:after="0"/>
        <w:jc w:val="left"/>
        <w:rPr/>
      </w:pPr>
      <w:r>
        <w:rPr/>
        <w:t>•</w:t>
      </w:r>
    </w:p>
    <w:p>
      <w:pPr>
        <w:pStyle w:val="TextBody"/>
        <w:spacing w:lineRule="auto" w:line="273" w:before="120" w:after="0"/>
        <w:jc w:val="left"/>
        <w:rPr>
          <w:rFonts w:ascii="Times New Roman" w:hAnsi="Times New Roman"/>
          <w:b w:val="false"/>
          <w:sz w:val="20"/>
        </w:rPr>
      </w:pPr>
      <w:r>
        <w:rPr>
          <w:rFonts w:ascii="Times New Roman" w:hAnsi="Times New Roman"/>
          <w:b w:val="false"/>
          <w:sz w:val="20"/>
        </w:rPr>
        <w:t xml:space="preserve">changes in accounting principles; </w:t>
      </w:r>
    </w:p>
    <w:p>
      <w:pPr>
        <w:pStyle w:val="TextBody"/>
        <w:spacing w:lineRule="auto" w:line="273" w:before="120" w:after="0"/>
        <w:jc w:val="left"/>
        <w:rPr/>
      </w:pPr>
      <w:r>
        <w:rPr/>
        <w:t>•</w:t>
      </w:r>
    </w:p>
    <w:p>
      <w:pPr>
        <w:pStyle w:val="TextBody"/>
        <w:spacing w:lineRule="auto" w:line="273" w:before="120" w:after="0"/>
        <w:jc w:val="left"/>
        <w:rPr>
          <w:rFonts w:ascii="Times New Roman" w:hAnsi="Times New Roman"/>
          <w:b w:val="false"/>
          <w:sz w:val="20"/>
        </w:rPr>
      </w:pPr>
      <w:r>
        <w:rPr>
          <w:rFonts w:ascii="Times New Roman" w:hAnsi="Times New Roman"/>
          <w:b w:val="false"/>
          <w:sz w:val="20"/>
        </w:rPr>
        <w:t>natural disasters, terrorist acts, acts of war and other calamities;</w:t>
      </w:r>
    </w:p>
    <w:p>
      <w:pPr>
        <w:pStyle w:val="TextBody"/>
        <w:spacing w:lineRule="auto" w:line="273" w:before="120" w:after="0"/>
        <w:jc w:val="left"/>
        <w:rPr/>
      </w:pPr>
      <w:r>
        <w:rPr/>
        <w:t>•</w:t>
      </w:r>
    </w:p>
    <w:p>
      <w:pPr>
        <w:pStyle w:val="TextBody"/>
        <w:spacing w:lineRule="auto" w:line="273" w:before="120" w:after="0"/>
        <w:jc w:val="left"/>
        <w:rPr>
          <w:rFonts w:ascii="Times New Roman" w:hAnsi="Times New Roman"/>
          <w:b w:val="false"/>
          <w:sz w:val="20"/>
        </w:rPr>
      </w:pPr>
      <w:r>
        <w:rPr>
          <w:rFonts w:ascii="Times New Roman" w:hAnsi="Times New Roman"/>
          <w:b w:val="false"/>
          <w:sz w:val="20"/>
        </w:rPr>
        <w:t>general economic, industry and market conditions, many of which are beyond our control, such as the recent COVID-19 pandemic; and</w:t>
      </w:r>
    </w:p>
    <w:p>
      <w:pPr>
        <w:pStyle w:val="TextBody"/>
        <w:spacing w:lineRule="auto" w:line="273" w:before="120" w:after="0"/>
        <w:jc w:val="left"/>
        <w:rPr/>
      </w:pPr>
      <w:r>
        <w:rPr/>
        <w:t>•</w:t>
      </w:r>
    </w:p>
    <w:p>
      <w:pPr>
        <w:pStyle w:val="TextBody"/>
        <w:spacing w:lineRule="auto" w:line="273" w:before="120" w:after="283"/>
        <w:jc w:val="left"/>
        <w:rPr>
          <w:rFonts w:ascii="Times New Roman" w:hAnsi="Times New Roman"/>
          <w:b w:val="false"/>
          <w:sz w:val="20"/>
        </w:rPr>
      </w:pPr>
      <w:r>
        <w:rPr>
          <w:rFonts w:ascii="Times New Roman" w:hAnsi="Times New Roman"/>
          <w:b w:val="false"/>
          <w:sz w:val="20"/>
        </w:rPr>
        <w:t>other events or factors, including those resulting from war, incidents of terrorism or responses to these events, including those related to the recent and developing armed conflict in Ukraine.</w:t>
      </w:r>
    </w:p>
    <w:p>
      <w:pPr>
        <w:pStyle w:val="TextBody"/>
        <w:spacing w:lineRule="auto" w:line="273" w:before="240" w:after="0"/>
        <w:jc w:val="left"/>
        <w:rPr>
          <w:rFonts w:ascii="Times New Roman" w:hAnsi="Times New Roman"/>
          <w:sz w:val="20"/>
        </w:rPr>
      </w:pPr>
      <w:r>
        <w:rPr>
          <w:rFonts w:ascii="Times New Roman" w:hAnsi="Times New Roman"/>
          <w:b w:val="false"/>
          <w:sz w:val="20"/>
        </w:rPr>
        <w:t>In addition, the stock market in general, and the markets for pharmaceutical, biopharmaceutical and biotechnology stocks in particular, have experienced extreme price and volume fluctuations, including as a result of the COVID-19 pandemic, increase in inflation and interest rates, and disruptions to the supply chain, that have been often unrelated or disproportionate to the operating performance of the issuer. Furthermore, the trading price of our common stock may be adversely affected by third parties trying to drive down the market price. Short sellers and others, some of whom post anonymously on social media, may be positioned to profit if our stock declines and their activities can negatively affect our stock price. These broad market and industry factors may seriously harm the market price of our common stock, regardless of our actual operating performance. The realization of any of the above risks or any of a broad range of other risks, including those described in this “Risk Factors” section, could have a dramatic and adverse impact on the market price of our common stock.</w:t>
      </w:r>
      <w:r>
        <w:rPr>
          <w:rFonts w:ascii="Times New Roman" w:hAnsi="Times New Roman"/>
          <w:sz w:val="20"/>
        </w:rPr>
        <w:t xml:space="preserve"> </w:t>
      </w:r>
    </w:p>
    <w:p>
      <w:pPr>
        <w:pStyle w:val="TextBody"/>
        <w:spacing w:lineRule="auto" w:line="273" w:before="240" w:after="0"/>
        <w:jc w:val="left"/>
        <w:rPr>
          <w:rFonts w:ascii="Times New Roman" w:hAnsi="Times New Roman"/>
          <w:sz w:val="20"/>
        </w:rPr>
      </w:pPr>
      <w:r>
        <w:rPr>
          <w:rFonts w:ascii="Times New Roman" w:hAnsi="Times New Roman"/>
          <w:b w:val="false"/>
          <w:sz w:val="20"/>
        </w:rPr>
        <w:t>In the past, securities class action litigation has often been brought against public companies following declines in the market price of their securities. This risk is especially relevant for biopharmaceutical companies, which have experienced significant stock price volatility in recent years. If we face such litigation, it could result in substantial costs and a diversion of management’s attention and our resources, which could harm our business.</w:t>
      </w:r>
      <w:r>
        <w:rPr>
          <w:rFonts w:ascii="Times New Roman" w:hAnsi="Times New Roman"/>
          <w:sz w:val="20"/>
        </w:rPr>
        <w:t xml:space="preserve"> </w:t>
      </w:r>
    </w:p>
    <w:p>
      <w:pPr>
        <w:pStyle w:val="TextBody"/>
        <w:spacing w:lineRule="auto" w:line="273" w:before="360" w:after="0"/>
        <w:jc w:val="left"/>
        <w:rPr>
          <w:rFonts w:ascii="Times New Roman" w:hAnsi="Times New Roman"/>
          <w:sz w:val="20"/>
        </w:rPr>
      </w:pPr>
      <w:r>
        <w:rPr>
          <w:rFonts w:ascii="Times New Roman" w:hAnsi="Times New Roman"/>
          <w:b/>
          <w:i/>
          <w:sz w:val="20"/>
        </w:rPr>
        <w:t>Our quarterly operating results may fluctuate significantly or may fall below the expectations of investors or securities analysts, each of which may cause our stock price to fluctuate or decline.</w:t>
      </w:r>
      <w:r>
        <w:rPr>
          <w:rFonts w:ascii="Times New Roman" w:hAnsi="Times New Roman"/>
          <w:sz w:val="20"/>
        </w:rPr>
        <w:t xml:space="preserve"> </w:t>
      </w:r>
    </w:p>
    <w:p>
      <w:pPr>
        <w:pStyle w:val="TextBody"/>
        <w:spacing w:lineRule="auto" w:line="273" w:before="120" w:after="0"/>
        <w:jc w:val="left"/>
        <w:rPr>
          <w:rFonts w:ascii="Times New Roman" w:hAnsi="Times New Roman"/>
          <w:sz w:val="20"/>
        </w:rPr>
      </w:pPr>
      <w:r>
        <w:rPr>
          <w:rFonts w:ascii="Times New Roman" w:hAnsi="Times New Roman"/>
          <w:b w:val="false"/>
          <w:sz w:val="20"/>
        </w:rPr>
        <w:t>We expect our operating results to be subject to quarterly fluctuations. Our net loss and other operating results will be affected by numerous factors, including:</w:t>
      </w:r>
      <w:r>
        <w:rPr>
          <w:rFonts w:ascii="Times New Roman" w:hAnsi="Times New Roman"/>
          <w:sz w:val="20"/>
        </w:rPr>
        <w:t xml:space="preserve"> </w:t>
      </w:r>
    </w:p>
    <w:p>
      <w:pPr>
        <w:pStyle w:val="TextBody"/>
        <w:spacing w:lineRule="auto" w:line="273" w:before="120" w:after="0"/>
        <w:jc w:val="left"/>
        <w:rPr/>
      </w:pPr>
      <w:r>
        <w:rPr/>
        <w:t>•</w:t>
      </w:r>
    </w:p>
    <w:p>
      <w:pPr>
        <w:pStyle w:val="TextBody"/>
        <w:spacing w:lineRule="auto" w:line="273" w:before="120" w:after="0"/>
        <w:jc w:val="left"/>
        <w:rPr>
          <w:rFonts w:ascii="Times New Roman" w:hAnsi="Times New Roman"/>
          <w:b w:val="false"/>
          <w:sz w:val="20"/>
        </w:rPr>
      </w:pPr>
      <w:r>
        <w:rPr>
          <w:rFonts w:ascii="Times New Roman" w:hAnsi="Times New Roman"/>
          <w:b w:val="false"/>
          <w:sz w:val="20"/>
        </w:rPr>
        <w:t xml:space="preserve">timing and variations in the level of expense related to the current or future development of our programs; </w:t>
      </w:r>
    </w:p>
    <w:p>
      <w:pPr>
        <w:pStyle w:val="TextBody"/>
        <w:spacing w:lineRule="auto" w:line="273" w:before="120" w:after="0"/>
        <w:jc w:val="left"/>
        <w:rPr/>
      </w:pPr>
      <w:r>
        <w:rPr/>
        <w:t>•</w:t>
      </w:r>
    </w:p>
    <w:p>
      <w:pPr>
        <w:pStyle w:val="TextBody"/>
        <w:spacing w:lineRule="auto" w:line="273" w:before="120" w:after="0"/>
        <w:jc w:val="left"/>
        <w:rPr>
          <w:rFonts w:ascii="Times New Roman" w:hAnsi="Times New Roman"/>
          <w:b w:val="false"/>
          <w:sz w:val="20"/>
        </w:rPr>
      </w:pPr>
      <w:r>
        <w:rPr>
          <w:rFonts w:ascii="Times New Roman" w:hAnsi="Times New Roman"/>
          <w:b w:val="false"/>
          <w:sz w:val="20"/>
        </w:rPr>
        <w:t xml:space="preserve">timing and status of enrollment for our clinical trials; </w:t>
      </w:r>
    </w:p>
    <w:p>
      <w:pPr>
        <w:pStyle w:val="TextBody"/>
        <w:spacing w:lineRule="auto" w:line="273" w:before="120" w:after="0"/>
        <w:jc w:val="left"/>
        <w:rPr/>
      </w:pPr>
      <w:r>
        <w:rPr/>
        <w:t>•</w:t>
      </w:r>
    </w:p>
    <w:p>
      <w:pPr>
        <w:pStyle w:val="TextBody"/>
        <w:spacing w:lineRule="auto" w:line="273" w:before="120" w:after="0"/>
        <w:jc w:val="left"/>
        <w:rPr>
          <w:rFonts w:ascii="Times New Roman" w:hAnsi="Times New Roman"/>
          <w:b w:val="false"/>
          <w:sz w:val="20"/>
        </w:rPr>
      </w:pPr>
      <w:r>
        <w:rPr>
          <w:rFonts w:ascii="Times New Roman" w:hAnsi="Times New Roman"/>
          <w:b w:val="false"/>
          <w:sz w:val="20"/>
        </w:rPr>
        <w:t xml:space="preserve">results of clinical trials, or the addition or termination of clinical trials or funding support by us or potential future partners; </w:t>
      </w:r>
    </w:p>
    <w:p>
      <w:pPr>
        <w:pStyle w:val="TextBody"/>
        <w:spacing w:lineRule="auto" w:line="273" w:before="120" w:after="0"/>
        <w:jc w:val="left"/>
        <w:rPr/>
      </w:pPr>
      <w:r>
        <w:rPr/>
        <w:t>•</w:t>
      </w:r>
    </w:p>
    <w:p>
      <w:pPr>
        <w:pStyle w:val="TextBody"/>
        <w:spacing w:lineRule="auto" w:line="273" w:before="120" w:after="283"/>
        <w:jc w:val="left"/>
        <w:rPr>
          <w:rFonts w:ascii="Times New Roman" w:hAnsi="Times New Roman"/>
          <w:b w:val="false"/>
          <w:sz w:val="20"/>
        </w:rPr>
      </w:pPr>
      <w:r>
        <w:rPr>
          <w:rFonts w:ascii="Times New Roman" w:hAnsi="Times New Roman"/>
          <w:b w:val="false"/>
          <w:sz w:val="20"/>
        </w:rPr>
        <w:t xml:space="preserve">our execution of any collaboration, licensing or similar arrangements, and the timing of payments we may make or receive under potential future arrangements or the termination or modification of any such potential future arrangements; </w:t>
      </w:r>
    </w:p>
    <w:p>
      <w:pPr>
        <w:pStyle w:val="TextBody"/>
        <w:spacing w:lineRule="auto" w:line="273" w:before="0" w:after="0"/>
        <w:jc w:val="center"/>
        <w:rPr>
          <w:rFonts w:ascii="Times New Roman" w:hAnsi="Times New Roman"/>
          <w:b w:val="false"/>
          <w:sz w:val="20"/>
        </w:rPr>
      </w:pPr>
      <w:r>
        <w:rPr>
          <w:rFonts w:ascii="Times New Roman" w:hAnsi="Times New Roman"/>
          <w:b w:val="false"/>
          <w:sz w:val="20"/>
        </w:rPr>
        <w:t>85</w:t>
      </w:r>
    </w:p>
    <w:p>
      <w:pPr>
        <w:pStyle w:val="HorizontalLine"/>
        <w:rPr/>
      </w:pPr>
      <w:r>
        <w:rPr/>
      </w:r>
    </w:p>
    <w:p>
      <w:pPr>
        <w:pStyle w:val="TextBody"/>
        <w:spacing w:lineRule="auto" w:line="273" w:before="0" w:after="0"/>
        <w:jc w:val="left"/>
        <w:rPr/>
      </w:pPr>
      <w:r>
        <w:rPr/>
        <w:t> </w:t>
      </w:r>
    </w:p>
    <w:p>
      <w:pPr>
        <w:pStyle w:val="TextBody"/>
        <w:spacing w:lineRule="auto" w:line="273" w:before="120" w:after="0"/>
        <w:jc w:val="left"/>
        <w:rPr/>
      </w:pPr>
      <w:r>
        <w:rPr/>
        <w:t>•</w:t>
      </w:r>
    </w:p>
    <w:p>
      <w:pPr>
        <w:pStyle w:val="TextBody"/>
        <w:spacing w:lineRule="auto" w:line="273" w:before="120" w:after="0"/>
        <w:jc w:val="left"/>
        <w:rPr>
          <w:rFonts w:ascii="Times New Roman" w:hAnsi="Times New Roman"/>
          <w:b w:val="false"/>
          <w:sz w:val="20"/>
        </w:rPr>
      </w:pPr>
      <w:r>
        <w:rPr>
          <w:rFonts w:ascii="Times New Roman" w:hAnsi="Times New Roman"/>
          <w:b w:val="false"/>
          <w:sz w:val="20"/>
        </w:rPr>
        <w:t xml:space="preserve">any intellectual property infringement, misappropriation or violation lawsuit or opposition, interference or cancellation proceeding in which we may become involved; </w:t>
      </w:r>
    </w:p>
    <w:p>
      <w:pPr>
        <w:pStyle w:val="TextBody"/>
        <w:spacing w:lineRule="auto" w:line="273" w:before="120" w:after="0"/>
        <w:jc w:val="left"/>
        <w:rPr/>
      </w:pPr>
      <w:r>
        <w:rPr/>
        <w:t>•</w:t>
      </w:r>
    </w:p>
    <w:p>
      <w:pPr>
        <w:pStyle w:val="TextBody"/>
        <w:spacing w:lineRule="auto" w:line="273" w:before="120" w:after="0"/>
        <w:jc w:val="left"/>
        <w:rPr>
          <w:rFonts w:ascii="Times New Roman" w:hAnsi="Times New Roman"/>
          <w:b w:val="false"/>
          <w:sz w:val="20"/>
        </w:rPr>
      </w:pPr>
      <w:r>
        <w:rPr>
          <w:rFonts w:ascii="Times New Roman" w:hAnsi="Times New Roman"/>
          <w:b w:val="false"/>
          <w:sz w:val="20"/>
        </w:rPr>
        <w:t xml:space="preserve">additions and departures of key personnel; </w:t>
      </w:r>
    </w:p>
    <w:p>
      <w:pPr>
        <w:pStyle w:val="TextBody"/>
        <w:spacing w:lineRule="auto" w:line="273" w:before="120" w:after="0"/>
        <w:jc w:val="left"/>
        <w:rPr/>
      </w:pPr>
      <w:r>
        <w:rPr/>
        <w:t>•</w:t>
      </w:r>
    </w:p>
    <w:p>
      <w:pPr>
        <w:pStyle w:val="TextBody"/>
        <w:spacing w:lineRule="auto" w:line="273" w:before="120" w:after="0"/>
        <w:jc w:val="left"/>
        <w:rPr>
          <w:rFonts w:ascii="Times New Roman" w:hAnsi="Times New Roman"/>
          <w:b w:val="false"/>
          <w:sz w:val="20"/>
        </w:rPr>
      </w:pPr>
      <w:r>
        <w:rPr>
          <w:rFonts w:ascii="Times New Roman" w:hAnsi="Times New Roman"/>
          <w:b w:val="false"/>
          <w:sz w:val="20"/>
        </w:rPr>
        <w:t xml:space="preserve">strategic decisions by us or our competitors, such as acquisitions, divestitures, spin-offs, joint ventures, strategic investments or changes in business strategy; </w:t>
      </w:r>
    </w:p>
    <w:p>
      <w:pPr>
        <w:pStyle w:val="TextBody"/>
        <w:spacing w:lineRule="auto" w:line="273" w:before="120" w:after="0"/>
        <w:jc w:val="left"/>
        <w:rPr/>
      </w:pPr>
      <w:r>
        <w:rPr/>
        <w:t>•</w:t>
      </w:r>
    </w:p>
    <w:p>
      <w:pPr>
        <w:pStyle w:val="TextBody"/>
        <w:spacing w:lineRule="auto" w:line="273" w:before="120" w:after="0"/>
        <w:jc w:val="left"/>
        <w:rPr>
          <w:rFonts w:ascii="Times New Roman" w:hAnsi="Times New Roman"/>
          <w:b w:val="false"/>
          <w:sz w:val="20"/>
        </w:rPr>
      </w:pPr>
      <w:r>
        <w:rPr>
          <w:rFonts w:ascii="Times New Roman" w:hAnsi="Times New Roman"/>
          <w:b w:val="false"/>
          <w:sz w:val="20"/>
        </w:rPr>
        <w:t xml:space="preserve">if any product candidate we may develop receive regulatory approval, the timing and terms of such approval and market acceptance and demand for such product candidates; </w:t>
      </w:r>
    </w:p>
    <w:p>
      <w:pPr>
        <w:pStyle w:val="TextBody"/>
        <w:spacing w:lineRule="auto" w:line="273" w:before="120" w:after="0"/>
        <w:jc w:val="left"/>
        <w:rPr/>
      </w:pPr>
      <w:r>
        <w:rPr/>
        <w:t>•</w:t>
      </w:r>
    </w:p>
    <w:p>
      <w:pPr>
        <w:pStyle w:val="TextBody"/>
        <w:spacing w:lineRule="auto" w:line="273" w:before="120" w:after="0"/>
        <w:jc w:val="left"/>
        <w:rPr>
          <w:rFonts w:ascii="Times New Roman" w:hAnsi="Times New Roman"/>
          <w:b w:val="false"/>
          <w:sz w:val="20"/>
        </w:rPr>
      </w:pPr>
      <w:r>
        <w:rPr>
          <w:rFonts w:ascii="Times New Roman" w:hAnsi="Times New Roman"/>
          <w:b w:val="false"/>
          <w:sz w:val="20"/>
        </w:rPr>
        <w:t xml:space="preserve">the timing and cost to establish a sales, marketing and distribution infrastructure to commercialize any products for which we may obtain marketing approval and intend to commercialize on our own or jointly with future collaborators; </w:t>
      </w:r>
    </w:p>
    <w:p>
      <w:pPr>
        <w:pStyle w:val="TextBody"/>
        <w:spacing w:lineRule="auto" w:line="273" w:before="120" w:after="0"/>
        <w:jc w:val="left"/>
        <w:rPr/>
      </w:pPr>
      <w:r>
        <w:rPr/>
        <w:t>•</w:t>
      </w:r>
    </w:p>
    <w:p>
      <w:pPr>
        <w:pStyle w:val="TextBody"/>
        <w:spacing w:lineRule="auto" w:line="273" w:before="120" w:after="0"/>
        <w:jc w:val="left"/>
        <w:rPr>
          <w:rFonts w:ascii="Times New Roman" w:hAnsi="Times New Roman"/>
          <w:b w:val="false"/>
          <w:sz w:val="20"/>
        </w:rPr>
      </w:pPr>
      <w:r>
        <w:rPr>
          <w:rFonts w:ascii="Times New Roman" w:hAnsi="Times New Roman"/>
          <w:b w:val="false"/>
          <w:sz w:val="20"/>
        </w:rPr>
        <w:t xml:space="preserve">regulatory developments affecting current or future product candidates or those of our competitors; </w:t>
      </w:r>
    </w:p>
    <w:p>
      <w:pPr>
        <w:pStyle w:val="TextBody"/>
        <w:spacing w:lineRule="auto" w:line="273" w:before="120" w:after="0"/>
        <w:jc w:val="left"/>
        <w:rPr/>
      </w:pPr>
      <w:r>
        <w:rPr/>
        <w:t>•</w:t>
      </w:r>
    </w:p>
    <w:p>
      <w:pPr>
        <w:pStyle w:val="TextBody"/>
        <w:spacing w:lineRule="auto" w:line="273" w:before="120" w:after="0"/>
        <w:jc w:val="left"/>
        <w:rPr>
          <w:rFonts w:ascii="Times New Roman" w:hAnsi="Times New Roman"/>
          <w:b w:val="false"/>
          <w:sz w:val="20"/>
        </w:rPr>
      </w:pPr>
      <w:r>
        <w:rPr>
          <w:rFonts w:ascii="Times New Roman" w:hAnsi="Times New Roman"/>
          <w:b w:val="false"/>
          <w:sz w:val="20"/>
        </w:rPr>
        <w:t>the amount of expense or gain associated with the change in value of the success payments and contingent consideration;</w:t>
      </w:r>
    </w:p>
    <w:p>
      <w:pPr>
        <w:pStyle w:val="TextBody"/>
        <w:spacing w:lineRule="auto" w:line="273" w:before="120" w:after="0"/>
        <w:jc w:val="left"/>
        <w:rPr/>
      </w:pPr>
      <w:r>
        <w:rPr/>
        <w:t>•</w:t>
      </w:r>
    </w:p>
    <w:p>
      <w:pPr>
        <w:pStyle w:val="TextBody"/>
        <w:spacing w:lineRule="auto" w:line="273" w:before="120" w:after="0"/>
        <w:jc w:val="left"/>
        <w:rPr>
          <w:rFonts w:ascii="Times New Roman" w:hAnsi="Times New Roman"/>
          <w:b w:val="false"/>
          <w:sz w:val="20"/>
        </w:rPr>
      </w:pPr>
      <w:r>
        <w:rPr>
          <w:rFonts w:ascii="Times New Roman" w:hAnsi="Times New Roman"/>
          <w:b w:val="false"/>
          <w:sz w:val="20"/>
        </w:rPr>
        <w:t xml:space="preserve">impacts from the COVID-19 pandemic on us or third parties with which we engage; and </w:t>
      </w:r>
    </w:p>
    <w:p>
      <w:pPr>
        <w:pStyle w:val="TextBody"/>
        <w:spacing w:lineRule="auto" w:line="273" w:before="120" w:after="0"/>
        <w:jc w:val="left"/>
        <w:rPr/>
      </w:pPr>
      <w:r>
        <w:rPr/>
        <w:t>•</w:t>
      </w:r>
    </w:p>
    <w:p>
      <w:pPr>
        <w:pStyle w:val="TextBody"/>
        <w:spacing w:lineRule="auto" w:line="273" w:before="120" w:after="283"/>
        <w:jc w:val="left"/>
        <w:rPr>
          <w:rFonts w:ascii="Times New Roman" w:hAnsi="Times New Roman"/>
          <w:b w:val="false"/>
          <w:sz w:val="20"/>
        </w:rPr>
      </w:pPr>
      <w:r>
        <w:rPr>
          <w:rFonts w:ascii="Times New Roman" w:hAnsi="Times New Roman"/>
          <w:b w:val="false"/>
          <w:sz w:val="20"/>
        </w:rPr>
        <w:t xml:space="preserve">changes in general market and economic conditions. </w:t>
      </w:r>
    </w:p>
    <w:p>
      <w:pPr>
        <w:pStyle w:val="TextBody"/>
        <w:spacing w:lineRule="auto" w:line="273" w:before="240" w:after="0"/>
        <w:jc w:val="left"/>
        <w:rPr>
          <w:rFonts w:ascii="Times New Roman" w:hAnsi="Times New Roman"/>
          <w:sz w:val="20"/>
        </w:rPr>
      </w:pPr>
      <w:r>
        <w:rPr>
          <w:rFonts w:ascii="Times New Roman" w:hAnsi="Times New Roman"/>
          <w:b w:val="false"/>
          <w:sz w:val="20"/>
        </w:rPr>
        <w:t>If our quarterly operating results fall below the expectations of investors or securities analysts, the price of our common stock could decline substantially. Furthermore, any quarterly fluctuations in our operating results may, in turn, cause the price of our stock to fluctuate substantially. We believe that quarterly comparisons of our financial results are not necessarily meaningful and should not be relied upon as an indication of our future performance.</w:t>
      </w:r>
      <w:r>
        <w:rPr>
          <w:rFonts w:ascii="Times New Roman" w:hAnsi="Times New Roman"/>
          <w:sz w:val="20"/>
        </w:rPr>
        <w:t xml:space="preserve"> </w:t>
      </w:r>
    </w:p>
    <w:p>
      <w:pPr>
        <w:pStyle w:val="TextBody"/>
        <w:spacing w:lineRule="auto" w:line="273" w:before="360" w:after="0"/>
        <w:jc w:val="left"/>
        <w:rPr>
          <w:rFonts w:ascii="Times New Roman" w:hAnsi="Times New Roman"/>
          <w:sz w:val="20"/>
        </w:rPr>
      </w:pPr>
      <w:r>
        <w:rPr>
          <w:rFonts w:ascii="Times New Roman" w:hAnsi="Times New Roman"/>
          <w:b/>
          <w:i/>
          <w:sz w:val="20"/>
        </w:rPr>
        <w:t>We do not currently intend to pay dividends on our common stock and, consequently, our stockholders’ ability to achieve a return on their investment will depend on appreciation of the value of our common stock.</w:t>
      </w:r>
      <w:r>
        <w:rPr>
          <w:rFonts w:ascii="Times New Roman" w:hAnsi="Times New Roman"/>
          <w:sz w:val="20"/>
        </w:rPr>
        <w:t xml:space="preserve"> </w:t>
      </w:r>
    </w:p>
    <w:p>
      <w:pPr>
        <w:pStyle w:val="TextBody"/>
        <w:spacing w:lineRule="auto" w:line="273" w:before="120" w:after="0"/>
        <w:jc w:val="left"/>
        <w:rPr>
          <w:rFonts w:ascii="Times New Roman" w:hAnsi="Times New Roman"/>
          <w:sz w:val="20"/>
        </w:rPr>
      </w:pPr>
      <w:r>
        <w:rPr>
          <w:rFonts w:ascii="Times New Roman" w:hAnsi="Times New Roman"/>
          <w:b w:val="false"/>
          <w:sz w:val="20"/>
        </w:rPr>
        <w:t>We have never declared or paid cash dividends on our common stock. We currently intend to retain all available funds and any future earnings to support operations and to finance the growth and development of our business. We do not intend to declare or pay any cash dividends on our capital stock in the foreseeable future. As a result, any investment return on our common stock will depend upon increases in the value for our common stock, which is not certain.</w:t>
      </w:r>
      <w:r>
        <w:rPr>
          <w:rFonts w:ascii="Times New Roman" w:hAnsi="Times New Roman"/>
          <w:sz w:val="20"/>
        </w:rPr>
        <w:t xml:space="preserve"> </w:t>
      </w:r>
    </w:p>
    <w:p>
      <w:pPr>
        <w:pStyle w:val="TextBody"/>
        <w:spacing w:lineRule="auto" w:line="273" w:before="360" w:after="0"/>
        <w:jc w:val="left"/>
        <w:rPr>
          <w:rFonts w:ascii="Times New Roman" w:hAnsi="Times New Roman"/>
          <w:sz w:val="20"/>
        </w:rPr>
      </w:pPr>
      <w:r>
        <w:rPr>
          <w:rFonts w:ascii="Times New Roman" w:hAnsi="Times New Roman"/>
          <w:b/>
          <w:i/>
          <w:sz w:val="20"/>
        </w:rPr>
        <w:t>A sale of a substantial number of shares of our common stock may cause the price of our common stock to decline.</w:t>
      </w:r>
      <w:r>
        <w:rPr>
          <w:rFonts w:ascii="Times New Roman" w:hAnsi="Times New Roman"/>
          <w:sz w:val="20"/>
        </w:rPr>
        <w:t xml:space="preserve"> </w:t>
      </w:r>
    </w:p>
    <w:p>
      <w:pPr>
        <w:pStyle w:val="TextBody"/>
        <w:spacing w:lineRule="auto" w:line="273" w:before="120" w:after="0"/>
        <w:jc w:val="left"/>
        <w:rPr>
          <w:rFonts w:ascii="Times New Roman" w:hAnsi="Times New Roman"/>
          <w:sz w:val="20"/>
        </w:rPr>
      </w:pPr>
      <w:r>
        <w:rPr>
          <w:rFonts w:ascii="Times New Roman" w:hAnsi="Times New Roman"/>
          <w:b w:val="false"/>
          <w:sz w:val="20"/>
        </w:rPr>
        <w:t>Sales of a substantial number of shares of our common stock in the public market could occur at any time. If our stockholders sell, or the market perceives that our stockholders intend to sell, substantial amounts of our common stock in the public market, the market price of our common stock could decline significantly.</w:t>
      </w:r>
      <w:r>
        <w:rPr>
          <w:rFonts w:ascii="Times New Roman" w:hAnsi="Times New Roman"/>
          <w:sz w:val="20"/>
        </w:rPr>
        <w:t xml:space="preserve"> </w:t>
      </w:r>
    </w:p>
    <w:p>
      <w:pPr>
        <w:pStyle w:val="TextBody"/>
        <w:spacing w:lineRule="auto" w:line="273" w:before="240" w:after="0"/>
        <w:jc w:val="left"/>
        <w:rPr>
          <w:rFonts w:ascii="Times New Roman" w:hAnsi="Times New Roman"/>
          <w:sz w:val="20"/>
        </w:rPr>
      </w:pPr>
      <w:r>
        <w:rPr>
          <w:rFonts w:ascii="Times New Roman" w:hAnsi="Times New Roman"/>
          <w:b w:val="false"/>
          <w:sz w:val="20"/>
        </w:rPr>
        <w:t>The holders of an aggregate of 61,911,929 shares of our outstanding common stock as of March 31, 2022 will have rights, subject to some conditions, to require us to file registration statements covering their shares or to include their shares in registration statements that we may file for ourselves or our stockholders. We also have registered shares of common stock that we may issue under our equity incentive plans. These shares, are freely tradeable in the public market upon issuance.</w:t>
      </w:r>
      <w:r>
        <w:rPr>
          <w:rFonts w:ascii="Times New Roman" w:hAnsi="Times New Roman"/>
          <w:sz w:val="20"/>
        </w:rPr>
        <w:t xml:space="preserve"> </w:t>
      </w:r>
    </w:p>
    <w:p>
      <w:pPr>
        <w:pStyle w:val="TextBody"/>
        <w:spacing w:lineRule="auto" w:line="273" w:before="240" w:after="0"/>
        <w:jc w:val="left"/>
        <w:rPr>
          <w:rFonts w:ascii="Times New Roman" w:hAnsi="Times New Roman"/>
          <w:sz w:val="20"/>
        </w:rPr>
      </w:pPr>
      <w:r>
        <w:rPr>
          <w:rFonts w:ascii="Times New Roman" w:hAnsi="Times New Roman"/>
          <w:b w:val="false"/>
          <w:sz w:val="20"/>
        </w:rPr>
        <w:t>We cannot predict what effect, if any, sales of our shares in the public market or the availability of shares for sale will have on the market price of our common stock. However, future sales of substantial amounts of our common stock in the public market, including shares issued upon exercise of our outstanding options, or the perception that such sales may occur, could adversely affect the market price of our common stock.</w:t>
      </w:r>
      <w:r>
        <w:rPr>
          <w:rFonts w:ascii="Times New Roman" w:hAnsi="Times New Roman"/>
          <w:sz w:val="20"/>
        </w:rPr>
        <w:t xml:space="preserve"> </w:t>
      </w:r>
    </w:p>
    <w:p>
      <w:pPr>
        <w:pStyle w:val="TextBody"/>
        <w:spacing w:lineRule="auto" w:line="273" w:before="240" w:after="0"/>
        <w:jc w:val="left"/>
        <w:rPr>
          <w:rFonts w:ascii="Times New Roman" w:hAnsi="Times New Roman"/>
          <w:sz w:val="20"/>
        </w:rPr>
      </w:pPr>
      <w:r>
        <w:rPr>
          <w:rFonts w:ascii="Times New Roman" w:hAnsi="Times New Roman"/>
          <w:b w:val="false"/>
          <w:sz w:val="20"/>
        </w:rPr>
        <w:t>We also expect that significant additional capital may be needed in the future to continue our planned operations. To raise capital, we may sell common stock, convertible securities or other equity securities in one or more transactions at prices and in a manner we determine from time to time. To the extent that additional capital is raised through the sale and issuance of shares or other securities convertible into shares, our stockholders will be diluted. These sales, or the perception in the market that the holders of a large number of shares intend to sell shares, could reduce the market price of our common stock.</w:t>
      </w:r>
      <w:r>
        <w:rPr>
          <w:rFonts w:ascii="Times New Roman" w:hAnsi="Times New Roman"/>
          <w:sz w:val="20"/>
        </w:rPr>
        <w:t xml:space="preserve"> </w:t>
      </w:r>
    </w:p>
    <w:p>
      <w:pPr>
        <w:pStyle w:val="TextBody"/>
        <w:spacing w:lineRule="auto" w:line="273" w:before="0" w:after="0"/>
        <w:jc w:val="center"/>
        <w:rPr>
          <w:rFonts w:ascii="Times New Roman" w:hAnsi="Times New Roman"/>
          <w:b w:val="false"/>
          <w:sz w:val="20"/>
        </w:rPr>
      </w:pPr>
      <w:r>
        <w:rPr>
          <w:rFonts w:ascii="Times New Roman" w:hAnsi="Times New Roman"/>
          <w:b w:val="false"/>
          <w:sz w:val="20"/>
        </w:rPr>
        <w:t>86</w:t>
      </w:r>
    </w:p>
    <w:p>
      <w:pPr>
        <w:pStyle w:val="HorizontalLine"/>
        <w:rPr/>
      </w:pPr>
      <w:r>
        <w:rPr/>
      </w:r>
    </w:p>
    <w:p>
      <w:pPr>
        <w:pStyle w:val="TextBody"/>
        <w:spacing w:lineRule="auto" w:line="273" w:before="0" w:after="0"/>
        <w:jc w:val="left"/>
        <w:rPr/>
      </w:pPr>
      <w:r>
        <w:rPr/>
        <w:t> </w:t>
      </w:r>
    </w:p>
    <w:p>
      <w:pPr>
        <w:pStyle w:val="TextBody"/>
        <w:spacing w:lineRule="auto" w:line="273" w:before="360" w:after="0"/>
        <w:jc w:val="left"/>
        <w:rPr>
          <w:rFonts w:ascii="Times New Roman" w:hAnsi="Times New Roman"/>
          <w:sz w:val="20"/>
        </w:rPr>
      </w:pPr>
      <w:r>
        <w:rPr>
          <w:rFonts w:ascii="Times New Roman" w:hAnsi="Times New Roman"/>
          <w:b/>
          <w:i/>
          <w:sz w:val="20"/>
        </w:rPr>
        <w:t>Our principal stockholders and management own a significant percentage of our stock and will be able to exert significant control over matters subject to stockholder approval.</w:t>
      </w:r>
      <w:r>
        <w:rPr>
          <w:rFonts w:ascii="Times New Roman" w:hAnsi="Times New Roman"/>
          <w:sz w:val="20"/>
        </w:rPr>
        <w:t xml:space="preserve"> </w:t>
      </w:r>
    </w:p>
    <w:p>
      <w:pPr>
        <w:pStyle w:val="TextBody"/>
        <w:spacing w:lineRule="auto" w:line="273" w:before="120" w:after="0"/>
        <w:jc w:val="left"/>
        <w:rPr>
          <w:rFonts w:ascii="Times New Roman" w:hAnsi="Times New Roman"/>
          <w:sz w:val="20"/>
        </w:rPr>
      </w:pPr>
      <w:r>
        <w:rPr>
          <w:rFonts w:ascii="Times New Roman" w:hAnsi="Times New Roman"/>
          <w:b w:val="false"/>
          <w:sz w:val="20"/>
        </w:rPr>
        <w:t>Based on the beneficial ownership of our common stock as of March 31, 2022, our executive officers, directors, holders of 5% or more of our capital stock and their respective affiliates beneficially owned 71% of our voting stock. The voting power of this group may increase to the extent they convert shares of non-voting common stock they hold into common stock. As a result, these stockholders, if acting together, will continue to have significant influence over the outcome of corporate actions requiring stockholder approval, including the election of directors, amendment of our organizational documents, any merger, consolidation or sale of all or substantially all of our assets and any other significant corporate transaction. The interests of these stockholders may not be the same as or may even conflict with your interests. For example, these stockholders could delay or prevent a change of control of our company, even if such a change of control would benefit our other stockholders, which could deprive our stockholders of an opportunity to receive a premium for their common stock as part of a sale of our company or our assets and might affect the prevailing market price of our common stock.</w:t>
      </w:r>
      <w:r>
        <w:rPr>
          <w:rFonts w:ascii="Times New Roman" w:hAnsi="Times New Roman"/>
          <w:sz w:val="20"/>
        </w:rPr>
        <w:t xml:space="preserve"> </w:t>
      </w:r>
    </w:p>
    <w:p>
      <w:pPr>
        <w:pStyle w:val="TextBody"/>
        <w:spacing w:lineRule="auto" w:line="273" w:before="360" w:after="0"/>
        <w:jc w:val="left"/>
        <w:rPr>
          <w:rFonts w:ascii="Times New Roman" w:hAnsi="Times New Roman"/>
          <w:sz w:val="20"/>
        </w:rPr>
      </w:pPr>
      <w:r>
        <w:rPr>
          <w:rFonts w:ascii="Times New Roman" w:hAnsi="Times New Roman"/>
          <w:b/>
          <w:i/>
          <w:sz w:val="20"/>
        </w:rPr>
        <w:t>We are an “emerging growth company” and a “smaller reporting company” and we cannot be certain if the reduced reporting requirements applicable to emerging growth companies or smaller reporting companies will make our common stock less attractive to investors.</w:t>
      </w:r>
      <w:r>
        <w:rPr>
          <w:rFonts w:ascii="Times New Roman" w:hAnsi="Times New Roman"/>
          <w:sz w:val="20"/>
        </w:rPr>
        <w:t xml:space="preserve"> </w:t>
      </w:r>
    </w:p>
    <w:p>
      <w:pPr>
        <w:pStyle w:val="TextBody"/>
        <w:spacing w:lineRule="auto" w:line="273" w:before="120" w:after="0"/>
        <w:jc w:val="left"/>
        <w:rPr>
          <w:rFonts w:ascii="Times New Roman" w:hAnsi="Times New Roman"/>
          <w:sz w:val="20"/>
        </w:rPr>
      </w:pPr>
      <w:r>
        <w:rPr>
          <w:rFonts w:ascii="Times New Roman" w:hAnsi="Times New Roman"/>
          <w:b w:val="false"/>
          <w:sz w:val="20"/>
        </w:rPr>
        <w:t>We are an “emerging growth company” as defined in the JOBS Act. For as long as we continue to be an emerging growth company, we may take advantage of exemptions from various reporting requirements that are applicable to other public companies that are not emerging growth companies, including (i) not being required to comply with the auditor attestation requirements of the Sarbanes-Oxley Act, (ii) reduced disclosure obligations regarding executive compensation in our periodic reports and proxy statements and (iii) exemptions from the requirements of holding nonbinding advisory stockholder votes on executive compensation and stockholder approval of any golden parachute payments not approved previously.</w:t>
      </w:r>
      <w:r>
        <w:rPr>
          <w:rFonts w:ascii="Times New Roman" w:hAnsi="Times New Roman"/>
          <w:sz w:val="20"/>
        </w:rPr>
        <w:t xml:space="preserve"> </w:t>
      </w:r>
    </w:p>
    <w:p>
      <w:pPr>
        <w:pStyle w:val="TextBody"/>
        <w:spacing w:lineRule="auto" w:line="273" w:before="240" w:after="0"/>
        <w:jc w:val="left"/>
        <w:rPr>
          <w:rFonts w:ascii="Times New Roman" w:hAnsi="Times New Roman"/>
          <w:sz w:val="20"/>
        </w:rPr>
      </w:pPr>
      <w:r>
        <w:rPr>
          <w:rFonts w:ascii="Times New Roman" w:hAnsi="Times New Roman"/>
          <w:b w:val="false"/>
          <w:sz w:val="20"/>
        </w:rPr>
        <w:t xml:space="preserve">We could be an emerging growth company for up to five fiscal years following the completion of the IPO; </w:t>
      </w:r>
      <w:r>
        <w:rPr>
          <w:rFonts w:ascii="Times New Roman" w:hAnsi="Times New Roman"/>
          <w:b w:val="false"/>
          <w:i/>
          <w:sz w:val="20"/>
        </w:rPr>
        <w:t>provided</w:t>
      </w:r>
      <w:r>
        <w:rPr>
          <w:rFonts w:ascii="Times New Roman" w:hAnsi="Times New Roman"/>
          <w:b w:val="false"/>
          <w:sz w:val="20"/>
        </w:rPr>
        <w:t xml:space="preserve">, </w:t>
      </w:r>
      <w:r>
        <w:rPr>
          <w:rFonts w:ascii="Times New Roman" w:hAnsi="Times New Roman"/>
          <w:b w:val="false"/>
          <w:i/>
          <w:sz w:val="20"/>
        </w:rPr>
        <w:t>however</w:t>
      </w:r>
      <w:r>
        <w:rPr>
          <w:rFonts w:ascii="Times New Roman" w:hAnsi="Times New Roman"/>
          <w:b w:val="false"/>
          <w:sz w:val="20"/>
        </w:rPr>
        <w:t>, certain circumstances could cause us to lose that status earlier, including if we are deemed to be a “large accelerated filer,” which occurs when the market value of our common stock that is held by non-affiliates equals or exceeds $700 million, if we have total annual gross revenue of $1.07 billion or more, or if we issue more than $1.0 billion in non-convertible debt during any three-year period before that time.</w:t>
      </w:r>
      <w:r>
        <w:rPr>
          <w:rFonts w:ascii="Times New Roman" w:hAnsi="Times New Roman"/>
          <w:sz w:val="20"/>
        </w:rPr>
        <w:t xml:space="preserve"> </w:t>
      </w:r>
    </w:p>
    <w:p>
      <w:pPr>
        <w:pStyle w:val="TextBody"/>
        <w:spacing w:lineRule="auto" w:line="273" w:before="240" w:after="0"/>
        <w:jc w:val="left"/>
        <w:rPr>
          <w:rFonts w:ascii="Times New Roman" w:hAnsi="Times New Roman"/>
          <w:sz w:val="20"/>
        </w:rPr>
      </w:pPr>
      <w:r>
        <w:rPr>
          <w:rFonts w:ascii="Times New Roman" w:hAnsi="Times New Roman"/>
          <w:b w:val="false"/>
          <w:sz w:val="20"/>
        </w:rPr>
        <w:t>Even after we no longer qualify as an emerging growth company, we may still qualify as a “smaller reporting company,” which would allow us to take advantage of many of the same exemptions from disclosure requirements, including not being required to comply with the auditor attestation requirements of Section 404 of the Sarbanes-Oxley Act and reduced disclosure obligations regarding executive compensation in our periodic reports and proxy statements. We cannot predict if investors will find our common stock less attractive because we may rely on these exemptions. If some investors find our common stock less attractive as a result, there may be a less active trading market for our common stock and our share price may be more volatile.</w:t>
      </w:r>
      <w:r>
        <w:rPr>
          <w:rFonts w:ascii="Times New Roman" w:hAnsi="Times New Roman"/>
          <w:sz w:val="20"/>
        </w:rPr>
        <w:t xml:space="preserve"> </w:t>
      </w:r>
    </w:p>
    <w:p>
      <w:pPr>
        <w:pStyle w:val="TextBody"/>
        <w:spacing w:lineRule="auto" w:line="273" w:before="240" w:after="0"/>
        <w:jc w:val="left"/>
        <w:rPr>
          <w:rFonts w:ascii="Times New Roman" w:hAnsi="Times New Roman"/>
          <w:sz w:val="20"/>
        </w:rPr>
      </w:pPr>
      <w:r>
        <w:rPr>
          <w:rFonts w:ascii="Times New Roman" w:hAnsi="Times New Roman"/>
          <w:b w:val="false"/>
          <w:sz w:val="20"/>
        </w:rPr>
        <w:t>Under the JOBS Act, emerging growth companies can also delay adopting new or revised accounting standards until such time as those standards apply to private companies. We have elected to take advantage of the benefits of this extended transition period. Our financial statements may therefore not be comparable to those of companies that comply with such new or revised accounting standards. Until the date that we are no longer an “emerging growth company” or affirmatively and irrevocably opt out of the exemption provided by Section 7(a)(2)(B) of the Securities Act, upon issuance of a new or revised accounting standard that applies to our consolidated financial statements and that has a different effective date for public and private companies, we will disclose the date on which adoption is required for non-emerging growth companies and the date on which we will adopt the recently issued accounting standard.</w:t>
      </w:r>
      <w:r>
        <w:rPr>
          <w:rFonts w:ascii="Times New Roman" w:hAnsi="Times New Roman"/>
          <w:sz w:val="20"/>
        </w:rPr>
        <w:t xml:space="preserve"> </w:t>
      </w:r>
    </w:p>
    <w:p>
      <w:pPr>
        <w:pStyle w:val="TextBody"/>
        <w:spacing w:lineRule="auto" w:line="273" w:before="0" w:after="0"/>
        <w:jc w:val="center"/>
        <w:rPr>
          <w:rFonts w:ascii="Times New Roman" w:hAnsi="Times New Roman"/>
          <w:b w:val="false"/>
          <w:sz w:val="20"/>
        </w:rPr>
      </w:pPr>
      <w:r>
        <w:rPr>
          <w:rFonts w:ascii="Times New Roman" w:hAnsi="Times New Roman"/>
          <w:b w:val="false"/>
          <w:sz w:val="20"/>
        </w:rPr>
        <w:t>87</w:t>
      </w:r>
    </w:p>
    <w:p>
      <w:pPr>
        <w:pStyle w:val="HorizontalLine"/>
        <w:rPr/>
      </w:pPr>
      <w:r>
        <w:rPr/>
      </w:r>
    </w:p>
    <w:p>
      <w:pPr>
        <w:pStyle w:val="TextBody"/>
        <w:spacing w:lineRule="auto" w:line="273" w:before="0" w:after="0"/>
        <w:jc w:val="left"/>
        <w:rPr/>
      </w:pPr>
      <w:r>
        <w:rPr/>
        <w:t> </w:t>
      </w:r>
    </w:p>
    <w:p>
      <w:pPr>
        <w:pStyle w:val="TextBody"/>
        <w:spacing w:lineRule="auto" w:line="273" w:before="240" w:after="0"/>
        <w:jc w:val="left"/>
        <w:rPr>
          <w:rFonts w:ascii="Times New Roman" w:hAnsi="Times New Roman"/>
          <w:sz w:val="20"/>
        </w:rPr>
      </w:pPr>
      <w:r>
        <w:rPr>
          <w:rFonts w:ascii="Times New Roman" w:hAnsi="Times New Roman"/>
          <w:b w:val="false"/>
          <w:sz w:val="20"/>
        </w:rPr>
        <w:t>We are also a “smaller reporting company,” meaning that the market value of our stock held by non-affiliates is less than $700.0 million and our annual revenue is less than $100.0 million during the most recently completed fiscal year. We may continue to be a smaller reporting company if either (i) the market value of our stock held by non-affiliates is less than $250.0 million or (ii) our annual revenue is less than $100.0 million during the most recently completed fiscal year and the market value of our stock held by non-affiliates is less than $700.0 million. If we are a smaller reporting company at the time we cease to be an emerging growth company, we may continue to rely on the same exemptions from certain disclosure requirements, including not being required to comply with the auditor attestation requirements of Section 404 of the Sarbanes-Oxley Act, reduced disclosure obligations regarding executive compensation and the option to present only the two most recent fiscal years of audited financial statements in our Annual Report on Form 10-K. We cannot predict if investors will find our common stock less attractive because we may rely on these exemptions. If some investors find our common stock less attractive as a result, there may be a less active trading market for our common stock and our share price may be more volatile.</w:t>
      </w:r>
      <w:r>
        <w:rPr>
          <w:rFonts w:ascii="Times New Roman" w:hAnsi="Times New Roman"/>
          <w:sz w:val="20"/>
        </w:rPr>
        <w:t xml:space="preserve"> </w:t>
      </w:r>
    </w:p>
    <w:p>
      <w:pPr>
        <w:pStyle w:val="TextBody"/>
        <w:spacing w:lineRule="auto" w:line="273" w:before="360" w:after="0"/>
        <w:jc w:val="left"/>
        <w:rPr>
          <w:rFonts w:ascii="Times New Roman" w:hAnsi="Times New Roman"/>
          <w:sz w:val="20"/>
        </w:rPr>
      </w:pPr>
      <w:r>
        <w:rPr>
          <w:rFonts w:ascii="Times New Roman" w:hAnsi="Times New Roman"/>
          <w:b/>
          <w:i/>
          <w:sz w:val="20"/>
        </w:rPr>
        <w:t>Anti-takeover provisions in our charter documents and under Delaware law could prevent or delay an acquisition of us, which may be beneficial to our stockholders, and may prevent attempts by our stockholders to replace or remove our current management.</w:t>
      </w:r>
      <w:r>
        <w:rPr>
          <w:rFonts w:ascii="Times New Roman" w:hAnsi="Times New Roman"/>
          <w:sz w:val="20"/>
        </w:rPr>
        <w:t xml:space="preserve"> </w:t>
      </w:r>
    </w:p>
    <w:p>
      <w:pPr>
        <w:pStyle w:val="TextBody"/>
        <w:spacing w:lineRule="auto" w:line="273" w:before="120" w:after="0"/>
        <w:jc w:val="left"/>
        <w:rPr>
          <w:rFonts w:ascii="Times New Roman" w:hAnsi="Times New Roman"/>
          <w:sz w:val="20"/>
        </w:rPr>
      </w:pPr>
      <w:r>
        <w:rPr>
          <w:rFonts w:ascii="Times New Roman" w:hAnsi="Times New Roman"/>
          <w:b w:val="false"/>
          <w:sz w:val="20"/>
        </w:rPr>
        <w:t>Our restated certificate of incorporation and our restated bylaws contain provisions that could delay or prevent a change in control of our company. These provisions could also make it difficult for stockholders to elect directors who are not nominated by current members of our board of directors or take other corporate actions, including effecting changes in our management. These provisions:</w:t>
      </w:r>
      <w:r>
        <w:rPr>
          <w:rFonts w:ascii="Times New Roman" w:hAnsi="Times New Roman"/>
          <w:sz w:val="20"/>
        </w:rPr>
        <w:t xml:space="preserve"> </w:t>
      </w:r>
    </w:p>
    <w:p>
      <w:pPr>
        <w:pStyle w:val="TextBody"/>
        <w:spacing w:lineRule="auto" w:line="273" w:before="120" w:after="0"/>
        <w:jc w:val="left"/>
        <w:rPr/>
      </w:pPr>
      <w:r>
        <w:rPr/>
        <w:t>•</w:t>
      </w:r>
    </w:p>
    <w:p>
      <w:pPr>
        <w:pStyle w:val="TextBody"/>
        <w:spacing w:lineRule="auto" w:line="273" w:before="120" w:after="0"/>
        <w:jc w:val="left"/>
        <w:rPr>
          <w:rFonts w:ascii="Times New Roman" w:hAnsi="Times New Roman"/>
          <w:b w:val="false"/>
          <w:sz w:val="20"/>
        </w:rPr>
      </w:pPr>
      <w:r>
        <w:rPr>
          <w:rFonts w:ascii="Times New Roman" w:hAnsi="Times New Roman"/>
          <w:b w:val="false"/>
          <w:sz w:val="20"/>
        </w:rPr>
        <w:t xml:space="preserve">establish a classified board of directors so that not all members of our board are elected at one time; </w:t>
      </w:r>
    </w:p>
    <w:p>
      <w:pPr>
        <w:pStyle w:val="TextBody"/>
        <w:spacing w:lineRule="auto" w:line="273" w:before="120" w:after="0"/>
        <w:jc w:val="left"/>
        <w:rPr/>
      </w:pPr>
      <w:r>
        <w:rPr/>
        <w:t>•</w:t>
      </w:r>
    </w:p>
    <w:p>
      <w:pPr>
        <w:pStyle w:val="TextBody"/>
        <w:spacing w:lineRule="auto" w:line="273" w:before="120" w:after="0"/>
        <w:jc w:val="left"/>
        <w:rPr>
          <w:rFonts w:ascii="Times New Roman" w:hAnsi="Times New Roman"/>
          <w:b w:val="false"/>
          <w:sz w:val="20"/>
        </w:rPr>
      </w:pPr>
      <w:r>
        <w:rPr>
          <w:rFonts w:ascii="Times New Roman" w:hAnsi="Times New Roman"/>
          <w:b w:val="false"/>
          <w:sz w:val="20"/>
        </w:rPr>
        <w:t xml:space="preserve">permit only the board of directors to establish the number of directors and fill vacancies on the board; </w:t>
      </w:r>
    </w:p>
    <w:p>
      <w:pPr>
        <w:pStyle w:val="TextBody"/>
        <w:spacing w:lineRule="auto" w:line="273" w:before="120" w:after="0"/>
        <w:jc w:val="left"/>
        <w:rPr/>
      </w:pPr>
      <w:r>
        <w:rPr/>
        <w:t>•</w:t>
      </w:r>
    </w:p>
    <w:p>
      <w:pPr>
        <w:pStyle w:val="TextBody"/>
        <w:spacing w:lineRule="auto" w:line="273" w:before="120" w:after="0"/>
        <w:jc w:val="left"/>
        <w:rPr>
          <w:rFonts w:ascii="Times New Roman" w:hAnsi="Times New Roman"/>
          <w:b w:val="false"/>
          <w:sz w:val="20"/>
        </w:rPr>
      </w:pPr>
      <w:r>
        <w:rPr>
          <w:rFonts w:ascii="Times New Roman" w:hAnsi="Times New Roman"/>
          <w:b w:val="false"/>
          <w:sz w:val="20"/>
        </w:rPr>
        <w:t xml:space="preserve">provide that directors may only be removed “for cause” and only with the approval of two-thirds of our stockholders; </w:t>
      </w:r>
    </w:p>
    <w:p>
      <w:pPr>
        <w:pStyle w:val="TextBody"/>
        <w:spacing w:lineRule="auto" w:line="273" w:before="120" w:after="0"/>
        <w:jc w:val="left"/>
        <w:rPr/>
      </w:pPr>
      <w:r>
        <w:rPr/>
        <w:t>•</w:t>
      </w:r>
    </w:p>
    <w:p>
      <w:pPr>
        <w:pStyle w:val="TextBody"/>
        <w:spacing w:lineRule="auto" w:line="273" w:before="120" w:after="0"/>
        <w:jc w:val="left"/>
        <w:rPr>
          <w:rFonts w:ascii="Times New Roman" w:hAnsi="Times New Roman"/>
          <w:b w:val="false"/>
          <w:sz w:val="20"/>
        </w:rPr>
      </w:pPr>
      <w:r>
        <w:rPr>
          <w:rFonts w:ascii="Times New Roman" w:hAnsi="Times New Roman"/>
          <w:b w:val="false"/>
          <w:sz w:val="20"/>
        </w:rPr>
        <w:t xml:space="preserve">require super-majority voting to amend some provisions in our restated certificate of incorporation and restated bylaws; </w:t>
      </w:r>
    </w:p>
    <w:p>
      <w:pPr>
        <w:pStyle w:val="TextBody"/>
        <w:spacing w:lineRule="auto" w:line="273" w:before="120" w:after="0"/>
        <w:jc w:val="left"/>
        <w:rPr/>
      </w:pPr>
      <w:r>
        <w:rPr/>
        <w:t>•</w:t>
      </w:r>
    </w:p>
    <w:p>
      <w:pPr>
        <w:pStyle w:val="TextBody"/>
        <w:spacing w:lineRule="auto" w:line="273" w:before="120" w:after="0"/>
        <w:jc w:val="left"/>
        <w:rPr>
          <w:rFonts w:ascii="Times New Roman" w:hAnsi="Times New Roman"/>
          <w:b w:val="false"/>
          <w:sz w:val="20"/>
        </w:rPr>
      </w:pPr>
      <w:r>
        <w:rPr>
          <w:rFonts w:ascii="Times New Roman" w:hAnsi="Times New Roman"/>
          <w:b w:val="false"/>
          <w:sz w:val="20"/>
        </w:rPr>
        <w:t xml:space="preserve">authorize the issuance of “blank check” preferred stock that our board could use to implement a stockholder rights plan; </w:t>
      </w:r>
    </w:p>
    <w:p>
      <w:pPr>
        <w:pStyle w:val="TextBody"/>
        <w:spacing w:lineRule="auto" w:line="273" w:before="120" w:after="0"/>
        <w:jc w:val="left"/>
        <w:rPr/>
      </w:pPr>
      <w:r>
        <w:rPr/>
        <w:t>•</w:t>
      </w:r>
    </w:p>
    <w:p>
      <w:pPr>
        <w:pStyle w:val="TextBody"/>
        <w:spacing w:lineRule="auto" w:line="273" w:before="120" w:after="0"/>
        <w:jc w:val="left"/>
        <w:rPr>
          <w:rFonts w:ascii="Times New Roman" w:hAnsi="Times New Roman"/>
          <w:b w:val="false"/>
          <w:sz w:val="20"/>
        </w:rPr>
      </w:pPr>
      <w:r>
        <w:rPr>
          <w:rFonts w:ascii="Times New Roman" w:hAnsi="Times New Roman"/>
          <w:b w:val="false"/>
          <w:sz w:val="20"/>
        </w:rPr>
        <w:t xml:space="preserve">eliminate the ability of our stockholders to call special meetings of stockholders; </w:t>
      </w:r>
    </w:p>
    <w:p>
      <w:pPr>
        <w:pStyle w:val="TextBody"/>
        <w:spacing w:lineRule="auto" w:line="273" w:before="120" w:after="0"/>
        <w:jc w:val="left"/>
        <w:rPr/>
      </w:pPr>
      <w:r>
        <w:rPr/>
        <w:t>•</w:t>
      </w:r>
    </w:p>
    <w:p>
      <w:pPr>
        <w:pStyle w:val="TextBody"/>
        <w:spacing w:lineRule="auto" w:line="273" w:before="120" w:after="0"/>
        <w:jc w:val="left"/>
        <w:rPr>
          <w:rFonts w:ascii="Times New Roman" w:hAnsi="Times New Roman"/>
          <w:b w:val="false"/>
          <w:sz w:val="20"/>
        </w:rPr>
      </w:pPr>
      <w:r>
        <w:rPr>
          <w:rFonts w:ascii="Times New Roman" w:hAnsi="Times New Roman"/>
          <w:b w:val="false"/>
          <w:sz w:val="20"/>
        </w:rPr>
        <w:t xml:space="preserve">prohibit stockholder action by written consent, which requires all stockholder actions to be taken at a meeting of our stockholders; </w:t>
      </w:r>
    </w:p>
    <w:p>
      <w:pPr>
        <w:pStyle w:val="TextBody"/>
        <w:spacing w:lineRule="auto" w:line="273" w:before="120" w:after="0"/>
        <w:jc w:val="left"/>
        <w:rPr/>
      </w:pPr>
      <w:r>
        <w:rPr/>
        <w:t>•</w:t>
      </w:r>
    </w:p>
    <w:p>
      <w:pPr>
        <w:pStyle w:val="TextBody"/>
        <w:spacing w:lineRule="auto" w:line="273" w:before="120" w:after="0"/>
        <w:jc w:val="left"/>
        <w:rPr>
          <w:rFonts w:ascii="Times New Roman" w:hAnsi="Times New Roman"/>
          <w:b w:val="false"/>
          <w:sz w:val="20"/>
        </w:rPr>
      </w:pPr>
      <w:r>
        <w:rPr>
          <w:rFonts w:ascii="Times New Roman" w:hAnsi="Times New Roman"/>
          <w:b w:val="false"/>
          <w:sz w:val="20"/>
        </w:rPr>
        <w:t xml:space="preserve">prohibit cumulative voting; and </w:t>
      </w:r>
    </w:p>
    <w:p>
      <w:pPr>
        <w:pStyle w:val="TextBody"/>
        <w:spacing w:lineRule="auto" w:line="273" w:before="120" w:after="0"/>
        <w:jc w:val="left"/>
        <w:rPr/>
      </w:pPr>
      <w:r>
        <w:rPr/>
        <w:t>•</w:t>
      </w:r>
    </w:p>
    <w:p>
      <w:pPr>
        <w:pStyle w:val="TextBody"/>
        <w:spacing w:lineRule="auto" w:line="273" w:before="120" w:after="283"/>
        <w:jc w:val="left"/>
        <w:rPr>
          <w:rFonts w:ascii="Times New Roman" w:hAnsi="Times New Roman"/>
          <w:b w:val="false"/>
          <w:sz w:val="20"/>
        </w:rPr>
      </w:pPr>
      <w:r>
        <w:rPr>
          <w:rFonts w:ascii="Times New Roman" w:hAnsi="Times New Roman"/>
          <w:b w:val="false"/>
          <w:sz w:val="20"/>
        </w:rPr>
        <w:t xml:space="preserve">establish advance notice requirements for nominations for election to our board or for proposing matters that can be acted upon by stockholders at annual stockholder meetings. </w:t>
      </w:r>
    </w:p>
    <w:p>
      <w:pPr>
        <w:pStyle w:val="TextBody"/>
        <w:spacing w:lineRule="auto" w:line="273" w:before="240" w:after="0"/>
        <w:jc w:val="left"/>
        <w:rPr>
          <w:rFonts w:ascii="Times New Roman" w:hAnsi="Times New Roman"/>
          <w:sz w:val="20"/>
        </w:rPr>
      </w:pPr>
      <w:r>
        <w:rPr>
          <w:rFonts w:ascii="Times New Roman" w:hAnsi="Times New Roman"/>
          <w:b w:val="false"/>
          <w:sz w:val="20"/>
        </w:rPr>
        <w:t>In addition, Section 203 of the Delaware General Corporation Law, or DGCL, may discourage, delay or prevent a change in control of our company. Section 203 imposes certain restrictions on mergers, business combinations and other transactions between us and holders of 15% or more of our common stock.</w:t>
      </w:r>
      <w:r>
        <w:rPr>
          <w:rFonts w:ascii="Times New Roman" w:hAnsi="Times New Roman"/>
          <w:sz w:val="20"/>
        </w:rPr>
        <w:t xml:space="preserve"> </w:t>
      </w:r>
    </w:p>
    <w:p>
      <w:pPr>
        <w:pStyle w:val="TextBody"/>
        <w:spacing w:lineRule="auto" w:line="273" w:before="360" w:after="0"/>
        <w:jc w:val="left"/>
        <w:rPr>
          <w:rFonts w:ascii="Times New Roman" w:hAnsi="Times New Roman"/>
          <w:sz w:val="20"/>
        </w:rPr>
      </w:pPr>
      <w:r>
        <w:rPr>
          <w:rFonts w:ascii="Times New Roman" w:hAnsi="Times New Roman"/>
          <w:b/>
          <w:i/>
          <w:sz w:val="20"/>
        </w:rPr>
        <w:t>The exclusive forum provision in our organizational documents may limit a stockholder’s ability to bring a claim in a judicial forum that it finds favorable for disputes with us or any of our directors, officers, or other employees, or the underwriters of any offering giving rise to such claim, which may discourage lawsuits with respect to such claims.</w:t>
      </w:r>
      <w:r>
        <w:rPr>
          <w:rFonts w:ascii="Times New Roman" w:hAnsi="Times New Roman"/>
          <w:sz w:val="20"/>
        </w:rPr>
        <w:t xml:space="preserve"> </w:t>
      </w:r>
    </w:p>
    <w:p>
      <w:pPr>
        <w:pStyle w:val="TextBody"/>
        <w:spacing w:lineRule="auto" w:line="273" w:before="120" w:after="0"/>
        <w:jc w:val="left"/>
        <w:rPr>
          <w:rFonts w:ascii="Times New Roman" w:hAnsi="Times New Roman"/>
          <w:sz w:val="20"/>
        </w:rPr>
      </w:pPr>
      <w:r>
        <w:rPr>
          <w:rFonts w:ascii="Times New Roman" w:hAnsi="Times New Roman"/>
          <w:b w:val="false"/>
          <w:sz w:val="20"/>
        </w:rPr>
        <w:t>Our restated certificate of incorporation provides that, to the fullest extent permitted by law, the Court of Chancery of the State of Delaware is the exclusive forum for: any derivative action or proceeding brought on our behalf; any action asserting a breach of fiduciary duty; any action asserting a claim against us arising pursuant to the DGCL, our restated certificate of incorporation, or our restated bylaws; or any action asserting a claim against us that is governed by the internal affairs doctrine. This exclusive forum provision does not apply to suits brought to enforce a duty or liability created by the Securities Exchange Act of 1934, as amended, or the Exchange Act. It could apply, however, to a suit that falls within one or more of the categories enumerated in the exclusive forum provision.</w:t>
      </w:r>
      <w:r>
        <w:rPr>
          <w:rFonts w:ascii="Times New Roman" w:hAnsi="Times New Roman"/>
          <w:sz w:val="20"/>
        </w:rPr>
        <w:t xml:space="preserve"> </w:t>
      </w:r>
    </w:p>
    <w:p>
      <w:pPr>
        <w:pStyle w:val="TextBody"/>
        <w:spacing w:lineRule="auto" w:line="273" w:before="240" w:after="0"/>
        <w:jc w:val="left"/>
        <w:rPr>
          <w:rFonts w:ascii="Times New Roman" w:hAnsi="Times New Roman"/>
          <w:sz w:val="20"/>
        </w:rPr>
      </w:pPr>
      <w:r>
        <w:rPr>
          <w:rFonts w:ascii="Times New Roman" w:hAnsi="Times New Roman"/>
          <w:b w:val="false"/>
          <w:sz w:val="20"/>
        </w:rPr>
        <w:t>This choice of forum provision may limit a stockholder’s ability to bring a claim in a judicial forum that it finds favorable for disputes with us or any of our directors, officers, or other employees, or the underwriters of any offering giving rise to such claims, which may discourage lawsuits with respect to such claims. Alternatively, if a court were to find the choice of forum provisions contained in our restated certificate of incorporation to be inapplicable or unenforceable in an action, we may incur additional costs associated with resolving such action in other jurisdictions, which could harm our business, results of operations and financial condition.</w:t>
      </w:r>
      <w:r>
        <w:rPr>
          <w:rFonts w:ascii="Times New Roman" w:hAnsi="Times New Roman"/>
          <w:sz w:val="20"/>
        </w:rPr>
        <w:t xml:space="preserve"> </w:t>
      </w:r>
    </w:p>
    <w:p>
      <w:pPr>
        <w:pStyle w:val="TextBody"/>
        <w:spacing w:lineRule="auto" w:line="273" w:before="0" w:after="0"/>
        <w:jc w:val="center"/>
        <w:rPr>
          <w:rFonts w:ascii="Times New Roman" w:hAnsi="Times New Roman"/>
          <w:b w:val="false"/>
          <w:sz w:val="20"/>
        </w:rPr>
      </w:pPr>
      <w:r>
        <w:rPr>
          <w:rFonts w:ascii="Times New Roman" w:hAnsi="Times New Roman"/>
          <w:b w:val="false"/>
          <w:sz w:val="20"/>
        </w:rPr>
        <w:t>88</w:t>
      </w:r>
    </w:p>
    <w:p>
      <w:pPr>
        <w:pStyle w:val="HorizontalLine"/>
        <w:rPr/>
      </w:pPr>
      <w:r>
        <w:rPr/>
      </w:r>
    </w:p>
    <w:p>
      <w:pPr>
        <w:pStyle w:val="TextBody"/>
        <w:spacing w:lineRule="auto" w:line="273" w:before="0" w:after="0"/>
        <w:jc w:val="left"/>
        <w:rPr/>
      </w:pPr>
      <w:r>
        <w:rPr/>
        <w:t> </w:t>
      </w:r>
    </w:p>
    <w:p>
      <w:pPr>
        <w:pStyle w:val="TextBody"/>
        <w:spacing w:lineRule="auto" w:line="273" w:before="240" w:after="0"/>
        <w:jc w:val="left"/>
        <w:rPr>
          <w:rFonts w:ascii="Times New Roman" w:hAnsi="Times New Roman"/>
          <w:sz w:val="20"/>
        </w:rPr>
      </w:pPr>
      <w:r>
        <w:rPr>
          <w:rFonts w:ascii="Times New Roman" w:hAnsi="Times New Roman"/>
          <w:b w:val="false"/>
          <w:sz w:val="20"/>
        </w:rPr>
        <w:t>Section 22 of the Securities Act creates concurrent jurisdiction for federal and state courts over all claims brought to enforce any duty or liability created by the Securities Act or the rules and regulations thereunder. Our restated bylaws will provide that the federal district courts of the United States of America will, to the fullest extent permitted by law, be the exclusive forum for resolving any complaint asserting a cause of action arising under the Securities Act, or a Federal Forum Provision, including for all causes of action asserted against any defendant named in such complaint. For the avoidance of doubt, this provision is intended to benefit and may be enforced by us, our officers and directors, the underwriters to any offering giving rise to such complaint, and any other professional entity whose profession gives authority to a statement made by that person or entity and who has prepared or certified any part of the documents underlying the offering. Our decision to adopt a Federal Forum Provision followed a decision by the Supreme Court of the State of Delaware holding that such provisions are facially valid under Delaware law. While federal or state courts may not follow the holding of the Delaware Supreme Court or may determine that the Federal Forum Provision should be enforced in a particular case, application of the Federal Forum Provision means that suits brought by our stockholders to enforce any duty or liability created by the Securities Act must be brought in federal court and cannot be brought in state court, and our stockholders cannot waive compliance with the federal securities laws and the rules and regulations thereunder.</w:t>
      </w:r>
      <w:r>
        <w:rPr>
          <w:rFonts w:ascii="Times New Roman" w:hAnsi="Times New Roman"/>
          <w:sz w:val="20"/>
        </w:rPr>
        <w:t xml:space="preserve"> </w:t>
      </w:r>
    </w:p>
    <w:p>
      <w:pPr>
        <w:pStyle w:val="TextBody"/>
        <w:spacing w:lineRule="auto" w:line="273" w:before="240" w:after="0"/>
        <w:jc w:val="left"/>
        <w:rPr>
          <w:rFonts w:ascii="Times New Roman" w:hAnsi="Times New Roman"/>
          <w:sz w:val="20"/>
        </w:rPr>
      </w:pPr>
      <w:r>
        <w:rPr>
          <w:rFonts w:ascii="Times New Roman" w:hAnsi="Times New Roman"/>
          <w:b w:val="false"/>
          <w:sz w:val="20"/>
        </w:rPr>
        <w:t>Section 27 of the Exchange Act creates exclusive federal jurisdiction over all claims brought to enforce any duty or liability created by the Exchange Act or the rules and regulations thereunder. In addition, neither the exclusive forum provision nor the Federal Forum Provision applies to suits brought to enforce any duty or liability created by the Exchange Act. Accordingly, actions by our stockholders to enforce any duty or liability created by the Exchange Act or the rules and regulations thereunder must be brought in federal court, and our stockholders cannot waive compliance with the federal securities laws and the rules and regulations thereunder.</w:t>
      </w:r>
      <w:r>
        <w:rPr>
          <w:rFonts w:ascii="Times New Roman" w:hAnsi="Times New Roman"/>
          <w:sz w:val="20"/>
        </w:rPr>
        <w:t xml:space="preserve"> </w:t>
      </w:r>
    </w:p>
    <w:p>
      <w:pPr>
        <w:pStyle w:val="TextBody"/>
        <w:spacing w:lineRule="auto" w:line="273" w:before="240" w:after="0"/>
        <w:jc w:val="left"/>
        <w:rPr>
          <w:rFonts w:ascii="Times New Roman" w:hAnsi="Times New Roman"/>
          <w:b w:val="false"/>
          <w:sz w:val="20"/>
        </w:rPr>
      </w:pPr>
      <w:r>
        <w:rPr>
          <w:rFonts w:ascii="Times New Roman" w:hAnsi="Times New Roman"/>
          <w:b w:val="false"/>
          <w:sz w:val="20"/>
        </w:rPr>
        <w:t>Any person or entity purchasing or otherwise acquiring or holding any interest in any of our securities shall be deemed to have notice of and consented to our exclusive forum provisions, including the Federal Forum Provision. These provisions may limit a stockholders’ ability to bring a claim, and may result in increased costs for a stockholder to bring such a claim, in a judicial forum of their choosing for disputes with us or our directors, officers, or other employees, or the underwriters of any offering giving rise to such claim, which may discourage lawsuits against us and our directors, officers, and other employees.</w:t>
      </w:r>
    </w:p>
    <w:p>
      <w:pPr>
        <w:pStyle w:val="TextBody"/>
        <w:spacing w:lineRule="auto" w:line="273" w:before="360" w:after="0"/>
        <w:jc w:val="left"/>
        <w:rPr>
          <w:rFonts w:ascii="Times New Roman" w:hAnsi="Times New Roman"/>
          <w:sz w:val="20"/>
        </w:rPr>
      </w:pPr>
      <w:r>
        <w:rPr>
          <w:rFonts w:ascii="Times New Roman" w:hAnsi="Times New Roman"/>
          <w:b/>
          <w:i/>
          <w:sz w:val="20"/>
        </w:rPr>
        <w:t>If securities or industry analysts do not publish research or reports about our business, or if they issue an adverse or misleading opinion regarding our company, our common stock price and trading volume could decline.</w:t>
      </w:r>
      <w:r>
        <w:rPr>
          <w:rFonts w:ascii="Times New Roman" w:hAnsi="Times New Roman"/>
          <w:sz w:val="20"/>
        </w:rPr>
        <w:t xml:space="preserve"> </w:t>
      </w:r>
      <w:r>
        <w:rPr>
          <w:rFonts w:ascii="Times New Roman" w:hAnsi="Times New Roman"/>
          <w:b w:val="false"/>
          <w:sz w:val="20"/>
        </w:rPr>
        <w:br/>
      </w:r>
      <w:r>
        <w:rPr>
          <w:rFonts w:ascii="Times New Roman" w:hAnsi="Times New Roman"/>
          <w:sz w:val="20"/>
        </w:rPr>
        <w:t> </w:t>
      </w:r>
    </w:p>
    <w:p>
      <w:pPr>
        <w:pStyle w:val="TextBody"/>
        <w:spacing w:lineRule="auto" w:line="273" w:before="120" w:after="0"/>
        <w:jc w:val="left"/>
        <w:rPr>
          <w:rFonts w:ascii="Times New Roman" w:hAnsi="Times New Roman"/>
          <w:sz w:val="20"/>
        </w:rPr>
      </w:pPr>
      <w:r>
        <w:rPr>
          <w:rFonts w:ascii="Times New Roman" w:hAnsi="Times New Roman"/>
          <w:b w:val="false"/>
          <w:sz w:val="20"/>
        </w:rPr>
        <w:t xml:space="preserve">The trading market for our common stock is influenced by the research and reports that industry or securities analysts publish about us or our business. We do not have any control over the analysts, or the content and opinions included in their reports. If any of the analysts who cover us issue an adverse or misleading opinion regarding us, our business model, our intellectual property or our stock performance, or if our preclinical studies and future clinical trials and operating results fail to meet the expectations of analysts, our stock price would likely decline. If one or more of such analysts cease coverage of us or fail to publish reports on us regularly, we could lose visibility in the financial markets, which in turn could cause a decline in our stock price or trading volume. </w:t>
        <w:br/>
      </w:r>
      <w:r>
        <w:rPr>
          <w:rFonts w:ascii="Times New Roman" w:hAnsi="Times New Roman"/>
          <w:sz w:val="20"/>
        </w:rPr>
        <w:t> </w:t>
      </w:r>
    </w:p>
    <w:p>
      <w:pPr>
        <w:pStyle w:val="TextBody"/>
        <w:spacing w:lineRule="auto" w:line="273" w:before="360" w:after="0"/>
        <w:jc w:val="left"/>
        <w:rPr>
          <w:rFonts w:ascii="Times New Roman" w:hAnsi="Times New Roman"/>
          <w:sz w:val="20"/>
        </w:rPr>
      </w:pPr>
      <w:r>
        <w:rPr>
          <w:rFonts w:ascii="Times New Roman" w:hAnsi="Times New Roman"/>
          <w:b/>
          <w:sz w:val="20"/>
        </w:rPr>
        <w:t>General risk factors</w:t>
      </w:r>
      <w:r>
        <w:rPr>
          <w:rFonts w:ascii="Times New Roman" w:hAnsi="Times New Roman"/>
          <w:sz w:val="20"/>
        </w:rPr>
        <w:t xml:space="preserve"> </w:t>
      </w:r>
    </w:p>
    <w:p>
      <w:pPr>
        <w:pStyle w:val="TextBody"/>
        <w:spacing w:lineRule="auto" w:line="273" w:before="360" w:after="0"/>
        <w:jc w:val="left"/>
        <w:rPr>
          <w:rFonts w:ascii="Times New Roman" w:hAnsi="Times New Roman"/>
          <w:sz w:val="20"/>
        </w:rPr>
      </w:pPr>
      <w:r>
        <w:rPr>
          <w:rFonts w:ascii="Times New Roman" w:hAnsi="Times New Roman"/>
          <w:b/>
          <w:i/>
          <w:sz w:val="20"/>
        </w:rPr>
        <w:t>We will incur increased costs as a result of operating as a public company, and our management will be required to devote substantial time to new compliance initiatives and corporate governance practices.</w:t>
      </w:r>
      <w:r>
        <w:rPr>
          <w:rFonts w:ascii="Times New Roman" w:hAnsi="Times New Roman"/>
          <w:sz w:val="20"/>
        </w:rPr>
        <w:t xml:space="preserve"> </w:t>
      </w:r>
    </w:p>
    <w:p>
      <w:pPr>
        <w:pStyle w:val="TextBody"/>
        <w:spacing w:lineRule="auto" w:line="273" w:before="120" w:after="0"/>
        <w:jc w:val="left"/>
        <w:rPr>
          <w:rFonts w:ascii="Times New Roman" w:hAnsi="Times New Roman"/>
          <w:sz w:val="20"/>
        </w:rPr>
      </w:pPr>
      <w:r>
        <w:rPr>
          <w:rFonts w:ascii="Times New Roman" w:hAnsi="Times New Roman"/>
          <w:b w:val="false"/>
          <w:sz w:val="20"/>
        </w:rPr>
        <w:t>As a public company, and particularly after we are no longer an emerging growth company, we will incur significant legal, accounting and other expenses that we did not incur as a private company. The Sarbanes- Oxley Act, the Dodd-Frank Wall Street Reform and Consumer Protection Act, the listing requirements of Nasdaq and other applicable securities rules and regulations impose various requirements on public companies, including establishment and maintenance of effective disclosure and financial controls and corporate governance practices. Our management and other personnel will need to devote a substantial amount of time to these compliance initiatives. Moreover, we expect these rules and regulations to substantially increase our legal and financial compliance costs and to make some activities more time consuming and costly. For example, we expect that these rules and regulations may make it more difficult and more expensive for us to obtain director and officer liability insurance and we may be required to incur substantial costs to maintain sufficient coverage. We cannot predict or estimate the amount or timing of additional costs we may incur to respond to these requirements. The impact of these requirements could also make it more difficult for us to attract and retain qualified persons to serve on our board of directors, our board committees or as executive officers. The increased costs may require us to reduce costs in other areas of our business or increase the prices of our products once commercialized. Moreover, these rules and regulations are often subject to varying interpretations, in many cases due to their lack of specificity, and, as a result, their application in practice may evolve over time as new guidance is provided by regulatory and governing bodies. This could result in continuing uncertainty regarding compliance matters and higher costs necessitated by ongoing revisions to disclosure and governance practices.</w:t>
      </w:r>
      <w:r>
        <w:rPr>
          <w:rFonts w:ascii="Times New Roman" w:hAnsi="Times New Roman"/>
          <w:sz w:val="20"/>
        </w:rPr>
        <w:t xml:space="preserve"> </w:t>
      </w:r>
    </w:p>
    <w:p>
      <w:pPr>
        <w:pStyle w:val="TextBody"/>
        <w:spacing w:lineRule="auto" w:line="273" w:before="0" w:after="0"/>
        <w:jc w:val="center"/>
        <w:rPr>
          <w:rFonts w:ascii="Times New Roman" w:hAnsi="Times New Roman"/>
          <w:b w:val="false"/>
          <w:sz w:val="20"/>
        </w:rPr>
      </w:pPr>
      <w:r>
        <w:rPr>
          <w:rFonts w:ascii="Times New Roman" w:hAnsi="Times New Roman"/>
          <w:b w:val="false"/>
          <w:sz w:val="20"/>
        </w:rPr>
        <w:t>89</w:t>
      </w:r>
    </w:p>
    <w:p>
      <w:pPr>
        <w:pStyle w:val="HorizontalLine"/>
        <w:rPr/>
      </w:pPr>
      <w:r>
        <w:rPr/>
      </w:r>
    </w:p>
    <w:p>
      <w:pPr>
        <w:pStyle w:val="TextBody"/>
        <w:spacing w:lineRule="auto" w:line="273" w:before="0" w:after="0"/>
        <w:jc w:val="left"/>
        <w:rPr/>
      </w:pPr>
      <w:r>
        <w:rPr/>
        <w:t> </w:t>
      </w:r>
    </w:p>
    <w:p>
      <w:pPr>
        <w:pStyle w:val="TextBody"/>
        <w:spacing w:lineRule="auto" w:line="273" w:before="360" w:after="0"/>
        <w:jc w:val="left"/>
        <w:rPr>
          <w:rFonts w:ascii="Times New Roman" w:hAnsi="Times New Roman"/>
          <w:sz w:val="20"/>
        </w:rPr>
      </w:pPr>
      <w:r>
        <w:rPr>
          <w:rFonts w:ascii="Times New Roman" w:hAnsi="Times New Roman"/>
          <w:b/>
          <w:i/>
          <w:sz w:val="20"/>
        </w:rPr>
        <w:t>If we fail to maintain proper and effective internal controls over financial reporting our ability to produce accurate and timely financial statements could be impaired.</w:t>
      </w:r>
      <w:r>
        <w:rPr>
          <w:rFonts w:ascii="Times New Roman" w:hAnsi="Times New Roman"/>
          <w:sz w:val="20"/>
        </w:rPr>
        <w:t xml:space="preserve"> </w:t>
      </w:r>
    </w:p>
    <w:p>
      <w:pPr>
        <w:pStyle w:val="TextBody"/>
        <w:spacing w:lineRule="auto" w:line="273" w:before="120" w:after="0"/>
        <w:jc w:val="left"/>
        <w:rPr>
          <w:rFonts w:ascii="Times New Roman" w:hAnsi="Times New Roman"/>
          <w:sz w:val="20"/>
        </w:rPr>
      </w:pPr>
      <w:r>
        <w:rPr>
          <w:rFonts w:ascii="Times New Roman" w:hAnsi="Times New Roman"/>
          <w:b w:val="false"/>
          <w:sz w:val="20"/>
        </w:rPr>
        <w:t>Pursuant to Section 404 of the Sarbanes-Oxley Act, our management will be required to report upon the effectiveness of our internal control over financial reporting beginning with annual report for our fiscal year ending December 31, 2022. When we lose our status as an “emerging growth company” and become an “accelerated filer” or a “large accelerated filer,” our independent registered public accounting firm will be required to attest to the effectiveness of our internal control over financial reporting. The rules governing the standards that must be met for management to assess our internal control over financial reporting are complex and require significant documentation, testing, and possible remediation. To achieve compliance with Section 404 within the prescribed period, we will be engaged in a process to document and evaluate our internal control over financial reporting, which is both costly and challenging. In this regard, we will need to continue to dedicate internal resources, potentially engage outside consultants and adopt a detailed work plan to assess and document the adequacy of internal control over financial reporting, continue steps to improve control processes as appropriate, validate through testing that controls are functioning as documented and implement a continuous reporting and improvement process for internal control over financial reporting. This process will be time-consuming, costly and complicated.</w:t>
      </w:r>
      <w:r>
        <w:rPr>
          <w:rFonts w:ascii="Times New Roman" w:hAnsi="Times New Roman"/>
          <w:sz w:val="20"/>
        </w:rPr>
        <w:t xml:space="preserve"> </w:t>
      </w:r>
    </w:p>
    <w:p>
      <w:pPr>
        <w:pStyle w:val="TextBody"/>
        <w:spacing w:lineRule="auto" w:line="273" w:before="240" w:after="0"/>
        <w:jc w:val="left"/>
        <w:rPr>
          <w:rFonts w:ascii="Times New Roman" w:hAnsi="Times New Roman"/>
          <w:sz w:val="20"/>
        </w:rPr>
      </w:pPr>
      <w:r>
        <w:rPr>
          <w:rFonts w:ascii="Times New Roman" w:hAnsi="Times New Roman"/>
          <w:b w:val="false"/>
          <w:sz w:val="20"/>
        </w:rPr>
        <w:t>Any failure to maintain internal control over financial reporting could severely inhibit our ability to accurately report our financial condition, results of operations, or cash flows. If we are unable to conclude that our internal control over financial reporting is effective, or if our independent registered public accounting firm determines we have a material weakness or significant deficiency in our internal control over financial reporting, investors may lose confidence in the accuracy and completeness of our financial reports, the market price of our common stock could decline, and we could be subject to sanctions or investigations by the Nasdaq Global Select Market, or Nasdaq, the SEC, or other regulatory authorities. Failure to remedy any material weakness in our internal control over financial reporting, or to implement or maintain other effective control systems required of public companies, could also restrict our future access to the capital markets.</w:t>
      </w:r>
      <w:r>
        <w:rPr>
          <w:rFonts w:ascii="Times New Roman" w:hAnsi="Times New Roman"/>
          <w:sz w:val="20"/>
        </w:rPr>
        <w:t xml:space="preserve"> </w:t>
      </w:r>
    </w:p>
    <w:p>
      <w:pPr>
        <w:pStyle w:val="TextBody"/>
        <w:spacing w:lineRule="auto" w:line="273" w:before="360" w:after="0"/>
        <w:jc w:val="left"/>
        <w:rPr>
          <w:rFonts w:ascii="Times New Roman" w:hAnsi="Times New Roman"/>
          <w:sz w:val="20"/>
        </w:rPr>
      </w:pPr>
      <w:r>
        <w:rPr>
          <w:rFonts w:ascii="Times New Roman" w:hAnsi="Times New Roman"/>
          <w:b/>
          <w:i/>
          <w:sz w:val="20"/>
        </w:rPr>
        <w:t>Our disclosure controls and procedures may not prevent or detect all errors or acts of fraud.</w:t>
      </w:r>
      <w:r>
        <w:rPr>
          <w:rFonts w:ascii="Times New Roman" w:hAnsi="Times New Roman"/>
          <w:sz w:val="20"/>
        </w:rPr>
        <w:t xml:space="preserve"> </w:t>
      </w:r>
    </w:p>
    <w:p>
      <w:pPr>
        <w:pStyle w:val="TextBody"/>
        <w:spacing w:lineRule="auto" w:line="273" w:before="120" w:after="0"/>
        <w:jc w:val="left"/>
        <w:rPr>
          <w:rFonts w:ascii="Times New Roman" w:hAnsi="Times New Roman"/>
          <w:sz w:val="20"/>
        </w:rPr>
      </w:pPr>
      <w:r>
        <w:rPr>
          <w:rFonts w:ascii="Times New Roman" w:hAnsi="Times New Roman"/>
          <w:b w:val="false"/>
          <w:sz w:val="20"/>
        </w:rPr>
        <w:t>We are subject to the periodic reporting requirements of the Exchange Act. We designed our disclosure controls and procedures to reasonably assure that information we must disclose in reports we file or submit under the Exchange Act is accumulated and communicated to management, and recorded, processed, summarized and reported within the time periods specified in the rules and forms of the SEC. We believe that any disclosure controls and procedures or internal controls and procedures, no matter how well-conceived and operated, can provide only reasonable, not absolute, assurance that the objectives of the control system are met.</w:t>
      </w:r>
      <w:r>
        <w:rPr>
          <w:rFonts w:ascii="Times New Roman" w:hAnsi="Times New Roman"/>
          <w:sz w:val="20"/>
        </w:rPr>
        <w:t xml:space="preserve"> </w:t>
      </w:r>
    </w:p>
    <w:p>
      <w:pPr>
        <w:pStyle w:val="TextBody"/>
        <w:spacing w:lineRule="auto" w:line="273" w:before="240" w:after="0"/>
        <w:jc w:val="left"/>
        <w:rPr>
          <w:rFonts w:ascii="Times New Roman" w:hAnsi="Times New Roman"/>
          <w:sz w:val="20"/>
        </w:rPr>
      </w:pPr>
      <w:r>
        <w:rPr>
          <w:rFonts w:ascii="Times New Roman" w:hAnsi="Times New Roman"/>
          <w:b w:val="false"/>
          <w:sz w:val="20"/>
        </w:rPr>
        <w:t>These inherent limitations include the realities that judgments in decision-making can be faulty, and that breakdowns can occur because of simple error or mistake. For example, our directors or executive officers could inadvertently fail to disclose a new relationship or arrangement causing us to fail to make any related party transaction disclosures. Additionally, controls can be circumvented by the individual acts of some persons, by collusion of two or more people or by an unauthorized override of the controls. Accordingly, because of the inherent limitations in our control system, misstatements due to error or fraud may occur and not be detected. In addition, we do not have a formal risk management program for identifying and addressing risks to our business in other areas.</w:t>
      </w:r>
      <w:r>
        <w:rPr>
          <w:rFonts w:ascii="Times New Roman" w:hAnsi="Times New Roman"/>
          <w:sz w:val="20"/>
        </w:rPr>
        <w:t xml:space="preserve"> </w:t>
      </w:r>
    </w:p>
    <w:p>
      <w:pPr>
        <w:pStyle w:val="TextBody"/>
        <w:spacing w:lineRule="auto" w:line="273" w:before="360" w:after="0"/>
        <w:jc w:val="left"/>
        <w:rPr>
          <w:rFonts w:ascii="Times New Roman" w:hAnsi="Times New Roman"/>
          <w:sz w:val="20"/>
        </w:rPr>
      </w:pPr>
      <w:r>
        <w:rPr>
          <w:rFonts w:ascii="Times New Roman" w:hAnsi="Times New Roman"/>
          <w:b/>
          <w:i/>
          <w:sz w:val="20"/>
        </w:rPr>
        <w:t>We may be subject to securities litigation, which is expensive and could divert management attention.</w:t>
      </w:r>
      <w:r>
        <w:rPr>
          <w:rFonts w:ascii="Times New Roman" w:hAnsi="Times New Roman"/>
          <w:sz w:val="20"/>
        </w:rPr>
        <w:t xml:space="preserve"> </w:t>
      </w:r>
    </w:p>
    <w:p>
      <w:pPr>
        <w:pStyle w:val="TextBody"/>
        <w:spacing w:lineRule="auto" w:line="273" w:before="120" w:after="0"/>
        <w:jc w:val="left"/>
        <w:rPr>
          <w:rFonts w:ascii="Times New Roman" w:hAnsi="Times New Roman"/>
          <w:b w:val="false"/>
          <w:sz w:val="20"/>
        </w:rPr>
      </w:pPr>
      <w:r>
        <w:rPr>
          <w:rFonts w:ascii="Times New Roman" w:hAnsi="Times New Roman"/>
          <w:b w:val="false"/>
          <w:sz w:val="20"/>
        </w:rPr>
        <w:t>The market price of our common stock may be volatile. The stock market in general, and Nasdaq and biopharmaceutical companies in particular, have experienced extreme price and volume fluctuations that have often been unrelated or disproportionate to the operating performance of these companies. In the past, companies that have experienced volatility in the market price of their stock have been subject to securities class action litigation. We may be the target of this type of litigation in the future. Securities litigation against us could result in substantial costs and divert our management’s attention from other business concerns, which could seriously harm our business.</w:t>
      </w:r>
    </w:p>
    <w:p>
      <w:pPr>
        <w:pStyle w:val="TextBody"/>
        <w:spacing w:lineRule="auto" w:line="273" w:before="360" w:after="0"/>
        <w:jc w:val="left"/>
        <w:rPr>
          <w:rFonts w:ascii="Times New Roman" w:hAnsi="Times New Roman"/>
          <w:sz w:val="20"/>
        </w:rPr>
      </w:pPr>
      <w:bookmarkStart w:id="15" w:name="tx180355_15"/>
      <w:bookmarkEnd w:id="15"/>
      <w:r>
        <w:rPr>
          <w:rFonts w:ascii="Times New Roman" w:hAnsi="Times New Roman"/>
          <w:b/>
          <w:sz w:val="20"/>
        </w:rPr>
        <w:t>Item 2. Unregistered Sales of Equity Securities and Use of Proceeds.</w:t>
      </w:r>
      <w:r>
        <w:rPr>
          <w:rFonts w:ascii="Times New Roman" w:hAnsi="Times New Roman"/>
          <w:sz w:val="20"/>
        </w:rPr>
        <w:t xml:space="preserve"> </w:t>
      </w:r>
    </w:p>
    <w:p>
      <w:pPr>
        <w:pStyle w:val="TextBody"/>
        <w:spacing w:lineRule="auto" w:line="273" w:before="120" w:after="0"/>
        <w:jc w:val="left"/>
        <w:rPr>
          <w:rFonts w:ascii="Times New Roman" w:hAnsi="Times New Roman"/>
          <w:sz w:val="20"/>
        </w:rPr>
      </w:pPr>
      <w:r>
        <w:rPr>
          <w:rFonts w:ascii="Times New Roman" w:hAnsi="Times New Roman"/>
          <w:b/>
          <w:i/>
          <w:sz w:val="20"/>
        </w:rPr>
        <w:t>Unregistered Sales of Equity Securities</w:t>
      </w:r>
      <w:r>
        <w:rPr>
          <w:rFonts w:ascii="Times New Roman" w:hAnsi="Times New Roman"/>
          <w:sz w:val="20"/>
        </w:rPr>
        <w:t xml:space="preserve"> </w:t>
      </w:r>
    </w:p>
    <w:p>
      <w:pPr>
        <w:pStyle w:val="TextBody"/>
        <w:spacing w:lineRule="auto" w:line="273" w:before="120" w:after="0"/>
        <w:jc w:val="left"/>
        <w:rPr>
          <w:rFonts w:ascii="Times New Roman" w:hAnsi="Times New Roman"/>
          <w:sz w:val="20"/>
        </w:rPr>
      </w:pPr>
      <w:r>
        <w:rPr>
          <w:rFonts w:ascii="Times New Roman" w:hAnsi="Times New Roman"/>
          <w:b w:val="false"/>
          <w:sz w:val="20"/>
        </w:rPr>
        <w:t>None.</w:t>
      </w:r>
      <w:r>
        <w:rPr>
          <w:rFonts w:ascii="Times New Roman" w:hAnsi="Times New Roman"/>
          <w:sz w:val="20"/>
        </w:rPr>
        <w:t xml:space="preserve"> </w:t>
      </w:r>
    </w:p>
    <w:p>
      <w:pPr>
        <w:pStyle w:val="TextBody"/>
        <w:spacing w:lineRule="auto" w:line="273" w:before="360" w:after="0"/>
        <w:jc w:val="left"/>
        <w:rPr>
          <w:rFonts w:ascii="Times New Roman" w:hAnsi="Times New Roman"/>
          <w:sz w:val="20"/>
        </w:rPr>
      </w:pPr>
      <w:r>
        <w:rPr>
          <w:rFonts w:ascii="Times New Roman" w:hAnsi="Times New Roman"/>
          <w:b/>
          <w:i/>
          <w:sz w:val="20"/>
        </w:rPr>
        <w:t>Use of Proceeds</w:t>
      </w:r>
      <w:r>
        <w:rPr>
          <w:rFonts w:ascii="Times New Roman" w:hAnsi="Times New Roman"/>
          <w:sz w:val="20"/>
        </w:rPr>
        <w:t xml:space="preserve"> </w:t>
      </w:r>
    </w:p>
    <w:p>
      <w:pPr>
        <w:pStyle w:val="TextBody"/>
        <w:spacing w:lineRule="auto" w:line="273" w:before="120" w:after="0"/>
        <w:jc w:val="left"/>
        <w:rPr>
          <w:rFonts w:ascii="Times New Roman" w:hAnsi="Times New Roman"/>
          <w:sz w:val="20"/>
        </w:rPr>
      </w:pPr>
      <w:r>
        <w:rPr>
          <w:rFonts w:ascii="Times New Roman" w:hAnsi="Times New Roman"/>
          <w:b w:val="false"/>
          <w:sz w:val="20"/>
        </w:rPr>
        <w:t>On June 1, 2021, we completed our IPO and sold 11,500,000 shares of common stock at an IPO price of $16.00 per share. The offer and sale of all of the shares in the IPO were registered under the Securities Act pursuant to registration statements on Form S-1 (File No. 333-255754), which was declared effective by the SEC on May 26, 2021. No additional shares were registered.</w:t>
      </w:r>
      <w:r>
        <w:rPr>
          <w:rFonts w:ascii="Times New Roman" w:hAnsi="Times New Roman"/>
          <w:sz w:val="20"/>
        </w:rPr>
        <w:t xml:space="preserve"> </w:t>
      </w:r>
    </w:p>
    <w:p>
      <w:pPr>
        <w:pStyle w:val="TextBody"/>
        <w:spacing w:lineRule="auto" w:line="273" w:before="0" w:after="0"/>
        <w:jc w:val="center"/>
        <w:rPr>
          <w:rFonts w:ascii="Times New Roman" w:hAnsi="Times New Roman"/>
          <w:b w:val="false"/>
          <w:sz w:val="20"/>
        </w:rPr>
      </w:pPr>
      <w:r>
        <w:rPr>
          <w:rFonts w:ascii="Times New Roman" w:hAnsi="Times New Roman"/>
          <w:b w:val="false"/>
          <w:sz w:val="20"/>
        </w:rPr>
        <w:t>90</w:t>
      </w:r>
    </w:p>
    <w:p>
      <w:pPr>
        <w:pStyle w:val="HorizontalLine"/>
        <w:rPr/>
      </w:pPr>
      <w:r>
        <w:rPr/>
      </w:r>
    </w:p>
    <w:p>
      <w:pPr>
        <w:pStyle w:val="TextBody"/>
        <w:spacing w:lineRule="auto" w:line="273" w:before="0" w:after="0"/>
        <w:jc w:val="left"/>
        <w:rPr/>
      </w:pPr>
      <w:r>
        <w:rPr/>
        <w:t> </w:t>
      </w:r>
    </w:p>
    <w:p>
      <w:pPr>
        <w:pStyle w:val="TextBody"/>
        <w:spacing w:lineRule="auto" w:line="273" w:before="240" w:after="0"/>
        <w:jc w:val="left"/>
        <w:rPr>
          <w:rFonts w:ascii="Times New Roman" w:hAnsi="Times New Roman"/>
          <w:sz w:val="20"/>
        </w:rPr>
      </w:pPr>
      <w:r>
        <w:rPr>
          <w:rFonts w:ascii="Times New Roman" w:hAnsi="Times New Roman"/>
          <w:b w:val="false"/>
          <w:sz w:val="20"/>
        </w:rPr>
        <w:t>We received net proceeds from the IPO of approximately $167.0 million, after deducting underwriting discounts and commissions of approximately $12.9 million and estimated offering expenses of approximately $4.1 million. J.P. Morgan Securities LLC, Cowen and Company, LLC and Piper Sandler &amp; Co. acted as joint book-running managers of the offering and as representatives of the underwriters. None of the expenses associated with the IPO were paid to directors, officers, persons owning 10% or more of any class of equity securities, or to their associates, or to our affiliates.</w:t>
      </w:r>
      <w:r>
        <w:rPr>
          <w:rFonts w:ascii="Times New Roman" w:hAnsi="Times New Roman"/>
          <w:sz w:val="20"/>
        </w:rPr>
        <w:t xml:space="preserve"> </w:t>
      </w:r>
    </w:p>
    <w:p>
      <w:pPr>
        <w:pStyle w:val="TextBody"/>
        <w:spacing w:lineRule="auto" w:line="273" w:before="240" w:after="0"/>
        <w:jc w:val="left"/>
        <w:rPr>
          <w:rFonts w:ascii="Times New Roman" w:hAnsi="Times New Roman"/>
          <w:sz w:val="20"/>
        </w:rPr>
      </w:pPr>
      <w:r>
        <w:rPr>
          <w:rFonts w:ascii="Times New Roman" w:hAnsi="Times New Roman"/>
          <w:b w:val="false"/>
          <w:sz w:val="20"/>
        </w:rPr>
        <w:t>There has been no material change in the planned use of proceeds from our IPO as described in the Prospectus filed with the SEC pursuant to Rule 424(b)(4) under the Securities Act on May 27, 2021.</w:t>
      </w:r>
      <w:r>
        <w:rPr>
          <w:rFonts w:ascii="Times New Roman" w:hAnsi="Times New Roman"/>
          <w:sz w:val="20"/>
        </w:rPr>
        <w:t xml:space="preserve"> </w:t>
      </w:r>
    </w:p>
    <w:p>
      <w:pPr>
        <w:pStyle w:val="TextBody"/>
        <w:spacing w:lineRule="auto" w:line="273" w:before="360" w:after="0"/>
        <w:jc w:val="left"/>
        <w:rPr>
          <w:rFonts w:ascii="Times New Roman" w:hAnsi="Times New Roman"/>
          <w:sz w:val="20"/>
        </w:rPr>
      </w:pPr>
      <w:bookmarkStart w:id="16" w:name="tx180355_16"/>
      <w:bookmarkEnd w:id="16"/>
      <w:r>
        <w:rPr>
          <w:rFonts w:ascii="Times New Roman" w:hAnsi="Times New Roman"/>
          <w:b/>
          <w:sz w:val="20"/>
        </w:rPr>
        <w:t>Item 3. Defaults Upon Senior Securities.</w:t>
      </w:r>
      <w:r>
        <w:rPr>
          <w:rFonts w:ascii="Times New Roman" w:hAnsi="Times New Roman"/>
          <w:sz w:val="20"/>
        </w:rPr>
        <w:t xml:space="preserve"> </w:t>
      </w:r>
    </w:p>
    <w:p>
      <w:pPr>
        <w:pStyle w:val="TextBody"/>
        <w:spacing w:lineRule="auto" w:line="273" w:before="120" w:after="0"/>
        <w:jc w:val="left"/>
        <w:rPr>
          <w:rFonts w:ascii="Times New Roman" w:hAnsi="Times New Roman"/>
          <w:sz w:val="20"/>
        </w:rPr>
      </w:pPr>
      <w:r>
        <w:rPr>
          <w:rFonts w:ascii="Times New Roman" w:hAnsi="Times New Roman"/>
          <w:b w:val="false"/>
          <w:sz w:val="20"/>
        </w:rPr>
        <w:t>None.</w:t>
      </w:r>
      <w:r>
        <w:rPr>
          <w:rFonts w:ascii="Times New Roman" w:hAnsi="Times New Roman"/>
          <w:sz w:val="20"/>
        </w:rPr>
        <w:t xml:space="preserve"> </w:t>
      </w:r>
    </w:p>
    <w:p>
      <w:pPr>
        <w:pStyle w:val="TextBody"/>
        <w:spacing w:lineRule="auto" w:line="273" w:before="360" w:after="0"/>
        <w:jc w:val="left"/>
        <w:rPr>
          <w:rFonts w:ascii="Times New Roman" w:hAnsi="Times New Roman"/>
          <w:sz w:val="20"/>
        </w:rPr>
      </w:pPr>
      <w:bookmarkStart w:id="17" w:name="tx180355_17"/>
      <w:bookmarkEnd w:id="17"/>
      <w:r>
        <w:rPr>
          <w:rFonts w:ascii="Times New Roman" w:hAnsi="Times New Roman"/>
          <w:b/>
          <w:sz w:val="20"/>
        </w:rPr>
        <w:t>Item 4. Mine Safety Disclosures.</w:t>
      </w:r>
      <w:r>
        <w:rPr>
          <w:rFonts w:ascii="Times New Roman" w:hAnsi="Times New Roman"/>
          <w:sz w:val="20"/>
        </w:rPr>
        <w:t xml:space="preserve"> </w:t>
      </w:r>
    </w:p>
    <w:p>
      <w:pPr>
        <w:pStyle w:val="TextBody"/>
        <w:spacing w:lineRule="auto" w:line="273" w:before="120" w:after="0"/>
        <w:jc w:val="left"/>
        <w:rPr>
          <w:rFonts w:ascii="Times New Roman" w:hAnsi="Times New Roman"/>
          <w:sz w:val="20"/>
        </w:rPr>
      </w:pPr>
      <w:r>
        <w:rPr>
          <w:rFonts w:ascii="Times New Roman" w:hAnsi="Times New Roman"/>
          <w:b w:val="false"/>
          <w:sz w:val="20"/>
        </w:rPr>
        <w:t>Not applicable.</w:t>
      </w:r>
      <w:r>
        <w:rPr>
          <w:rFonts w:ascii="Times New Roman" w:hAnsi="Times New Roman"/>
          <w:sz w:val="20"/>
        </w:rPr>
        <w:t xml:space="preserve"> </w:t>
      </w:r>
    </w:p>
    <w:p>
      <w:pPr>
        <w:pStyle w:val="TextBody"/>
        <w:spacing w:lineRule="auto" w:line="273" w:before="360" w:after="0"/>
        <w:jc w:val="left"/>
        <w:rPr>
          <w:rFonts w:ascii="Times New Roman" w:hAnsi="Times New Roman"/>
          <w:sz w:val="20"/>
        </w:rPr>
      </w:pPr>
      <w:bookmarkStart w:id="18" w:name="tx180355_18"/>
      <w:bookmarkEnd w:id="18"/>
      <w:r>
        <w:rPr>
          <w:rFonts w:ascii="Times New Roman" w:hAnsi="Times New Roman"/>
          <w:b/>
          <w:sz w:val="20"/>
        </w:rPr>
        <w:t>Item 5. Other Information.</w:t>
      </w:r>
      <w:r>
        <w:rPr>
          <w:rFonts w:ascii="Times New Roman" w:hAnsi="Times New Roman"/>
          <w:sz w:val="20"/>
        </w:rPr>
        <w:t xml:space="preserve"> </w:t>
      </w:r>
    </w:p>
    <w:p>
      <w:pPr>
        <w:pStyle w:val="TextBody"/>
        <w:spacing w:lineRule="auto" w:line="273" w:before="120" w:after="0"/>
        <w:jc w:val="left"/>
        <w:rPr>
          <w:rFonts w:ascii="Times New Roman" w:hAnsi="Times New Roman"/>
          <w:sz w:val="20"/>
        </w:rPr>
      </w:pPr>
      <w:r>
        <w:rPr>
          <w:rFonts w:ascii="Times New Roman" w:hAnsi="Times New Roman"/>
          <w:b w:val="false"/>
          <w:sz w:val="20"/>
        </w:rPr>
        <w:t>None.</w:t>
      </w:r>
      <w:r>
        <w:rPr>
          <w:rFonts w:ascii="Times New Roman" w:hAnsi="Times New Roman"/>
          <w:sz w:val="20"/>
        </w:rPr>
        <w:t xml:space="preserve"> </w:t>
      </w:r>
    </w:p>
    <w:p>
      <w:pPr>
        <w:pStyle w:val="TextBody"/>
        <w:spacing w:lineRule="auto" w:line="273" w:before="0" w:after="0"/>
        <w:jc w:val="center"/>
        <w:rPr>
          <w:rFonts w:ascii="Times New Roman" w:hAnsi="Times New Roman"/>
          <w:b w:val="false"/>
          <w:sz w:val="20"/>
        </w:rPr>
      </w:pPr>
      <w:r>
        <w:rPr>
          <w:rFonts w:ascii="Times New Roman" w:hAnsi="Times New Roman"/>
          <w:b w:val="false"/>
          <w:sz w:val="20"/>
        </w:rPr>
        <w:t>91</w:t>
      </w:r>
    </w:p>
    <w:p>
      <w:pPr>
        <w:pStyle w:val="HorizontalLine"/>
        <w:rPr/>
      </w:pPr>
      <w:r>
        <w:rPr/>
      </w:r>
    </w:p>
    <w:p>
      <w:pPr>
        <w:pStyle w:val="TextBody"/>
        <w:spacing w:lineRule="auto" w:line="273" w:before="0" w:after="0"/>
        <w:jc w:val="left"/>
        <w:rPr/>
      </w:pPr>
      <w:r>
        <w:rPr/>
        <w:t> </w:t>
      </w:r>
    </w:p>
    <w:p>
      <w:pPr>
        <w:pStyle w:val="TextBody"/>
        <w:spacing w:lineRule="auto" w:line="273" w:before="0" w:after="0"/>
        <w:jc w:val="left"/>
        <w:rPr>
          <w:rFonts w:ascii="Times New Roman" w:hAnsi="Times New Roman"/>
          <w:sz w:val="20"/>
        </w:rPr>
      </w:pPr>
      <w:bookmarkStart w:id="19" w:name="tx180355_19"/>
      <w:bookmarkEnd w:id="19"/>
      <w:r>
        <w:rPr>
          <w:rFonts w:ascii="Times New Roman" w:hAnsi="Times New Roman"/>
          <w:b/>
          <w:sz w:val="20"/>
        </w:rPr>
        <w:t>Item 6. Exhibits.</w:t>
      </w:r>
      <w:r>
        <w:rPr>
          <w:rFonts w:ascii="Times New Roman" w:hAnsi="Times New Roman"/>
          <w:sz w:val="20"/>
        </w:rPr>
        <w:t xml:space="preserve"> </w:t>
      </w:r>
    </w:p>
    <w:p>
      <w:pPr>
        <w:pStyle w:val="TextBody"/>
        <w:spacing w:lineRule="auto" w:line="273" w:before="120" w:after="0"/>
        <w:jc w:val="left"/>
        <w:rPr>
          <w:rFonts w:ascii="Times New Roman" w:hAnsi="Times New Roman"/>
          <w:sz w:val="20"/>
        </w:rPr>
      </w:pPr>
      <w:r>
        <w:rPr>
          <w:rFonts w:ascii="Times New Roman" w:hAnsi="Times New Roman"/>
          <w:b w:val="false"/>
          <w:sz w:val="20"/>
        </w:rPr>
        <w:t>The exhibits filed or furnished as part of this Quarterly Report on Form 10-Q are set forth on the Exhibit Index below.</w:t>
      </w:r>
      <w:r>
        <w:rPr>
          <w:rFonts w:ascii="Times New Roman" w:hAnsi="Times New Roman"/>
          <w:sz w:val="20"/>
        </w:rPr>
        <w:t xml:space="preserve"> </w:t>
      </w:r>
    </w:p>
    <w:p>
      <w:pPr>
        <w:pStyle w:val="TextBody"/>
        <w:spacing w:lineRule="auto" w:line="273" w:before="0" w:after="0"/>
        <w:jc w:val="left"/>
        <w:rPr/>
      </w:pPr>
      <w:r>
        <w:rPr/>
        <w:t> </w:t>
      </w:r>
    </w:p>
    <w:tbl>
      <w:tblPr>
        <w:tblW w:w="10205" w:type="dxa"/>
        <w:jc w:val="left"/>
        <w:tblInd w:w="0" w:type="dxa"/>
        <w:tblCellMar>
          <w:top w:w="28" w:type="dxa"/>
          <w:left w:w="28" w:type="dxa"/>
          <w:bottom w:w="28" w:type="dxa"/>
          <w:right w:w="28" w:type="dxa"/>
        </w:tblCellMar>
      </w:tblPr>
      <w:tblGrid>
        <w:gridCol w:w="815"/>
        <w:gridCol w:w="6206"/>
        <w:gridCol w:w="525"/>
        <w:gridCol w:w="486"/>
        <w:gridCol w:w="526"/>
        <w:gridCol w:w="645"/>
        <w:gridCol w:w="1002"/>
      </w:tblGrid>
      <w:tr>
        <w:trPr/>
        <w:tc>
          <w:tcPr>
            <w:tcW w:w="815" w:type="dxa"/>
            <w:tcBorders/>
            <w:shd w:fill="auto" w:val="clear"/>
            <w:vAlign w:val="center"/>
          </w:tcPr>
          <w:p>
            <w:pPr>
              <w:pStyle w:val="TableContents"/>
              <w:spacing w:before="0" w:after="283"/>
              <w:rPr>
                <w:sz w:val="4"/>
                <w:szCs w:val="4"/>
              </w:rPr>
            </w:pPr>
            <w:r>
              <w:rPr>
                <w:sz w:val="4"/>
                <w:szCs w:val="4"/>
              </w:rPr>
            </w:r>
          </w:p>
        </w:tc>
        <w:tc>
          <w:tcPr>
            <w:tcW w:w="6206" w:type="dxa"/>
            <w:tcBorders/>
            <w:shd w:fill="auto" w:val="clear"/>
            <w:vAlign w:val="center"/>
          </w:tcPr>
          <w:p>
            <w:pPr>
              <w:pStyle w:val="TableContents"/>
              <w:spacing w:before="0" w:after="283"/>
              <w:rPr>
                <w:sz w:val="4"/>
                <w:szCs w:val="4"/>
              </w:rPr>
            </w:pPr>
            <w:r>
              <w:rPr>
                <w:sz w:val="4"/>
                <w:szCs w:val="4"/>
              </w:rPr>
            </w:r>
          </w:p>
        </w:tc>
        <w:tc>
          <w:tcPr>
            <w:tcW w:w="525" w:type="dxa"/>
            <w:tcBorders/>
            <w:shd w:fill="auto" w:val="clear"/>
            <w:vAlign w:val="center"/>
          </w:tcPr>
          <w:p>
            <w:pPr>
              <w:pStyle w:val="TableContents"/>
              <w:spacing w:before="0" w:after="283"/>
              <w:rPr>
                <w:sz w:val="4"/>
                <w:szCs w:val="4"/>
              </w:rPr>
            </w:pPr>
            <w:r>
              <w:rPr>
                <w:sz w:val="4"/>
                <w:szCs w:val="4"/>
              </w:rPr>
            </w:r>
          </w:p>
        </w:tc>
        <w:tc>
          <w:tcPr>
            <w:tcW w:w="486" w:type="dxa"/>
            <w:tcBorders/>
            <w:shd w:fill="auto" w:val="clear"/>
            <w:vAlign w:val="center"/>
          </w:tcPr>
          <w:p>
            <w:pPr>
              <w:pStyle w:val="TableContents"/>
              <w:spacing w:before="0" w:after="283"/>
              <w:rPr>
                <w:sz w:val="4"/>
                <w:szCs w:val="4"/>
              </w:rPr>
            </w:pPr>
            <w:r>
              <w:rPr>
                <w:sz w:val="4"/>
                <w:szCs w:val="4"/>
              </w:rPr>
            </w:r>
          </w:p>
        </w:tc>
        <w:tc>
          <w:tcPr>
            <w:tcW w:w="526" w:type="dxa"/>
            <w:tcBorders/>
            <w:shd w:fill="auto" w:val="clear"/>
            <w:vAlign w:val="center"/>
          </w:tcPr>
          <w:p>
            <w:pPr>
              <w:pStyle w:val="TableContents"/>
              <w:spacing w:before="0" w:after="283"/>
              <w:rPr>
                <w:sz w:val="4"/>
                <w:szCs w:val="4"/>
              </w:rPr>
            </w:pPr>
            <w:r>
              <w:rPr>
                <w:sz w:val="4"/>
                <w:szCs w:val="4"/>
              </w:rPr>
            </w:r>
          </w:p>
        </w:tc>
        <w:tc>
          <w:tcPr>
            <w:tcW w:w="645" w:type="dxa"/>
            <w:tcBorders/>
            <w:shd w:fill="auto" w:val="clear"/>
            <w:vAlign w:val="center"/>
          </w:tcPr>
          <w:p>
            <w:pPr>
              <w:pStyle w:val="TableContents"/>
              <w:spacing w:before="0" w:after="283"/>
              <w:rPr>
                <w:sz w:val="4"/>
                <w:szCs w:val="4"/>
              </w:rPr>
            </w:pPr>
            <w:r>
              <w:rPr>
                <w:sz w:val="4"/>
                <w:szCs w:val="4"/>
              </w:rPr>
            </w:r>
          </w:p>
        </w:tc>
        <w:tc>
          <w:tcPr>
            <w:tcW w:w="1002" w:type="dxa"/>
            <w:tcBorders/>
            <w:shd w:fill="auto" w:val="clear"/>
            <w:vAlign w:val="center"/>
          </w:tcPr>
          <w:p>
            <w:pPr>
              <w:pStyle w:val="TableContents"/>
              <w:spacing w:before="0" w:after="283"/>
              <w:rPr>
                <w:sz w:val="4"/>
                <w:szCs w:val="4"/>
              </w:rPr>
            </w:pPr>
            <w:r>
              <w:rPr>
                <w:sz w:val="4"/>
                <w:szCs w:val="4"/>
              </w:rPr>
            </w:r>
          </w:p>
        </w:tc>
      </w:tr>
      <w:tr>
        <w:trPr/>
        <w:tc>
          <w:tcPr>
            <w:tcW w:w="815" w:type="dxa"/>
            <w:tcBorders/>
            <w:shd w:fill="auto" w:val="clear"/>
            <w:tcMar>
              <w:top w:w="0" w:type="dxa"/>
              <w:left w:w="0" w:type="dxa"/>
              <w:bottom w:w="0" w:type="dxa"/>
              <w:right w:w="0" w:type="dxa"/>
            </w:tcMar>
            <w:vAlign w:val="center"/>
          </w:tcPr>
          <w:p>
            <w:pPr>
              <w:pStyle w:val="TableContents"/>
              <w:spacing w:lineRule="atLeast" w:line="141" w:before="0" w:after="0"/>
              <w:ind w:left="0" w:right="0" w:hanging="0"/>
              <w:jc w:val="left"/>
              <w:rPr/>
            </w:pPr>
            <w:r>
              <w:rPr/>
              <w:t> </w:t>
            </w:r>
          </w:p>
        </w:tc>
        <w:tc>
          <w:tcPr>
            <w:tcW w:w="6206" w:type="dxa"/>
            <w:tcBorders/>
            <w:shd w:fill="auto" w:val="clear"/>
            <w:tcMar>
              <w:top w:w="0" w:type="dxa"/>
              <w:left w:w="0" w:type="dxa"/>
              <w:bottom w:w="0" w:type="dxa"/>
              <w:right w:w="0" w:type="dxa"/>
            </w:tcMar>
            <w:vAlign w:val="center"/>
          </w:tcPr>
          <w:p>
            <w:pPr>
              <w:pStyle w:val="TableContents"/>
              <w:spacing w:lineRule="atLeast" w:line="141" w:before="0" w:after="0"/>
              <w:ind w:left="0" w:right="0" w:hanging="0"/>
              <w:jc w:val="left"/>
              <w:rPr/>
            </w:pPr>
            <w:r>
              <w:rPr/>
              <w:t> </w:t>
            </w:r>
          </w:p>
        </w:tc>
        <w:tc>
          <w:tcPr>
            <w:tcW w:w="2182" w:type="dxa"/>
            <w:gridSpan w:val="4"/>
            <w:tcBorders/>
            <w:shd w:fill="auto" w:val="clear"/>
            <w:tcMar>
              <w:top w:w="0" w:type="dxa"/>
              <w:left w:w="0" w:type="dxa"/>
              <w:bottom w:w="0" w:type="dxa"/>
              <w:right w:w="0" w:type="dxa"/>
            </w:tcMar>
            <w:vAlign w:val="center"/>
          </w:tcPr>
          <w:p>
            <w:pPr>
              <w:pStyle w:val="TableContents"/>
              <w:spacing w:lineRule="auto" w:line="252" w:before="0" w:after="0"/>
              <w:ind w:left="0" w:right="0" w:hanging="0"/>
              <w:jc w:val="center"/>
              <w:rPr>
                <w:rFonts w:ascii="Times New Roman" w:hAnsi="Times New Roman"/>
                <w:sz w:val="16"/>
              </w:rPr>
            </w:pPr>
            <w:r>
              <w:rPr>
                <w:rFonts w:ascii="Times New Roman" w:hAnsi="Times New Roman"/>
                <w:b/>
                <w:sz w:val="16"/>
              </w:rPr>
              <w:t>Incorporated by Reference</w:t>
            </w:r>
            <w:r>
              <w:rPr>
                <w:rFonts w:ascii="Times New Roman" w:hAnsi="Times New Roman"/>
                <w:sz w:val="16"/>
              </w:rPr>
              <w:t xml:space="preserve"> </w:t>
            </w:r>
          </w:p>
          <w:p>
            <w:pPr>
              <w:pStyle w:val="TableContents"/>
              <w:pBdr>
                <w:top w:val="single" w:sz="8" w:space="1" w:color="000000"/>
              </w:pBdr>
              <w:spacing w:lineRule="atLeast" w:line="141" w:before="0" w:after="0"/>
              <w:ind w:left="0" w:right="0" w:hanging="0"/>
              <w:jc w:val="left"/>
              <w:rPr/>
            </w:pPr>
            <w:r>
              <w:rPr/>
              <w:t> </w:t>
            </w:r>
          </w:p>
        </w:tc>
        <w:tc>
          <w:tcPr>
            <w:tcW w:w="1002" w:type="dxa"/>
            <w:tcBorders/>
            <w:shd w:fill="auto" w:val="clear"/>
            <w:tcMar>
              <w:top w:w="0" w:type="dxa"/>
              <w:left w:w="0" w:type="dxa"/>
              <w:bottom w:w="0" w:type="dxa"/>
              <w:right w:w="0" w:type="dxa"/>
            </w:tcMar>
            <w:vAlign w:val="center"/>
          </w:tcPr>
          <w:p>
            <w:pPr>
              <w:pStyle w:val="TableContents"/>
              <w:spacing w:lineRule="atLeast" w:line="141" w:before="0" w:after="0"/>
              <w:ind w:left="0" w:right="0" w:hanging="0"/>
              <w:jc w:val="left"/>
              <w:rPr/>
            </w:pPr>
            <w:r>
              <w:rPr/>
              <w:t> </w:t>
            </w:r>
          </w:p>
        </w:tc>
      </w:tr>
      <w:tr>
        <w:trPr/>
        <w:tc>
          <w:tcPr>
            <w:tcW w:w="815" w:type="dxa"/>
            <w:tcBorders/>
            <w:shd w:fill="auto" w:val="clear"/>
            <w:vAlign w:val="center"/>
          </w:tcPr>
          <w:p>
            <w:pPr>
              <w:pStyle w:val="TableContents"/>
              <w:spacing w:lineRule="auto" w:line="252" w:before="0" w:after="0"/>
              <w:ind w:left="0" w:right="0" w:hanging="0"/>
              <w:jc w:val="left"/>
              <w:rPr>
                <w:rFonts w:ascii="Times New Roman" w:hAnsi="Times New Roman"/>
                <w:b/>
                <w:sz w:val="16"/>
              </w:rPr>
            </w:pPr>
            <w:r>
              <w:rPr>
                <w:rFonts w:ascii="Times New Roman" w:hAnsi="Times New Roman"/>
                <w:b/>
                <w:sz w:val="16"/>
              </w:rPr>
              <w:t>Exhibit</w:t>
              <w:br/>
              <w:t>Number</w:t>
            </w:r>
          </w:p>
          <w:p>
            <w:pPr>
              <w:pStyle w:val="TableContents"/>
              <w:pBdr>
                <w:top w:val="single" w:sz="8" w:space="1" w:color="000000"/>
              </w:pBdr>
              <w:spacing w:lineRule="atLeast" w:line="141" w:before="20" w:after="0"/>
              <w:ind w:left="0" w:right="0" w:hanging="0"/>
              <w:jc w:val="left"/>
              <w:rPr/>
            </w:pPr>
            <w:r>
              <w:rPr/>
              <w:t> </w:t>
            </w:r>
          </w:p>
        </w:tc>
        <w:tc>
          <w:tcPr>
            <w:tcW w:w="6206" w:type="dxa"/>
            <w:tcBorders/>
            <w:shd w:fill="auto" w:val="clear"/>
            <w:tcMar>
              <w:top w:w="0" w:type="dxa"/>
              <w:left w:w="0" w:type="dxa"/>
              <w:bottom w:w="0" w:type="dxa"/>
              <w:right w:w="0" w:type="dxa"/>
            </w:tcMar>
            <w:vAlign w:val="center"/>
          </w:tcPr>
          <w:p>
            <w:pPr>
              <w:pStyle w:val="TableContents"/>
              <w:spacing w:lineRule="auto" w:line="252" w:before="0" w:after="0"/>
              <w:ind w:left="0" w:right="0" w:hanging="0"/>
              <w:jc w:val="center"/>
              <w:rPr>
                <w:rFonts w:ascii="Times New Roman" w:hAnsi="Times New Roman"/>
                <w:b/>
                <w:sz w:val="16"/>
              </w:rPr>
            </w:pPr>
            <w:r>
              <w:rPr>
                <w:rFonts w:ascii="Times New Roman" w:hAnsi="Times New Roman"/>
                <w:b/>
                <w:sz w:val="16"/>
              </w:rPr>
              <w:t>Description</w:t>
            </w:r>
          </w:p>
          <w:p>
            <w:pPr>
              <w:pStyle w:val="TableContents"/>
              <w:pBdr>
                <w:top w:val="single" w:sz="8" w:space="1" w:color="000000"/>
              </w:pBdr>
              <w:spacing w:lineRule="atLeast" w:line="141" w:before="0" w:after="0"/>
              <w:ind w:left="0" w:right="0" w:hanging="0"/>
              <w:jc w:val="left"/>
              <w:rPr/>
            </w:pPr>
            <w:r>
              <w:rPr/>
              <w:t> </w:t>
            </w:r>
          </w:p>
        </w:tc>
        <w:tc>
          <w:tcPr>
            <w:tcW w:w="525" w:type="dxa"/>
            <w:tcBorders/>
            <w:shd w:fill="auto" w:val="clear"/>
            <w:tcMar>
              <w:top w:w="0" w:type="dxa"/>
              <w:left w:w="0" w:type="dxa"/>
              <w:bottom w:w="0" w:type="dxa"/>
              <w:right w:w="0" w:type="dxa"/>
            </w:tcMar>
            <w:vAlign w:val="center"/>
          </w:tcPr>
          <w:p>
            <w:pPr>
              <w:pStyle w:val="TableContents"/>
              <w:spacing w:lineRule="auto" w:line="252" w:before="0" w:after="0"/>
              <w:ind w:left="0" w:right="0" w:hanging="0"/>
              <w:jc w:val="center"/>
              <w:rPr>
                <w:rFonts w:ascii="Times New Roman" w:hAnsi="Times New Roman"/>
                <w:sz w:val="16"/>
              </w:rPr>
            </w:pPr>
            <w:r>
              <w:rPr>
                <w:rFonts w:ascii="Times New Roman" w:hAnsi="Times New Roman"/>
                <w:b/>
                <w:sz w:val="16"/>
              </w:rPr>
              <w:t>Form</w:t>
            </w:r>
            <w:r>
              <w:rPr>
                <w:rFonts w:ascii="Times New Roman" w:hAnsi="Times New Roman"/>
                <w:sz w:val="16"/>
              </w:rPr>
              <w:t xml:space="preserve"> </w:t>
            </w:r>
          </w:p>
          <w:p>
            <w:pPr>
              <w:pStyle w:val="TableContents"/>
              <w:pBdr>
                <w:top w:val="single" w:sz="8" w:space="1" w:color="000000"/>
              </w:pBdr>
              <w:spacing w:lineRule="atLeast" w:line="141" w:before="0" w:after="0"/>
              <w:ind w:left="0" w:right="0" w:hanging="0"/>
              <w:jc w:val="left"/>
              <w:rPr/>
            </w:pPr>
            <w:r>
              <w:rPr/>
              <w:t> </w:t>
            </w:r>
          </w:p>
        </w:tc>
        <w:tc>
          <w:tcPr>
            <w:tcW w:w="486" w:type="dxa"/>
            <w:tcBorders/>
            <w:shd w:fill="auto" w:val="clear"/>
            <w:tcMar>
              <w:top w:w="0" w:type="dxa"/>
              <w:left w:w="0" w:type="dxa"/>
              <w:bottom w:w="0" w:type="dxa"/>
              <w:right w:w="0" w:type="dxa"/>
            </w:tcMar>
            <w:vAlign w:val="center"/>
          </w:tcPr>
          <w:p>
            <w:pPr>
              <w:pStyle w:val="TableContents"/>
              <w:spacing w:lineRule="auto" w:line="252" w:before="0" w:after="0"/>
              <w:ind w:left="0" w:right="0" w:hanging="0"/>
              <w:jc w:val="center"/>
              <w:rPr>
                <w:rFonts w:ascii="Times New Roman" w:hAnsi="Times New Roman"/>
                <w:sz w:val="16"/>
              </w:rPr>
            </w:pPr>
            <w:r>
              <w:rPr>
                <w:rFonts w:ascii="Times New Roman" w:hAnsi="Times New Roman"/>
                <w:b/>
                <w:sz w:val="16"/>
              </w:rPr>
              <w:t>File No.</w:t>
            </w:r>
            <w:r>
              <w:rPr>
                <w:rFonts w:ascii="Times New Roman" w:hAnsi="Times New Roman"/>
                <w:sz w:val="16"/>
              </w:rPr>
              <w:t xml:space="preserve"> </w:t>
            </w:r>
          </w:p>
          <w:p>
            <w:pPr>
              <w:pStyle w:val="TableContents"/>
              <w:pBdr>
                <w:top w:val="single" w:sz="8" w:space="1" w:color="000000"/>
              </w:pBdr>
              <w:spacing w:lineRule="atLeast" w:line="141" w:before="0" w:after="0"/>
              <w:ind w:left="0" w:right="0" w:hanging="0"/>
              <w:jc w:val="left"/>
              <w:rPr/>
            </w:pPr>
            <w:r>
              <w:rPr/>
              <w:t> </w:t>
            </w:r>
          </w:p>
        </w:tc>
        <w:tc>
          <w:tcPr>
            <w:tcW w:w="526" w:type="dxa"/>
            <w:tcBorders/>
            <w:shd w:fill="auto" w:val="clear"/>
            <w:tcMar>
              <w:top w:w="0" w:type="dxa"/>
              <w:left w:w="0" w:type="dxa"/>
              <w:bottom w:w="0" w:type="dxa"/>
              <w:right w:w="0" w:type="dxa"/>
            </w:tcMar>
            <w:vAlign w:val="center"/>
          </w:tcPr>
          <w:p>
            <w:pPr>
              <w:pStyle w:val="TableContents"/>
              <w:spacing w:lineRule="auto" w:line="252" w:before="0" w:after="0"/>
              <w:ind w:left="0" w:right="0" w:hanging="0"/>
              <w:jc w:val="center"/>
              <w:rPr>
                <w:rFonts w:ascii="Times New Roman" w:hAnsi="Times New Roman"/>
                <w:sz w:val="16"/>
              </w:rPr>
            </w:pPr>
            <w:r>
              <w:rPr>
                <w:rFonts w:ascii="Times New Roman" w:hAnsi="Times New Roman"/>
                <w:b/>
                <w:sz w:val="16"/>
              </w:rPr>
              <w:t>Filing</w:t>
              <w:br/>
              <w:t>Date</w:t>
            </w:r>
            <w:r>
              <w:rPr>
                <w:rFonts w:ascii="Times New Roman" w:hAnsi="Times New Roman"/>
                <w:sz w:val="16"/>
              </w:rPr>
              <w:t xml:space="preserve"> </w:t>
            </w:r>
          </w:p>
          <w:p>
            <w:pPr>
              <w:pStyle w:val="TableContents"/>
              <w:pBdr>
                <w:top w:val="single" w:sz="8" w:space="1" w:color="000000"/>
              </w:pBdr>
              <w:spacing w:lineRule="atLeast" w:line="141" w:before="0" w:after="0"/>
              <w:ind w:left="0" w:right="0" w:hanging="0"/>
              <w:jc w:val="left"/>
              <w:rPr/>
            </w:pPr>
            <w:r>
              <w:rPr/>
              <w:t> </w:t>
            </w:r>
          </w:p>
        </w:tc>
        <w:tc>
          <w:tcPr>
            <w:tcW w:w="645" w:type="dxa"/>
            <w:tcBorders/>
            <w:shd w:fill="auto" w:val="clear"/>
            <w:tcMar>
              <w:top w:w="0" w:type="dxa"/>
              <w:left w:w="0" w:type="dxa"/>
              <w:bottom w:w="0" w:type="dxa"/>
              <w:right w:w="0" w:type="dxa"/>
            </w:tcMar>
            <w:vAlign w:val="center"/>
          </w:tcPr>
          <w:p>
            <w:pPr>
              <w:pStyle w:val="TableContents"/>
              <w:spacing w:lineRule="auto" w:line="252" w:before="0" w:after="0"/>
              <w:ind w:left="0" w:right="0" w:hanging="0"/>
              <w:jc w:val="center"/>
              <w:rPr>
                <w:rFonts w:ascii="Times New Roman" w:hAnsi="Times New Roman"/>
                <w:sz w:val="16"/>
              </w:rPr>
            </w:pPr>
            <w:r>
              <w:rPr>
                <w:rFonts w:ascii="Times New Roman" w:hAnsi="Times New Roman"/>
                <w:b/>
                <w:sz w:val="16"/>
              </w:rPr>
              <w:t>Exhibit</w:t>
            </w:r>
            <w:r>
              <w:rPr>
                <w:rFonts w:ascii="Times New Roman" w:hAnsi="Times New Roman"/>
                <w:sz w:val="16"/>
              </w:rPr>
              <w:t xml:space="preserve"> </w:t>
            </w:r>
          </w:p>
          <w:p>
            <w:pPr>
              <w:pStyle w:val="TableContents"/>
              <w:pBdr>
                <w:top w:val="single" w:sz="8" w:space="1" w:color="000000"/>
              </w:pBdr>
              <w:spacing w:lineRule="atLeast" w:line="141" w:before="0" w:after="0"/>
              <w:ind w:left="0" w:right="0" w:hanging="0"/>
              <w:jc w:val="left"/>
              <w:rPr/>
            </w:pPr>
            <w:r>
              <w:rPr/>
              <w:t> </w:t>
            </w:r>
          </w:p>
        </w:tc>
        <w:tc>
          <w:tcPr>
            <w:tcW w:w="1002" w:type="dxa"/>
            <w:tcBorders/>
            <w:shd w:fill="auto" w:val="clear"/>
            <w:tcMar>
              <w:top w:w="0" w:type="dxa"/>
              <w:left w:w="0" w:type="dxa"/>
              <w:bottom w:w="0" w:type="dxa"/>
              <w:right w:w="0" w:type="dxa"/>
            </w:tcMar>
            <w:vAlign w:val="center"/>
          </w:tcPr>
          <w:p>
            <w:pPr>
              <w:pStyle w:val="TableContents"/>
              <w:spacing w:lineRule="auto" w:line="252" w:before="0" w:after="0"/>
              <w:ind w:left="0" w:right="0" w:hanging="0"/>
              <w:jc w:val="center"/>
              <w:rPr>
                <w:rFonts w:ascii="Times New Roman" w:hAnsi="Times New Roman"/>
                <w:sz w:val="16"/>
              </w:rPr>
            </w:pPr>
            <w:r>
              <w:rPr>
                <w:rFonts w:ascii="Times New Roman" w:hAnsi="Times New Roman"/>
                <w:b/>
                <w:sz w:val="16"/>
              </w:rPr>
              <w:t>Filed/Furnished</w:t>
              <w:br/>
              <w:t>Herewith</w:t>
            </w:r>
            <w:r>
              <w:rPr>
                <w:rFonts w:ascii="Times New Roman" w:hAnsi="Times New Roman"/>
                <w:sz w:val="16"/>
              </w:rPr>
              <w:t xml:space="preserve"> </w:t>
            </w:r>
          </w:p>
          <w:p>
            <w:pPr>
              <w:pStyle w:val="TableContents"/>
              <w:pBdr>
                <w:top w:val="single" w:sz="8" w:space="1" w:color="000000"/>
              </w:pBdr>
              <w:spacing w:lineRule="atLeast" w:line="141" w:before="0" w:after="0"/>
              <w:ind w:left="0" w:right="0" w:hanging="0"/>
              <w:jc w:val="left"/>
              <w:rPr/>
            </w:pPr>
            <w:r>
              <w:rPr/>
              <w:t> </w:t>
            </w:r>
          </w:p>
        </w:tc>
      </w:tr>
      <w:tr>
        <w:trPr/>
        <w:tc>
          <w:tcPr>
            <w:tcW w:w="815" w:type="dxa"/>
            <w:tcBorders/>
            <w:shd w:fill="auto" w:val="clear"/>
            <w:vAlign w:val="center"/>
          </w:tcPr>
          <w:p>
            <w:pPr>
              <w:pStyle w:val="TableContents"/>
              <w:spacing w:lineRule="auto" w:line="252" w:before="0" w:after="0"/>
              <w:ind w:left="0" w:right="0" w:hanging="0"/>
              <w:jc w:val="left"/>
              <w:rPr/>
            </w:pPr>
            <w:r>
              <w:rPr/>
              <w:t> </w:t>
            </w:r>
          </w:p>
        </w:tc>
        <w:tc>
          <w:tcPr>
            <w:tcW w:w="6206" w:type="dxa"/>
            <w:tcBorders/>
            <w:shd w:fill="auto" w:val="clear"/>
            <w:vAlign w:val="center"/>
          </w:tcPr>
          <w:p>
            <w:pPr>
              <w:pStyle w:val="TableContents"/>
              <w:spacing w:lineRule="auto" w:line="252" w:before="0" w:after="0"/>
              <w:ind w:left="0" w:right="0" w:hanging="0"/>
              <w:jc w:val="left"/>
              <w:rPr/>
            </w:pPr>
            <w:r>
              <w:rPr/>
              <w:t> </w:t>
            </w:r>
          </w:p>
        </w:tc>
        <w:tc>
          <w:tcPr>
            <w:tcW w:w="525" w:type="dxa"/>
            <w:tcBorders/>
            <w:shd w:fill="auto" w:val="clear"/>
            <w:vAlign w:val="center"/>
          </w:tcPr>
          <w:p>
            <w:pPr>
              <w:pStyle w:val="TableContents"/>
              <w:spacing w:lineRule="auto" w:line="252" w:before="0" w:after="0"/>
              <w:ind w:left="0" w:right="0" w:hanging="0"/>
              <w:jc w:val="left"/>
              <w:rPr/>
            </w:pPr>
            <w:r>
              <w:rPr/>
              <w:t> </w:t>
            </w:r>
          </w:p>
        </w:tc>
        <w:tc>
          <w:tcPr>
            <w:tcW w:w="486" w:type="dxa"/>
            <w:tcBorders/>
            <w:shd w:fill="auto" w:val="clear"/>
            <w:vAlign w:val="center"/>
          </w:tcPr>
          <w:p>
            <w:pPr>
              <w:pStyle w:val="TableContents"/>
              <w:spacing w:lineRule="auto" w:line="252" w:before="0" w:after="0"/>
              <w:ind w:left="0" w:right="0" w:hanging="0"/>
              <w:jc w:val="left"/>
              <w:rPr/>
            </w:pPr>
            <w:r>
              <w:rPr/>
              <w:t> </w:t>
            </w:r>
          </w:p>
        </w:tc>
        <w:tc>
          <w:tcPr>
            <w:tcW w:w="526" w:type="dxa"/>
            <w:tcBorders/>
            <w:shd w:fill="auto" w:val="clear"/>
            <w:vAlign w:val="center"/>
          </w:tcPr>
          <w:p>
            <w:pPr>
              <w:pStyle w:val="TableContents"/>
              <w:spacing w:lineRule="auto" w:line="252" w:before="0" w:after="0"/>
              <w:ind w:left="0" w:right="0" w:hanging="0"/>
              <w:jc w:val="left"/>
              <w:rPr/>
            </w:pPr>
            <w:r>
              <w:rPr/>
              <w:t> </w:t>
            </w:r>
          </w:p>
        </w:tc>
        <w:tc>
          <w:tcPr>
            <w:tcW w:w="645" w:type="dxa"/>
            <w:tcBorders/>
            <w:shd w:fill="auto" w:val="clear"/>
            <w:vAlign w:val="center"/>
          </w:tcPr>
          <w:p>
            <w:pPr>
              <w:pStyle w:val="TableContents"/>
              <w:spacing w:lineRule="auto" w:line="252" w:before="0" w:after="0"/>
              <w:ind w:left="0" w:right="0" w:hanging="0"/>
              <w:jc w:val="left"/>
              <w:rPr/>
            </w:pPr>
            <w:r>
              <w:rPr/>
              <w:t> </w:t>
            </w:r>
          </w:p>
        </w:tc>
        <w:tc>
          <w:tcPr>
            <w:tcW w:w="1002" w:type="dxa"/>
            <w:tcBorders/>
            <w:shd w:fill="auto" w:val="clear"/>
            <w:vAlign w:val="center"/>
          </w:tcPr>
          <w:p>
            <w:pPr>
              <w:pStyle w:val="TableContents"/>
              <w:spacing w:lineRule="auto" w:line="252" w:before="0" w:after="0"/>
              <w:ind w:left="0" w:right="0" w:hanging="0"/>
              <w:jc w:val="left"/>
              <w:rPr/>
            </w:pPr>
            <w:r>
              <w:rPr/>
              <w:t> </w:t>
            </w:r>
          </w:p>
        </w:tc>
      </w:tr>
      <w:tr>
        <w:trPr/>
        <w:tc>
          <w:tcPr>
            <w:tcW w:w="815" w:type="dxa"/>
            <w:tcBorders/>
            <w:shd w:fill="auto" w:val="clear"/>
            <w:tcMar>
              <w:top w:w="0" w:type="dxa"/>
              <w:left w:w="0" w:type="dxa"/>
              <w:bottom w:w="0" w:type="dxa"/>
              <w:right w:w="0" w:type="dxa"/>
            </w:tcMar>
            <w:vAlign w:val="center"/>
          </w:tcPr>
          <w:p>
            <w:pPr>
              <w:pStyle w:val="TableContents"/>
              <w:spacing w:lineRule="auto" w:line="252" w:before="0" w:after="0"/>
              <w:ind w:left="0" w:right="0" w:firstLine="128"/>
              <w:jc w:val="left"/>
              <w:rPr/>
            </w:pPr>
            <w:r>
              <w:rPr/>
              <w:t>  </w:t>
            </w:r>
            <w:r>
              <w:rPr>
                <w:rFonts w:ascii="Times New Roman" w:hAnsi="Times New Roman"/>
                <w:b w:val="false"/>
                <w:sz w:val="20"/>
              </w:rPr>
              <w:t>31.1</w:t>
            </w:r>
          </w:p>
        </w:tc>
        <w:tc>
          <w:tcPr>
            <w:tcW w:w="6206" w:type="dxa"/>
            <w:tcBorders/>
            <w:shd w:fill="auto" w:val="clear"/>
            <w:vAlign w:val="center"/>
          </w:tcPr>
          <w:p>
            <w:pPr>
              <w:pStyle w:val="TableContents"/>
              <w:spacing w:lineRule="auto" w:line="252" w:before="0" w:after="0"/>
              <w:ind w:left="128" w:right="0" w:hanging="0"/>
              <w:jc w:val="left"/>
              <w:rPr/>
            </w:pPr>
            <w:hyperlink w:anchor="dawn-ex31_1.htm">
              <w:r>
                <w:rPr>
                  <w:rStyle w:val="InternetLink"/>
                  <w:rFonts w:ascii="Times New Roman" w:hAnsi="Times New Roman"/>
                  <w:b w:val="false"/>
                  <w:sz w:val="20"/>
                  <w:u w:val="single"/>
                </w:rPr>
                <w:t>Certification of Principal Executive Officer Pursuant to Rules 13a-14(a) and 15d-14(a) under the Securities Exchange Act of 1934, as Adopted Pursuant to Section 302 of the Sarbanes-Oxley Act of 2002.</w:t>
              </w:r>
            </w:hyperlink>
            <w:hyperlink w:anchor="dawn-ex31_1.htm">
              <w:r>
                <w:rPr>
                  <w:rStyle w:val="InternetLink"/>
                  <w:rFonts w:ascii="Times New Roman" w:hAnsi="Times New Roman"/>
                  <w:sz w:val="20"/>
                </w:rPr>
                <w:t xml:space="preserve"> </w:t>
              </w:r>
            </w:hyperlink>
          </w:p>
        </w:tc>
        <w:tc>
          <w:tcPr>
            <w:tcW w:w="525" w:type="dxa"/>
            <w:tcBorders/>
            <w:shd w:fill="auto" w:val="clear"/>
            <w:tcMar>
              <w:top w:w="0" w:type="dxa"/>
              <w:left w:w="0" w:type="dxa"/>
              <w:bottom w:w="0" w:type="dxa"/>
              <w:right w:w="0" w:type="dxa"/>
            </w:tcMar>
            <w:vAlign w:val="center"/>
          </w:tcPr>
          <w:p>
            <w:pPr>
              <w:pStyle w:val="TableContents"/>
              <w:spacing w:lineRule="atLeast" w:line="141" w:before="0" w:after="0"/>
              <w:ind w:left="0" w:right="0" w:hanging="0"/>
              <w:jc w:val="left"/>
              <w:rPr/>
            </w:pPr>
            <w:r>
              <w:rPr/>
              <w:t> </w:t>
            </w:r>
          </w:p>
        </w:tc>
        <w:tc>
          <w:tcPr>
            <w:tcW w:w="486" w:type="dxa"/>
            <w:tcBorders/>
            <w:shd w:fill="auto" w:val="clear"/>
            <w:tcMar>
              <w:top w:w="0" w:type="dxa"/>
              <w:left w:w="0" w:type="dxa"/>
              <w:bottom w:w="0" w:type="dxa"/>
              <w:right w:w="0" w:type="dxa"/>
            </w:tcMar>
            <w:vAlign w:val="center"/>
          </w:tcPr>
          <w:p>
            <w:pPr>
              <w:pStyle w:val="TableContents"/>
              <w:spacing w:lineRule="atLeast" w:line="141" w:before="0" w:after="0"/>
              <w:ind w:left="0" w:right="0" w:hanging="0"/>
              <w:jc w:val="left"/>
              <w:rPr/>
            </w:pPr>
            <w:r>
              <w:rPr/>
              <w:t> </w:t>
            </w:r>
          </w:p>
        </w:tc>
        <w:tc>
          <w:tcPr>
            <w:tcW w:w="526" w:type="dxa"/>
            <w:tcBorders/>
            <w:shd w:fill="auto" w:val="clear"/>
            <w:tcMar>
              <w:top w:w="0" w:type="dxa"/>
              <w:left w:w="0" w:type="dxa"/>
              <w:bottom w:w="0" w:type="dxa"/>
              <w:right w:w="0" w:type="dxa"/>
            </w:tcMar>
            <w:vAlign w:val="center"/>
          </w:tcPr>
          <w:p>
            <w:pPr>
              <w:pStyle w:val="TableContents"/>
              <w:spacing w:lineRule="auto" w:line="252" w:before="0" w:after="20"/>
              <w:ind w:left="0" w:right="0" w:hanging="0"/>
              <w:jc w:val="left"/>
              <w:rPr/>
            </w:pPr>
            <w:r>
              <w:rPr/>
              <w:t> </w:t>
            </w:r>
          </w:p>
        </w:tc>
        <w:tc>
          <w:tcPr>
            <w:tcW w:w="645" w:type="dxa"/>
            <w:tcBorders/>
            <w:shd w:fill="auto" w:val="clear"/>
            <w:tcMar>
              <w:top w:w="0" w:type="dxa"/>
              <w:left w:w="0" w:type="dxa"/>
              <w:bottom w:w="0" w:type="dxa"/>
              <w:right w:w="0" w:type="dxa"/>
            </w:tcMar>
            <w:vAlign w:val="center"/>
          </w:tcPr>
          <w:p>
            <w:pPr>
              <w:pStyle w:val="TableContents"/>
              <w:spacing w:lineRule="atLeast" w:line="141" w:before="0" w:after="0"/>
              <w:ind w:left="0" w:right="0" w:hanging="0"/>
              <w:jc w:val="left"/>
              <w:rPr/>
            </w:pPr>
            <w:r>
              <w:rPr/>
              <w:t> </w:t>
            </w:r>
          </w:p>
        </w:tc>
        <w:tc>
          <w:tcPr>
            <w:tcW w:w="1002" w:type="dxa"/>
            <w:tcBorders/>
            <w:shd w:fill="auto" w:val="clear"/>
            <w:tcMar>
              <w:top w:w="0" w:type="dxa"/>
              <w:left w:w="0" w:type="dxa"/>
              <w:bottom w:w="0" w:type="dxa"/>
              <w:right w:w="0" w:type="dxa"/>
            </w:tcMar>
            <w:vAlign w:val="center"/>
          </w:tcPr>
          <w:p>
            <w:pPr>
              <w:pStyle w:val="TableContents"/>
              <w:spacing w:lineRule="auto" w:line="252" w:before="0" w:after="20"/>
              <w:ind w:left="0" w:right="0" w:hanging="0"/>
              <w:jc w:val="left"/>
              <w:rPr/>
            </w:pPr>
            <w:r>
              <w:rPr/>
              <w:t> </w:t>
            </w:r>
            <w:r>
              <w:rPr>
                <w:rFonts w:ascii="Times New Roman" w:hAnsi="Times New Roman"/>
                <w:b w:val="false"/>
                <w:sz w:val="20"/>
              </w:rPr>
              <w:t>X</w:t>
            </w:r>
          </w:p>
        </w:tc>
      </w:tr>
      <w:tr>
        <w:trPr/>
        <w:tc>
          <w:tcPr>
            <w:tcW w:w="815" w:type="dxa"/>
            <w:tcBorders/>
            <w:shd w:fill="auto" w:val="clear"/>
            <w:vAlign w:val="center"/>
          </w:tcPr>
          <w:p>
            <w:pPr>
              <w:pStyle w:val="TableContents"/>
              <w:spacing w:lineRule="auto" w:line="252" w:before="0" w:after="0"/>
              <w:ind w:left="0" w:right="0" w:firstLine="128"/>
              <w:jc w:val="left"/>
              <w:rPr/>
            </w:pPr>
            <w:r>
              <w:rPr/>
              <w:t> </w:t>
            </w:r>
          </w:p>
        </w:tc>
        <w:tc>
          <w:tcPr>
            <w:tcW w:w="6206" w:type="dxa"/>
            <w:tcBorders/>
            <w:shd w:fill="auto" w:val="clear"/>
            <w:vAlign w:val="center"/>
          </w:tcPr>
          <w:p>
            <w:pPr>
              <w:pStyle w:val="TableContents"/>
              <w:spacing w:lineRule="auto" w:line="252" w:before="0" w:after="0"/>
              <w:ind w:left="128" w:right="0" w:hanging="0"/>
              <w:jc w:val="left"/>
              <w:rPr/>
            </w:pPr>
            <w:r>
              <w:rPr/>
              <w:t> </w:t>
            </w:r>
          </w:p>
        </w:tc>
        <w:tc>
          <w:tcPr>
            <w:tcW w:w="525" w:type="dxa"/>
            <w:tcBorders/>
            <w:shd w:fill="auto" w:val="clear"/>
            <w:vAlign w:val="center"/>
          </w:tcPr>
          <w:p>
            <w:pPr>
              <w:pStyle w:val="TableContents"/>
              <w:spacing w:lineRule="auto" w:line="252" w:before="0" w:after="0"/>
              <w:ind w:left="0" w:right="0" w:hanging="0"/>
              <w:jc w:val="left"/>
              <w:rPr/>
            </w:pPr>
            <w:r>
              <w:rPr/>
              <w:t> </w:t>
            </w:r>
          </w:p>
        </w:tc>
        <w:tc>
          <w:tcPr>
            <w:tcW w:w="486" w:type="dxa"/>
            <w:tcBorders/>
            <w:shd w:fill="auto" w:val="clear"/>
            <w:vAlign w:val="center"/>
          </w:tcPr>
          <w:p>
            <w:pPr>
              <w:pStyle w:val="TableContents"/>
              <w:spacing w:lineRule="auto" w:line="252" w:before="0" w:after="0"/>
              <w:ind w:left="0" w:right="0" w:hanging="0"/>
              <w:jc w:val="left"/>
              <w:rPr/>
            </w:pPr>
            <w:r>
              <w:rPr/>
              <w:t> </w:t>
            </w:r>
          </w:p>
        </w:tc>
        <w:tc>
          <w:tcPr>
            <w:tcW w:w="526" w:type="dxa"/>
            <w:tcBorders/>
            <w:shd w:fill="auto" w:val="clear"/>
            <w:vAlign w:val="center"/>
          </w:tcPr>
          <w:p>
            <w:pPr>
              <w:pStyle w:val="TableContents"/>
              <w:spacing w:lineRule="auto" w:line="252" w:before="0" w:after="0"/>
              <w:ind w:left="0" w:right="0" w:hanging="0"/>
              <w:jc w:val="left"/>
              <w:rPr/>
            </w:pPr>
            <w:r>
              <w:rPr/>
              <w:t> </w:t>
            </w:r>
          </w:p>
        </w:tc>
        <w:tc>
          <w:tcPr>
            <w:tcW w:w="645" w:type="dxa"/>
            <w:tcBorders/>
            <w:shd w:fill="auto" w:val="clear"/>
            <w:vAlign w:val="center"/>
          </w:tcPr>
          <w:p>
            <w:pPr>
              <w:pStyle w:val="TableContents"/>
              <w:spacing w:lineRule="auto" w:line="252" w:before="0" w:after="0"/>
              <w:ind w:left="0" w:right="0" w:hanging="0"/>
              <w:jc w:val="left"/>
              <w:rPr/>
            </w:pPr>
            <w:r>
              <w:rPr/>
              <w:t> </w:t>
            </w:r>
          </w:p>
        </w:tc>
        <w:tc>
          <w:tcPr>
            <w:tcW w:w="1002" w:type="dxa"/>
            <w:tcBorders/>
            <w:shd w:fill="auto" w:val="clear"/>
            <w:vAlign w:val="center"/>
          </w:tcPr>
          <w:p>
            <w:pPr>
              <w:pStyle w:val="TableContents"/>
              <w:spacing w:lineRule="auto" w:line="252" w:before="0" w:after="0"/>
              <w:ind w:left="0" w:right="0" w:hanging="0"/>
              <w:jc w:val="left"/>
              <w:rPr/>
            </w:pPr>
            <w:r>
              <w:rPr/>
              <w:t> </w:t>
            </w:r>
          </w:p>
        </w:tc>
      </w:tr>
      <w:tr>
        <w:trPr/>
        <w:tc>
          <w:tcPr>
            <w:tcW w:w="815" w:type="dxa"/>
            <w:tcBorders/>
            <w:shd w:fill="auto" w:val="clear"/>
            <w:tcMar>
              <w:top w:w="0" w:type="dxa"/>
              <w:left w:w="0" w:type="dxa"/>
              <w:bottom w:w="0" w:type="dxa"/>
              <w:right w:w="0" w:type="dxa"/>
            </w:tcMar>
            <w:vAlign w:val="center"/>
          </w:tcPr>
          <w:p>
            <w:pPr>
              <w:pStyle w:val="TableContents"/>
              <w:spacing w:lineRule="auto" w:line="252" w:before="0" w:after="0"/>
              <w:ind w:left="0" w:right="0" w:firstLine="128"/>
              <w:jc w:val="left"/>
              <w:rPr/>
            </w:pPr>
            <w:r>
              <w:rPr/>
              <w:t>  </w:t>
            </w:r>
            <w:r>
              <w:rPr>
                <w:rFonts w:ascii="Times New Roman" w:hAnsi="Times New Roman"/>
                <w:b w:val="false"/>
                <w:sz w:val="20"/>
              </w:rPr>
              <w:t>31.2</w:t>
            </w:r>
          </w:p>
        </w:tc>
        <w:tc>
          <w:tcPr>
            <w:tcW w:w="6206" w:type="dxa"/>
            <w:tcBorders/>
            <w:shd w:fill="auto" w:val="clear"/>
            <w:vAlign w:val="center"/>
          </w:tcPr>
          <w:p>
            <w:pPr>
              <w:pStyle w:val="TableContents"/>
              <w:spacing w:lineRule="auto" w:line="252" w:before="0" w:after="0"/>
              <w:ind w:left="128" w:right="0" w:hanging="0"/>
              <w:jc w:val="left"/>
              <w:rPr/>
            </w:pPr>
            <w:hyperlink w:anchor="dawn-ex31_2.htm">
              <w:r>
                <w:rPr>
                  <w:rStyle w:val="InternetLink"/>
                  <w:rFonts w:ascii="Times New Roman" w:hAnsi="Times New Roman"/>
                  <w:b w:val="false"/>
                  <w:sz w:val="20"/>
                  <w:u w:val="single"/>
                </w:rPr>
                <w:t>Certification of Principal Financial Officer Pursuant to Rules 13a-14(a) and 15d-14(a) under the Securities Exchange Act of 1934, as Adopted Pursuant to Section 302 of the Sarbanes-Oxley Act of 2002.</w:t>
              </w:r>
            </w:hyperlink>
          </w:p>
        </w:tc>
        <w:tc>
          <w:tcPr>
            <w:tcW w:w="525" w:type="dxa"/>
            <w:tcBorders/>
            <w:shd w:fill="auto" w:val="clear"/>
            <w:tcMar>
              <w:top w:w="0" w:type="dxa"/>
              <w:left w:w="0" w:type="dxa"/>
              <w:bottom w:w="0" w:type="dxa"/>
              <w:right w:w="0" w:type="dxa"/>
            </w:tcMar>
            <w:vAlign w:val="center"/>
          </w:tcPr>
          <w:p>
            <w:pPr>
              <w:pStyle w:val="TableContents"/>
              <w:spacing w:lineRule="atLeast" w:line="141" w:before="0" w:after="0"/>
              <w:ind w:left="0" w:right="0" w:hanging="0"/>
              <w:jc w:val="left"/>
              <w:rPr/>
            </w:pPr>
            <w:r>
              <w:rPr/>
              <w:t> </w:t>
            </w:r>
          </w:p>
        </w:tc>
        <w:tc>
          <w:tcPr>
            <w:tcW w:w="486" w:type="dxa"/>
            <w:tcBorders/>
            <w:shd w:fill="auto" w:val="clear"/>
            <w:tcMar>
              <w:top w:w="0" w:type="dxa"/>
              <w:left w:w="0" w:type="dxa"/>
              <w:bottom w:w="0" w:type="dxa"/>
              <w:right w:w="0" w:type="dxa"/>
            </w:tcMar>
            <w:vAlign w:val="center"/>
          </w:tcPr>
          <w:p>
            <w:pPr>
              <w:pStyle w:val="TableContents"/>
              <w:spacing w:lineRule="atLeast" w:line="141" w:before="0" w:after="0"/>
              <w:ind w:left="0" w:right="0" w:hanging="0"/>
              <w:jc w:val="left"/>
              <w:rPr/>
            </w:pPr>
            <w:r>
              <w:rPr/>
              <w:t> </w:t>
            </w:r>
          </w:p>
        </w:tc>
        <w:tc>
          <w:tcPr>
            <w:tcW w:w="526" w:type="dxa"/>
            <w:tcBorders/>
            <w:shd w:fill="auto" w:val="clear"/>
            <w:tcMar>
              <w:top w:w="0" w:type="dxa"/>
              <w:left w:w="0" w:type="dxa"/>
              <w:bottom w:w="0" w:type="dxa"/>
              <w:right w:w="0" w:type="dxa"/>
            </w:tcMar>
            <w:vAlign w:val="center"/>
          </w:tcPr>
          <w:p>
            <w:pPr>
              <w:pStyle w:val="TableContents"/>
              <w:spacing w:lineRule="atLeast" w:line="141" w:before="0" w:after="0"/>
              <w:ind w:left="0" w:right="0" w:hanging="0"/>
              <w:jc w:val="left"/>
              <w:rPr/>
            </w:pPr>
            <w:r>
              <w:rPr/>
              <w:t> </w:t>
            </w:r>
          </w:p>
        </w:tc>
        <w:tc>
          <w:tcPr>
            <w:tcW w:w="645" w:type="dxa"/>
            <w:tcBorders/>
            <w:shd w:fill="auto" w:val="clear"/>
            <w:tcMar>
              <w:top w:w="0" w:type="dxa"/>
              <w:left w:w="0" w:type="dxa"/>
              <w:bottom w:w="0" w:type="dxa"/>
              <w:right w:w="0" w:type="dxa"/>
            </w:tcMar>
            <w:vAlign w:val="center"/>
          </w:tcPr>
          <w:p>
            <w:pPr>
              <w:pStyle w:val="TableContents"/>
              <w:spacing w:lineRule="atLeast" w:line="141" w:before="0" w:after="0"/>
              <w:ind w:left="0" w:right="0" w:hanging="0"/>
              <w:jc w:val="left"/>
              <w:rPr/>
            </w:pPr>
            <w:r>
              <w:rPr/>
              <w:t> </w:t>
            </w:r>
          </w:p>
        </w:tc>
        <w:tc>
          <w:tcPr>
            <w:tcW w:w="1002" w:type="dxa"/>
            <w:tcBorders/>
            <w:shd w:fill="auto" w:val="clear"/>
            <w:tcMar>
              <w:top w:w="0" w:type="dxa"/>
              <w:left w:w="0" w:type="dxa"/>
              <w:bottom w:w="0" w:type="dxa"/>
              <w:right w:w="0" w:type="dxa"/>
            </w:tcMar>
            <w:vAlign w:val="center"/>
          </w:tcPr>
          <w:p>
            <w:pPr>
              <w:pStyle w:val="TableContents"/>
              <w:spacing w:lineRule="auto" w:line="252" w:before="0" w:after="20"/>
              <w:ind w:left="0" w:right="0" w:hanging="0"/>
              <w:jc w:val="left"/>
              <w:rPr/>
            </w:pPr>
            <w:r>
              <w:rPr/>
              <w:t> </w:t>
            </w:r>
            <w:r>
              <w:rPr>
                <w:rFonts w:ascii="Times New Roman" w:hAnsi="Times New Roman"/>
                <w:b w:val="false"/>
                <w:sz w:val="20"/>
              </w:rPr>
              <w:t>X</w:t>
            </w:r>
          </w:p>
        </w:tc>
      </w:tr>
      <w:tr>
        <w:trPr/>
        <w:tc>
          <w:tcPr>
            <w:tcW w:w="815" w:type="dxa"/>
            <w:tcBorders/>
            <w:shd w:fill="auto" w:val="clear"/>
            <w:vAlign w:val="center"/>
          </w:tcPr>
          <w:p>
            <w:pPr>
              <w:pStyle w:val="TableContents"/>
              <w:spacing w:lineRule="auto" w:line="252" w:before="0" w:after="0"/>
              <w:ind w:left="0" w:right="0" w:firstLine="128"/>
              <w:jc w:val="left"/>
              <w:rPr/>
            </w:pPr>
            <w:r>
              <w:rPr/>
              <w:t> </w:t>
            </w:r>
          </w:p>
        </w:tc>
        <w:tc>
          <w:tcPr>
            <w:tcW w:w="6206" w:type="dxa"/>
            <w:tcBorders/>
            <w:shd w:fill="auto" w:val="clear"/>
            <w:vAlign w:val="center"/>
          </w:tcPr>
          <w:p>
            <w:pPr>
              <w:pStyle w:val="TableContents"/>
              <w:spacing w:lineRule="auto" w:line="252" w:before="0" w:after="0"/>
              <w:ind w:left="128" w:right="0" w:hanging="0"/>
              <w:jc w:val="left"/>
              <w:rPr/>
            </w:pPr>
            <w:r>
              <w:rPr/>
              <w:t> </w:t>
            </w:r>
          </w:p>
        </w:tc>
        <w:tc>
          <w:tcPr>
            <w:tcW w:w="525" w:type="dxa"/>
            <w:tcBorders/>
            <w:shd w:fill="auto" w:val="clear"/>
            <w:vAlign w:val="center"/>
          </w:tcPr>
          <w:p>
            <w:pPr>
              <w:pStyle w:val="TableContents"/>
              <w:spacing w:lineRule="auto" w:line="252" w:before="0" w:after="0"/>
              <w:ind w:left="0" w:right="0" w:hanging="0"/>
              <w:jc w:val="left"/>
              <w:rPr/>
            </w:pPr>
            <w:r>
              <w:rPr/>
              <w:t> </w:t>
            </w:r>
          </w:p>
        </w:tc>
        <w:tc>
          <w:tcPr>
            <w:tcW w:w="486" w:type="dxa"/>
            <w:tcBorders/>
            <w:shd w:fill="auto" w:val="clear"/>
            <w:vAlign w:val="center"/>
          </w:tcPr>
          <w:p>
            <w:pPr>
              <w:pStyle w:val="TableContents"/>
              <w:spacing w:lineRule="auto" w:line="252" w:before="0" w:after="0"/>
              <w:ind w:left="0" w:right="0" w:hanging="0"/>
              <w:jc w:val="left"/>
              <w:rPr/>
            </w:pPr>
            <w:r>
              <w:rPr/>
              <w:t> </w:t>
            </w:r>
          </w:p>
        </w:tc>
        <w:tc>
          <w:tcPr>
            <w:tcW w:w="526" w:type="dxa"/>
            <w:tcBorders/>
            <w:shd w:fill="auto" w:val="clear"/>
            <w:vAlign w:val="center"/>
          </w:tcPr>
          <w:p>
            <w:pPr>
              <w:pStyle w:val="TableContents"/>
              <w:spacing w:lineRule="auto" w:line="252" w:before="0" w:after="0"/>
              <w:ind w:left="0" w:right="0" w:hanging="0"/>
              <w:jc w:val="left"/>
              <w:rPr/>
            </w:pPr>
            <w:r>
              <w:rPr/>
              <w:t> </w:t>
            </w:r>
          </w:p>
        </w:tc>
        <w:tc>
          <w:tcPr>
            <w:tcW w:w="645" w:type="dxa"/>
            <w:tcBorders/>
            <w:shd w:fill="auto" w:val="clear"/>
            <w:vAlign w:val="center"/>
          </w:tcPr>
          <w:p>
            <w:pPr>
              <w:pStyle w:val="TableContents"/>
              <w:spacing w:lineRule="auto" w:line="252" w:before="0" w:after="0"/>
              <w:ind w:left="0" w:right="0" w:hanging="0"/>
              <w:jc w:val="left"/>
              <w:rPr/>
            </w:pPr>
            <w:r>
              <w:rPr/>
              <w:t> </w:t>
            </w:r>
          </w:p>
        </w:tc>
        <w:tc>
          <w:tcPr>
            <w:tcW w:w="1002" w:type="dxa"/>
            <w:tcBorders/>
            <w:shd w:fill="auto" w:val="clear"/>
            <w:vAlign w:val="center"/>
          </w:tcPr>
          <w:p>
            <w:pPr>
              <w:pStyle w:val="TableContents"/>
              <w:spacing w:lineRule="auto" w:line="252" w:before="0" w:after="0"/>
              <w:ind w:left="0" w:right="0" w:hanging="0"/>
              <w:jc w:val="left"/>
              <w:rPr/>
            </w:pPr>
            <w:r>
              <w:rPr/>
              <w:t> </w:t>
            </w:r>
          </w:p>
        </w:tc>
      </w:tr>
      <w:tr>
        <w:trPr/>
        <w:tc>
          <w:tcPr>
            <w:tcW w:w="815" w:type="dxa"/>
            <w:tcBorders/>
            <w:shd w:fill="auto" w:val="clear"/>
            <w:tcMar>
              <w:top w:w="0" w:type="dxa"/>
              <w:left w:w="0" w:type="dxa"/>
              <w:bottom w:w="0" w:type="dxa"/>
              <w:right w:w="0" w:type="dxa"/>
            </w:tcMar>
            <w:vAlign w:val="center"/>
          </w:tcPr>
          <w:p>
            <w:pPr>
              <w:pStyle w:val="TableContents"/>
              <w:spacing w:lineRule="auto" w:line="252" w:before="0" w:after="0"/>
              <w:ind w:left="0" w:right="0" w:firstLine="128"/>
              <w:jc w:val="left"/>
              <w:rPr/>
            </w:pPr>
            <w:r>
              <w:rPr/>
              <w:t>  </w:t>
            </w:r>
            <w:r>
              <w:rPr>
                <w:rFonts w:ascii="Times New Roman" w:hAnsi="Times New Roman"/>
                <w:b w:val="false"/>
                <w:sz w:val="20"/>
              </w:rPr>
              <w:t>32.1*</w:t>
            </w:r>
          </w:p>
        </w:tc>
        <w:tc>
          <w:tcPr>
            <w:tcW w:w="6206" w:type="dxa"/>
            <w:tcBorders/>
            <w:shd w:fill="auto" w:val="clear"/>
            <w:vAlign w:val="center"/>
          </w:tcPr>
          <w:p>
            <w:pPr>
              <w:pStyle w:val="TableContents"/>
              <w:spacing w:lineRule="auto" w:line="252" w:before="0" w:after="0"/>
              <w:ind w:left="128" w:right="0" w:hanging="0"/>
              <w:jc w:val="left"/>
              <w:rPr/>
            </w:pPr>
            <w:hyperlink w:anchor="dawn-ex32_1.htm">
              <w:r>
                <w:rPr>
                  <w:rStyle w:val="InternetLink"/>
                  <w:rFonts w:ascii="Times New Roman" w:hAnsi="Times New Roman"/>
                  <w:b w:val="false"/>
                  <w:sz w:val="20"/>
                  <w:u w:val="single"/>
                </w:rPr>
                <w:t>Certification of Principal Executive Officer Pursuant to 18 U.S.C. Section 1350, as Adopted Pursuant to Section 906 of the Sarbanes-Oxley Act of 2002.</w:t>
              </w:r>
            </w:hyperlink>
            <w:hyperlink w:anchor="dawn-ex32_1.htm">
              <w:r>
                <w:rPr>
                  <w:rStyle w:val="InternetLink"/>
                  <w:rFonts w:ascii="Times New Roman" w:hAnsi="Times New Roman"/>
                  <w:sz w:val="20"/>
                </w:rPr>
                <w:t xml:space="preserve"> </w:t>
              </w:r>
            </w:hyperlink>
          </w:p>
        </w:tc>
        <w:tc>
          <w:tcPr>
            <w:tcW w:w="525" w:type="dxa"/>
            <w:tcBorders/>
            <w:shd w:fill="auto" w:val="clear"/>
            <w:tcMar>
              <w:top w:w="0" w:type="dxa"/>
              <w:left w:w="0" w:type="dxa"/>
              <w:bottom w:w="0" w:type="dxa"/>
              <w:right w:w="0" w:type="dxa"/>
            </w:tcMar>
            <w:vAlign w:val="center"/>
          </w:tcPr>
          <w:p>
            <w:pPr>
              <w:pStyle w:val="TableContents"/>
              <w:spacing w:lineRule="atLeast" w:line="141" w:before="0" w:after="0"/>
              <w:ind w:left="0" w:right="0" w:hanging="0"/>
              <w:jc w:val="left"/>
              <w:rPr/>
            </w:pPr>
            <w:r>
              <w:rPr/>
              <w:t> </w:t>
            </w:r>
          </w:p>
        </w:tc>
        <w:tc>
          <w:tcPr>
            <w:tcW w:w="486" w:type="dxa"/>
            <w:tcBorders/>
            <w:shd w:fill="auto" w:val="clear"/>
            <w:tcMar>
              <w:top w:w="0" w:type="dxa"/>
              <w:left w:w="0" w:type="dxa"/>
              <w:bottom w:w="0" w:type="dxa"/>
              <w:right w:w="0" w:type="dxa"/>
            </w:tcMar>
            <w:vAlign w:val="center"/>
          </w:tcPr>
          <w:p>
            <w:pPr>
              <w:pStyle w:val="TableContents"/>
              <w:spacing w:lineRule="atLeast" w:line="141" w:before="0" w:after="0"/>
              <w:ind w:left="0" w:right="0" w:hanging="0"/>
              <w:jc w:val="left"/>
              <w:rPr/>
            </w:pPr>
            <w:r>
              <w:rPr/>
              <w:t> </w:t>
            </w:r>
          </w:p>
        </w:tc>
        <w:tc>
          <w:tcPr>
            <w:tcW w:w="526" w:type="dxa"/>
            <w:tcBorders/>
            <w:shd w:fill="auto" w:val="clear"/>
            <w:tcMar>
              <w:top w:w="0" w:type="dxa"/>
              <w:left w:w="0" w:type="dxa"/>
              <w:bottom w:w="0" w:type="dxa"/>
              <w:right w:w="0" w:type="dxa"/>
            </w:tcMar>
            <w:vAlign w:val="center"/>
          </w:tcPr>
          <w:p>
            <w:pPr>
              <w:pStyle w:val="TableContents"/>
              <w:spacing w:lineRule="atLeast" w:line="141" w:before="0" w:after="0"/>
              <w:ind w:left="0" w:right="0" w:hanging="0"/>
              <w:jc w:val="left"/>
              <w:rPr/>
            </w:pPr>
            <w:r>
              <w:rPr/>
              <w:t> </w:t>
            </w:r>
          </w:p>
        </w:tc>
        <w:tc>
          <w:tcPr>
            <w:tcW w:w="645" w:type="dxa"/>
            <w:tcBorders/>
            <w:shd w:fill="auto" w:val="clear"/>
            <w:tcMar>
              <w:top w:w="0" w:type="dxa"/>
              <w:left w:w="0" w:type="dxa"/>
              <w:bottom w:w="0" w:type="dxa"/>
              <w:right w:w="0" w:type="dxa"/>
            </w:tcMar>
            <w:vAlign w:val="center"/>
          </w:tcPr>
          <w:p>
            <w:pPr>
              <w:pStyle w:val="TableContents"/>
              <w:spacing w:lineRule="atLeast" w:line="141" w:before="0" w:after="0"/>
              <w:ind w:left="0" w:right="0" w:hanging="0"/>
              <w:jc w:val="left"/>
              <w:rPr/>
            </w:pPr>
            <w:r>
              <w:rPr/>
              <w:t> </w:t>
            </w:r>
          </w:p>
        </w:tc>
        <w:tc>
          <w:tcPr>
            <w:tcW w:w="1002" w:type="dxa"/>
            <w:tcBorders/>
            <w:shd w:fill="auto" w:val="clear"/>
            <w:tcMar>
              <w:top w:w="0" w:type="dxa"/>
              <w:left w:w="0" w:type="dxa"/>
              <w:bottom w:w="0" w:type="dxa"/>
              <w:right w:w="0" w:type="dxa"/>
            </w:tcMar>
            <w:vAlign w:val="center"/>
          </w:tcPr>
          <w:p>
            <w:pPr>
              <w:pStyle w:val="TableContents"/>
              <w:spacing w:lineRule="auto" w:line="252" w:before="0" w:after="20"/>
              <w:ind w:left="0" w:right="0" w:hanging="0"/>
              <w:jc w:val="left"/>
              <w:rPr/>
            </w:pPr>
            <w:r>
              <w:rPr/>
              <w:t> </w:t>
            </w:r>
            <w:r>
              <w:rPr>
                <w:rFonts w:ascii="Times New Roman" w:hAnsi="Times New Roman"/>
                <w:b w:val="false"/>
                <w:sz w:val="20"/>
              </w:rPr>
              <w:t>X</w:t>
            </w:r>
          </w:p>
        </w:tc>
      </w:tr>
      <w:tr>
        <w:trPr/>
        <w:tc>
          <w:tcPr>
            <w:tcW w:w="815" w:type="dxa"/>
            <w:tcBorders/>
            <w:shd w:fill="auto" w:val="clear"/>
            <w:vAlign w:val="center"/>
          </w:tcPr>
          <w:p>
            <w:pPr>
              <w:pStyle w:val="TableContents"/>
              <w:spacing w:lineRule="auto" w:line="252" w:before="0" w:after="0"/>
              <w:ind w:left="0" w:right="0" w:firstLine="128"/>
              <w:jc w:val="left"/>
              <w:rPr/>
            </w:pPr>
            <w:r>
              <w:rPr/>
              <w:t> </w:t>
            </w:r>
          </w:p>
        </w:tc>
        <w:tc>
          <w:tcPr>
            <w:tcW w:w="6206" w:type="dxa"/>
            <w:tcBorders/>
            <w:shd w:fill="auto" w:val="clear"/>
            <w:vAlign w:val="center"/>
          </w:tcPr>
          <w:p>
            <w:pPr>
              <w:pStyle w:val="TableContents"/>
              <w:spacing w:lineRule="auto" w:line="252" w:before="0" w:after="0"/>
              <w:ind w:left="128" w:right="0" w:hanging="0"/>
              <w:jc w:val="left"/>
              <w:rPr/>
            </w:pPr>
            <w:r>
              <w:rPr/>
              <w:t> </w:t>
            </w:r>
          </w:p>
        </w:tc>
        <w:tc>
          <w:tcPr>
            <w:tcW w:w="525" w:type="dxa"/>
            <w:tcBorders/>
            <w:shd w:fill="auto" w:val="clear"/>
            <w:vAlign w:val="center"/>
          </w:tcPr>
          <w:p>
            <w:pPr>
              <w:pStyle w:val="TableContents"/>
              <w:spacing w:lineRule="auto" w:line="252" w:before="0" w:after="0"/>
              <w:ind w:left="0" w:right="0" w:hanging="0"/>
              <w:jc w:val="left"/>
              <w:rPr/>
            </w:pPr>
            <w:r>
              <w:rPr/>
              <w:t> </w:t>
            </w:r>
          </w:p>
        </w:tc>
        <w:tc>
          <w:tcPr>
            <w:tcW w:w="486" w:type="dxa"/>
            <w:tcBorders/>
            <w:shd w:fill="auto" w:val="clear"/>
            <w:vAlign w:val="center"/>
          </w:tcPr>
          <w:p>
            <w:pPr>
              <w:pStyle w:val="TableContents"/>
              <w:spacing w:lineRule="auto" w:line="252" w:before="0" w:after="0"/>
              <w:ind w:left="0" w:right="0" w:hanging="0"/>
              <w:jc w:val="left"/>
              <w:rPr/>
            </w:pPr>
            <w:r>
              <w:rPr/>
              <w:t> </w:t>
            </w:r>
          </w:p>
        </w:tc>
        <w:tc>
          <w:tcPr>
            <w:tcW w:w="526" w:type="dxa"/>
            <w:tcBorders/>
            <w:shd w:fill="auto" w:val="clear"/>
            <w:vAlign w:val="center"/>
          </w:tcPr>
          <w:p>
            <w:pPr>
              <w:pStyle w:val="TableContents"/>
              <w:spacing w:lineRule="auto" w:line="252" w:before="0" w:after="0"/>
              <w:ind w:left="0" w:right="0" w:hanging="0"/>
              <w:jc w:val="left"/>
              <w:rPr/>
            </w:pPr>
            <w:r>
              <w:rPr/>
              <w:t> </w:t>
            </w:r>
          </w:p>
        </w:tc>
        <w:tc>
          <w:tcPr>
            <w:tcW w:w="645" w:type="dxa"/>
            <w:tcBorders/>
            <w:shd w:fill="auto" w:val="clear"/>
            <w:vAlign w:val="center"/>
          </w:tcPr>
          <w:p>
            <w:pPr>
              <w:pStyle w:val="TableContents"/>
              <w:spacing w:lineRule="auto" w:line="252" w:before="0" w:after="0"/>
              <w:ind w:left="0" w:right="0" w:hanging="0"/>
              <w:jc w:val="left"/>
              <w:rPr/>
            </w:pPr>
            <w:r>
              <w:rPr/>
              <w:t> </w:t>
            </w:r>
          </w:p>
        </w:tc>
        <w:tc>
          <w:tcPr>
            <w:tcW w:w="1002" w:type="dxa"/>
            <w:tcBorders/>
            <w:shd w:fill="auto" w:val="clear"/>
            <w:vAlign w:val="center"/>
          </w:tcPr>
          <w:p>
            <w:pPr>
              <w:pStyle w:val="TableContents"/>
              <w:spacing w:lineRule="auto" w:line="252" w:before="0" w:after="0"/>
              <w:ind w:left="0" w:right="0" w:hanging="0"/>
              <w:jc w:val="left"/>
              <w:rPr/>
            </w:pPr>
            <w:r>
              <w:rPr/>
              <w:t> </w:t>
            </w:r>
          </w:p>
        </w:tc>
      </w:tr>
      <w:tr>
        <w:trPr/>
        <w:tc>
          <w:tcPr>
            <w:tcW w:w="815" w:type="dxa"/>
            <w:tcBorders/>
            <w:shd w:fill="auto" w:val="clear"/>
            <w:tcMar>
              <w:top w:w="0" w:type="dxa"/>
              <w:left w:w="0" w:type="dxa"/>
              <w:bottom w:w="0" w:type="dxa"/>
              <w:right w:w="0" w:type="dxa"/>
            </w:tcMar>
            <w:vAlign w:val="center"/>
          </w:tcPr>
          <w:p>
            <w:pPr>
              <w:pStyle w:val="TableContents"/>
              <w:spacing w:lineRule="auto" w:line="252" w:before="0" w:after="0"/>
              <w:ind w:left="0" w:right="0" w:firstLine="128"/>
              <w:jc w:val="left"/>
              <w:rPr/>
            </w:pPr>
            <w:r>
              <w:rPr/>
              <w:t>  </w:t>
            </w:r>
            <w:r>
              <w:rPr>
                <w:rFonts w:ascii="Times New Roman" w:hAnsi="Times New Roman"/>
                <w:b w:val="false"/>
                <w:sz w:val="20"/>
              </w:rPr>
              <w:t>32.2*</w:t>
            </w:r>
          </w:p>
        </w:tc>
        <w:tc>
          <w:tcPr>
            <w:tcW w:w="6206" w:type="dxa"/>
            <w:tcBorders/>
            <w:shd w:fill="auto" w:val="clear"/>
            <w:vAlign w:val="center"/>
          </w:tcPr>
          <w:p>
            <w:pPr>
              <w:pStyle w:val="TableContents"/>
              <w:spacing w:lineRule="auto" w:line="252" w:before="0" w:after="0"/>
              <w:ind w:left="128" w:right="0" w:hanging="0"/>
              <w:jc w:val="left"/>
              <w:rPr/>
            </w:pPr>
            <w:hyperlink w:anchor="dawn-ex32_2.htm">
              <w:r>
                <w:rPr>
                  <w:rStyle w:val="InternetLink"/>
                  <w:rFonts w:ascii="Times New Roman" w:hAnsi="Times New Roman"/>
                  <w:b w:val="false"/>
                  <w:sz w:val="20"/>
                  <w:u w:val="single"/>
                </w:rPr>
                <w:t>Certification of Principal Financial Officer Pursuant to 18 U.S.C. Section 1350, as Adopted Pursuant to Section 906 of the Sarbanes-Oxley Act of 2002.</w:t>
              </w:r>
            </w:hyperlink>
          </w:p>
        </w:tc>
        <w:tc>
          <w:tcPr>
            <w:tcW w:w="525" w:type="dxa"/>
            <w:tcBorders/>
            <w:shd w:fill="auto" w:val="clear"/>
            <w:tcMar>
              <w:top w:w="0" w:type="dxa"/>
              <w:left w:w="0" w:type="dxa"/>
              <w:bottom w:w="0" w:type="dxa"/>
              <w:right w:w="0" w:type="dxa"/>
            </w:tcMar>
            <w:vAlign w:val="center"/>
          </w:tcPr>
          <w:p>
            <w:pPr>
              <w:pStyle w:val="TableContents"/>
              <w:spacing w:lineRule="atLeast" w:line="141" w:before="0" w:after="0"/>
              <w:ind w:left="0" w:right="0" w:hanging="0"/>
              <w:jc w:val="left"/>
              <w:rPr/>
            </w:pPr>
            <w:r>
              <w:rPr/>
              <w:t> </w:t>
            </w:r>
          </w:p>
        </w:tc>
        <w:tc>
          <w:tcPr>
            <w:tcW w:w="486" w:type="dxa"/>
            <w:tcBorders/>
            <w:shd w:fill="auto" w:val="clear"/>
            <w:tcMar>
              <w:top w:w="0" w:type="dxa"/>
              <w:left w:w="0" w:type="dxa"/>
              <w:bottom w:w="0" w:type="dxa"/>
              <w:right w:w="0" w:type="dxa"/>
            </w:tcMar>
            <w:vAlign w:val="center"/>
          </w:tcPr>
          <w:p>
            <w:pPr>
              <w:pStyle w:val="TableContents"/>
              <w:spacing w:lineRule="atLeast" w:line="141" w:before="0" w:after="0"/>
              <w:ind w:left="0" w:right="0" w:hanging="0"/>
              <w:jc w:val="left"/>
              <w:rPr/>
            </w:pPr>
            <w:r>
              <w:rPr/>
              <w:t> </w:t>
            </w:r>
          </w:p>
        </w:tc>
        <w:tc>
          <w:tcPr>
            <w:tcW w:w="526" w:type="dxa"/>
            <w:tcBorders/>
            <w:shd w:fill="auto" w:val="clear"/>
            <w:tcMar>
              <w:top w:w="0" w:type="dxa"/>
              <w:left w:w="0" w:type="dxa"/>
              <w:bottom w:w="0" w:type="dxa"/>
              <w:right w:w="0" w:type="dxa"/>
            </w:tcMar>
            <w:vAlign w:val="center"/>
          </w:tcPr>
          <w:p>
            <w:pPr>
              <w:pStyle w:val="TableContents"/>
              <w:spacing w:lineRule="atLeast" w:line="141" w:before="0" w:after="0"/>
              <w:ind w:left="0" w:right="0" w:hanging="0"/>
              <w:jc w:val="left"/>
              <w:rPr/>
            </w:pPr>
            <w:r>
              <w:rPr/>
              <w:t> </w:t>
            </w:r>
          </w:p>
        </w:tc>
        <w:tc>
          <w:tcPr>
            <w:tcW w:w="645" w:type="dxa"/>
            <w:tcBorders/>
            <w:shd w:fill="auto" w:val="clear"/>
            <w:tcMar>
              <w:top w:w="0" w:type="dxa"/>
              <w:left w:w="0" w:type="dxa"/>
              <w:bottom w:w="0" w:type="dxa"/>
              <w:right w:w="0" w:type="dxa"/>
            </w:tcMar>
            <w:vAlign w:val="center"/>
          </w:tcPr>
          <w:p>
            <w:pPr>
              <w:pStyle w:val="TableContents"/>
              <w:spacing w:lineRule="atLeast" w:line="141" w:before="0" w:after="0"/>
              <w:ind w:left="0" w:right="0" w:hanging="0"/>
              <w:jc w:val="left"/>
              <w:rPr/>
            </w:pPr>
            <w:r>
              <w:rPr/>
              <w:t> </w:t>
            </w:r>
          </w:p>
        </w:tc>
        <w:tc>
          <w:tcPr>
            <w:tcW w:w="1002" w:type="dxa"/>
            <w:tcBorders/>
            <w:shd w:fill="auto" w:val="clear"/>
            <w:tcMar>
              <w:top w:w="0" w:type="dxa"/>
              <w:left w:w="0" w:type="dxa"/>
              <w:bottom w:w="0" w:type="dxa"/>
              <w:right w:w="0" w:type="dxa"/>
            </w:tcMar>
            <w:vAlign w:val="center"/>
          </w:tcPr>
          <w:p>
            <w:pPr>
              <w:pStyle w:val="TableContents"/>
              <w:spacing w:lineRule="auto" w:line="252" w:before="0" w:after="20"/>
              <w:ind w:left="0" w:right="0" w:hanging="0"/>
              <w:jc w:val="left"/>
              <w:rPr/>
            </w:pPr>
            <w:r>
              <w:rPr/>
              <w:t> </w:t>
            </w:r>
            <w:r>
              <w:rPr>
                <w:rFonts w:ascii="Times New Roman" w:hAnsi="Times New Roman"/>
                <w:b w:val="false"/>
                <w:sz w:val="20"/>
              </w:rPr>
              <w:t>X</w:t>
            </w:r>
          </w:p>
        </w:tc>
      </w:tr>
      <w:tr>
        <w:trPr/>
        <w:tc>
          <w:tcPr>
            <w:tcW w:w="815" w:type="dxa"/>
            <w:tcBorders/>
            <w:shd w:fill="auto" w:val="clear"/>
            <w:vAlign w:val="center"/>
          </w:tcPr>
          <w:p>
            <w:pPr>
              <w:pStyle w:val="TableContents"/>
              <w:spacing w:lineRule="auto" w:line="252" w:before="0" w:after="0"/>
              <w:ind w:left="0" w:right="0" w:firstLine="128"/>
              <w:jc w:val="left"/>
              <w:rPr/>
            </w:pPr>
            <w:r>
              <w:rPr/>
              <w:t> </w:t>
            </w:r>
          </w:p>
        </w:tc>
        <w:tc>
          <w:tcPr>
            <w:tcW w:w="6206" w:type="dxa"/>
            <w:tcBorders/>
            <w:shd w:fill="auto" w:val="clear"/>
            <w:vAlign w:val="center"/>
          </w:tcPr>
          <w:p>
            <w:pPr>
              <w:pStyle w:val="TableContents"/>
              <w:spacing w:lineRule="auto" w:line="252" w:before="0" w:after="0"/>
              <w:ind w:left="128" w:right="0" w:hanging="0"/>
              <w:jc w:val="left"/>
              <w:rPr/>
            </w:pPr>
            <w:r>
              <w:rPr/>
              <w:t> </w:t>
            </w:r>
          </w:p>
        </w:tc>
        <w:tc>
          <w:tcPr>
            <w:tcW w:w="525" w:type="dxa"/>
            <w:tcBorders/>
            <w:shd w:fill="auto" w:val="clear"/>
            <w:vAlign w:val="center"/>
          </w:tcPr>
          <w:p>
            <w:pPr>
              <w:pStyle w:val="TableContents"/>
              <w:spacing w:lineRule="auto" w:line="252" w:before="0" w:after="0"/>
              <w:ind w:left="0" w:right="0" w:hanging="0"/>
              <w:jc w:val="left"/>
              <w:rPr/>
            </w:pPr>
            <w:r>
              <w:rPr/>
              <w:t> </w:t>
            </w:r>
          </w:p>
        </w:tc>
        <w:tc>
          <w:tcPr>
            <w:tcW w:w="486" w:type="dxa"/>
            <w:tcBorders/>
            <w:shd w:fill="auto" w:val="clear"/>
            <w:vAlign w:val="center"/>
          </w:tcPr>
          <w:p>
            <w:pPr>
              <w:pStyle w:val="TableContents"/>
              <w:spacing w:lineRule="auto" w:line="252" w:before="0" w:after="0"/>
              <w:ind w:left="0" w:right="0" w:hanging="0"/>
              <w:jc w:val="left"/>
              <w:rPr/>
            </w:pPr>
            <w:r>
              <w:rPr/>
              <w:t> </w:t>
            </w:r>
          </w:p>
        </w:tc>
        <w:tc>
          <w:tcPr>
            <w:tcW w:w="526" w:type="dxa"/>
            <w:tcBorders/>
            <w:shd w:fill="auto" w:val="clear"/>
            <w:vAlign w:val="center"/>
          </w:tcPr>
          <w:p>
            <w:pPr>
              <w:pStyle w:val="TableContents"/>
              <w:spacing w:lineRule="auto" w:line="252" w:before="0" w:after="0"/>
              <w:ind w:left="0" w:right="0" w:hanging="0"/>
              <w:jc w:val="left"/>
              <w:rPr/>
            </w:pPr>
            <w:r>
              <w:rPr/>
              <w:t> </w:t>
            </w:r>
          </w:p>
        </w:tc>
        <w:tc>
          <w:tcPr>
            <w:tcW w:w="645" w:type="dxa"/>
            <w:tcBorders/>
            <w:shd w:fill="auto" w:val="clear"/>
            <w:vAlign w:val="center"/>
          </w:tcPr>
          <w:p>
            <w:pPr>
              <w:pStyle w:val="TableContents"/>
              <w:spacing w:lineRule="auto" w:line="252" w:before="0" w:after="0"/>
              <w:ind w:left="0" w:right="0" w:hanging="0"/>
              <w:jc w:val="left"/>
              <w:rPr/>
            </w:pPr>
            <w:r>
              <w:rPr/>
              <w:t> </w:t>
            </w:r>
          </w:p>
        </w:tc>
        <w:tc>
          <w:tcPr>
            <w:tcW w:w="1002" w:type="dxa"/>
            <w:tcBorders/>
            <w:shd w:fill="auto" w:val="clear"/>
            <w:vAlign w:val="center"/>
          </w:tcPr>
          <w:p>
            <w:pPr>
              <w:pStyle w:val="TableContents"/>
              <w:spacing w:lineRule="auto" w:line="252" w:before="0" w:after="0"/>
              <w:ind w:left="0" w:right="0" w:hanging="0"/>
              <w:jc w:val="left"/>
              <w:rPr/>
            </w:pPr>
            <w:r>
              <w:rPr/>
              <w:t> </w:t>
            </w:r>
          </w:p>
        </w:tc>
      </w:tr>
      <w:tr>
        <w:trPr/>
        <w:tc>
          <w:tcPr>
            <w:tcW w:w="815" w:type="dxa"/>
            <w:tcBorders/>
            <w:shd w:fill="auto" w:val="clear"/>
            <w:tcMar>
              <w:top w:w="0" w:type="dxa"/>
              <w:left w:w="0" w:type="dxa"/>
              <w:bottom w:w="0" w:type="dxa"/>
              <w:right w:w="0" w:type="dxa"/>
            </w:tcMar>
            <w:vAlign w:val="center"/>
          </w:tcPr>
          <w:p>
            <w:pPr>
              <w:pStyle w:val="TableContents"/>
              <w:spacing w:lineRule="auto" w:line="252" w:before="0" w:after="0"/>
              <w:ind w:left="0" w:right="0" w:firstLine="128"/>
              <w:jc w:val="left"/>
              <w:rPr>
                <w:rFonts w:ascii="Times New Roman" w:hAnsi="Times New Roman"/>
                <w:b w:val="false"/>
                <w:sz w:val="20"/>
              </w:rPr>
            </w:pPr>
            <w:r>
              <w:rPr>
                <w:rFonts w:ascii="Times New Roman" w:hAnsi="Times New Roman"/>
                <w:b w:val="false"/>
                <w:sz w:val="20"/>
              </w:rPr>
              <w:t>101.INS</w:t>
            </w:r>
          </w:p>
        </w:tc>
        <w:tc>
          <w:tcPr>
            <w:tcW w:w="6206" w:type="dxa"/>
            <w:tcBorders/>
            <w:shd w:fill="auto" w:val="clear"/>
            <w:vAlign w:val="center"/>
          </w:tcPr>
          <w:p>
            <w:pPr>
              <w:pStyle w:val="TableContents"/>
              <w:spacing w:lineRule="auto" w:line="252" w:before="0" w:after="0"/>
              <w:ind w:left="128" w:right="0" w:hanging="0"/>
              <w:jc w:val="left"/>
              <w:rPr>
                <w:rFonts w:ascii="Times New Roman" w:hAnsi="Times New Roman"/>
                <w:b w:val="false"/>
                <w:sz w:val="20"/>
              </w:rPr>
            </w:pPr>
            <w:r>
              <w:rPr>
                <w:rFonts w:ascii="Times New Roman" w:hAnsi="Times New Roman"/>
                <w:b w:val="false"/>
                <w:sz w:val="20"/>
              </w:rPr>
              <w:t>Inline XBRL Instance Document (the instance document does not appear in the Interactive Data File because its XBRL tags are embedded within the Inline XBRL document).</w:t>
            </w:r>
          </w:p>
        </w:tc>
        <w:tc>
          <w:tcPr>
            <w:tcW w:w="525" w:type="dxa"/>
            <w:tcBorders/>
            <w:shd w:fill="auto" w:val="clear"/>
            <w:tcMar>
              <w:top w:w="0" w:type="dxa"/>
              <w:left w:w="0" w:type="dxa"/>
              <w:bottom w:w="0" w:type="dxa"/>
              <w:right w:w="0" w:type="dxa"/>
            </w:tcMar>
            <w:vAlign w:val="center"/>
          </w:tcPr>
          <w:p>
            <w:pPr>
              <w:pStyle w:val="TableContents"/>
              <w:spacing w:lineRule="atLeast" w:line="141" w:before="0" w:after="0"/>
              <w:ind w:left="0" w:right="0" w:hanging="0"/>
              <w:jc w:val="left"/>
              <w:rPr/>
            </w:pPr>
            <w:r>
              <w:rPr/>
              <w:t> </w:t>
            </w:r>
          </w:p>
        </w:tc>
        <w:tc>
          <w:tcPr>
            <w:tcW w:w="486" w:type="dxa"/>
            <w:tcBorders/>
            <w:shd w:fill="auto" w:val="clear"/>
            <w:tcMar>
              <w:top w:w="0" w:type="dxa"/>
              <w:left w:w="0" w:type="dxa"/>
              <w:bottom w:w="0" w:type="dxa"/>
              <w:right w:w="0" w:type="dxa"/>
            </w:tcMar>
            <w:vAlign w:val="center"/>
          </w:tcPr>
          <w:p>
            <w:pPr>
              <w:pStyle w:val="TableContents"/>
              <w:spacing w:lineRule="atLeast" w:line="141" w:before="0" w:after="0"/>
              <w:ind w:left="0" w:right="0" w:hanging="0"/>
              <w:jc w:val="left"/>
              <w:rPr/>
            </w:pPr>
            <w:r>
              <w:rPr/>
              <w:t> </w:t>
            </w:r>
          </w:p>
        </w:tc>
        <w:tc>
          <w:tcPr>
            <w:tcW w:w="526" w:type="dxa"/>
            <w:tcBorders/>
            <w:shd w:fill="auto" w:val="clear"/>
            <w:tcMar>
              <w:top w:w="0" w:type="dxa"/>
              <w:left w:w="0" w:type="dxa"/>
              <w:bottom w:w="0" w:type="dxa"/>
              <w:right w:w="0" w:type="dxa"/>
            </w:tcMar>
            <w:vAlign w:val="center"/>
          </w:tcPr>
          <w:p>
            <w:pPr>
              <w:pStyle w:val="TableContents"/>
              <w:spacing w:lineRule="atLeast" w:line="141" w:before="0" w:after="0"/>
              <w:ind w:left="0" w:right="0" w:hanging="0"/>
              <w:jc w:val="left"/>
              <w:rPr/>
            </w:pPr>
            <w:r>
              <w:rPr/>
              <w:t> </w:t>
            </w:r>
          </w:p>
        </w:tc>
        <w:tc>
          <w:tcPr>
            <w:tcW w:w="645" w:type="dxa"/>
            <w:tcBorders/>
            <w:shd w:fill="auto" w:val="clear"/>
            <w:tcMar>
              <w:top w:w="0" w:type="dxa"/>
              <w:left w:w="0" w:type="dxa"/>
              <w:bottom w:w="0" w:type="dxa"/>
              <w:right w:w="0" w:type="dxa"/>
            </w:tcMar>
            <w:vAlign w:val="center"/>
          </w:tcPr>
          <w:p>
            <w:pPr>
              <w:pStyle w:val="TableContents"/>
              <w:spacing w:lineRule="atLeast" w:line="141" w:before="0" w:after="0"/>
              <w:ind w:left="0" w:right="0" w:hanging="0"/>
              <w:jc w:val="left"/>
              <w:rPr/>
            </w:pPr>
            <w:r>
              <w:rPr/>
              <w:t> </w:t>
            </w:r>
          </w:p>
        </w:tc>
        <w:tc>
          <w:tcPr>
            <w:tcW w:w="1002" w:type="dxa"/>
            <w:tcBorders/>
            <w:shd w:fill="auto" w:val="clear"/>
            <w:tcMar>
              <w:top w:w="0" w:type="dxa"/>
              <w:left w:w="0" w:type="dxa"/>
              <w:bottom w:w="0" w:type="dxa"/>
              <w:right w:w="0" w:type="dxa"/>
            </w:tcMar>
            <w:vAlign w:val="center"/>
          </w:tcPr>
          <w:p>
            <w:pPr>
              <w:pStyle w:val="TableContents"/>
              <w:spacing w:lineRule="auto" w:line="252" w:before="0" w:after="20"/>
              <w:ind w:left="0" w:right="0" w:hanging="0"/>
              <w:jc w:val="left"/>
              <w:rPr/>
            </w:pPr>
            <w:r>
              <w:rPr/>
              <w:t> </w:t>
            </w:r>
            <w:r>
              <w:rPr>
                <w:rFonts w:ascii="Times New Roman" w:hAnsi="Times New Roman"/>
                <w:b w:val="false"/>
                <w:sz w:val="20"/>
              </w:rPr>
              <w:t>X</w:t>
            </w:r>
          </w:p>
        </w:tc>
      </w:tr>
      <w:tr>
        <w:trPr/>
        <w:tc>
          <w:tcPr>
            <w:tcW w:w="815" w:type="dxa"/>
            <w:tcBorders/>
            <w:shd w:fill="auto" w:val="clear"/>
            <w:vAlign w:val="center"/>
          </w:tcPr>
          <w:p>
            <w:pPr>
              <w:pStyle w:val="TableContents"/>
              <w:spacing w:lineRule="auto" w:line="252" w:before="0" w:after="0"/>
              <w:ind w:left="0" w:right="0" w:firstLine="128"/>
              <w:jc w:val="left"/>
              <w:rPr/>
            </w:pPr>
            <w:r>
              <w:rPr/>
              <w:t> </w:t>
            </w:r>
          </w:p>
        </w:tc>
        <w:tc>
          <w:tcPr>
            <w:tcW w:w="6206" w:type="dxa"/>
            <w:tcBorders/>
            <w:shd w:fill="auto" w:val="clear"/>
            <w:vAlign w:val="center"/>
          </w:tcPr>
          <w:p>
            <w:pPr>
              <w:pStyle w:val="TableContents"/>
              <w:spacing w:lineRule="auto" w:line="252" w:before="0" w:after="0"/>
              <w:ind w:left="128" w:right="0" w:hanging="0"/>
              <w:jc w:val="left"/>
              <w:rPr/>
            </w:pPr>
            <w:r>
              <w:rPr/>
              <w:t> </w:t>
            </w:r>
          </w:p>
        </w:tc>
        <w:tc>
          <w:tcPr>
            <w:tcW w:w="525" w:type="dxa"/>
            <w:tcBorders/>
            <w:shd w:fill="auto" w:val="clear"/>
            <w:vAlign w:val="center"/>
          </w:tcPr>
          <w:p>
            <w:pPr>
              <w:pStyle w:val="TableContents"/>
              <w:spacing w:lineRule="auto" w:line="252" w:before="0" w:after="0"/>
              <w:ind w:left="0" w:right="0" w:hanging="0"/>
              <w:jc w:val="left"/>
              <w:rPr/>
            </w:pPr>
            <w:r>
              <w:rPr/>
              <w:t> </w:t>
            </w:r>
          </w:p>
        </w:tc>
        <w:tc>
          <w:tcPr>
            <w:tcW w:w="486" w:type="dxa"/>
            <w:tcBorders/>
            <w:shd w:fill="auto" w:val="clear"/>
            <w:vAlign w:val="center"/>
          </w:tcPr>
          <w:p>
            <w:pPr>
              <w:pStyle w:val="TableContents"/>
              <w:spacing w:lineRule="auto" w:line="252" w:before="0" w:after="0"/>
              <w:ind w:left="0" w:right="0" w:hanging="0"/>
              <w:jc w:val="left"/>
              <w:rPr/>
            </w:pPr>
            <w:r>
              <w:rPr/>
              <w:t> </w:t>
            </w:r>
          </w:p>
        </w:tc>
        <w:tc>
          <w:tcPr>
            <w:tcW w:w="526" w:type="dxa"/>
            <w:tcBorders/>
            <w:shd w:fill="auto" w:val="clear"/>
            <w:vAlign w:val="center"/>
          </w:tcPr>
          <w:p>
            <w:pPr>
              <w:pStyle w:val="TableContents"/>
              <w:spacing w:lineRule="auto" w:line="252" w:before="0" w:after="0"/>
              <w:ind w:left="0" w:right="0" w:hanging="0"/>
              <w:jc w:val="left"/>
              <w:rPr/>
            </w:pPr>
            <w:r>
              <w:rPr/>
              <w:t> </w:t>
            </w:r>
          </w:p>
        </w:tc>
        <w:tc>
          <w:tcPr>
            <w:tcW w:w="645" w:type="dxa"/>
            <w:tcBorders/>
            <w:shd w:fill="auto" w:val="clear"/>
            <w:vAlign w:val="center"/>
          </w:tcPr>
          <w:p>
            <w:pPr>
              <w:pStyle w:val="TableContents"/>
              <w:spacing w:lineRule="auto" w:line="252" w:before="0" w:after="0"/>
              <w:ind w:left="0" w:right="0" w:hanging="0"/>
              <w:jc w:val="left"/>
              <w:rPr/>
            </w:pPr>
            <w:r>
              <w:rPr/>
              <w:t> </w:t>
            </w:r>
          </w:p>
        </w:tc>
        <w:tc>
          <w:tcPr>
            <w:tcW w:w="1002" w:type="dxa"/>
            <w:tcBorders/>
            <w:shd w:fill="auto" w:val="clear"/>
            <w:vAlign w:val="center"/>
          </w:tcPr>
          <w:p>
            <w:pPr>
              <w:pStyle w:val="TableContents"/>
              <w:spacing w:lineRule="auto" w:line="252" w:before="0" w:after="0"/>
              <w:ind w:left="0" w:right="0" w:hanging="0"/>
              <w:jc w:val="left"/>
              <w:rPr/>
            </w:pPr>
            <w:r>
              <w:rPr/>
              <w:t> </w:t>
            </w:r>
          </w:p>
        </w:tc>
      </w:tr>
      <w:tr>
        <w:trPr/>
        <w:tc>
          <w:tcPr>
            <w:tcW w:w="815" w:type="dxa"/>
            <w:tcBorders/>
            <w:shd w:fill="auto" w:val="clear"/>
            <w:tcMar>
              <w:top w:w="0" w:type="dxa"/>
              <w:left w:w="0" w:type="dxa"/>
              <w:bottom w:w="0" w:type="dxa"/>
              <w:right w:w="0" w:type="dxa"/>
            </w:tcMar>
            <w:vAlign w:val="center"/>
          </w:tcPr>
          <w:p>
            <w:pPr>
              <w:pStyle w:val="TableContents"/>
              <w:spacing w:lineRule="auto" w:line="252" w:before="0" w:after="0"/>
              <w:ind w:left="0" w:right="0" w:firstLine="128"/>
              <w:jc w:val="left"/>
              <w:rPr>
                <w:rFonts w:ascii="Times New Roman" w:hAnsi="Times New Roman"/>
                <w:b w:val="false"/>
                <w:sz w:val="20"/>
              </w:rPr>
            </w:pPr>
            <w:r>
              <w:rPr>
                <w:rFonts w:ascii="Times New Roman" w:hAnsi="Times New Roman"/>
                <w:b w:val="false"/>
                <w:sz w:val="20"/>
              </w:rPr>
              <w:t>101.SCH</w:t>
            </w:r>
          </w:p>
        </w:tc>
        <w:tc>
          <w:tcPr>
            <w:tcW w:w="6206" w:type="dxa"/>
            <w:tcBorders/>
            <w:shd w:fill="auto" w:val="clear"/>
            <w:vAlign w:val="center"/>
          </w:tcPr>
          <w:p>
            <w:pPr>
              <w:pStyle w:val="TableContents"/>
              <w:spacing w:lineRule="auto" w:line="252" w:before="0" w:after="0"/>
              <w:ind w:left="128" w:right="0" w:hanging="0"/>
              <w:jc w:val="left"/>
              <w:rPr>
                <w:rFonts w:ascii="Times New Roman" w:hAnsi="Times New Roman"/>
                <w:b w:val="false"/>
                <w:sz w:val="20"/>
              </w:rPr>
            </w:pPr>
            <w:r>
              <w:rPr>
                <w:rFonts w:ascii="Times New Roman" w:hAnsi="Times New Roman"/>
                <w:b w:val="false"/>
                <w:sz w:val="20"/>
              </w:rPr>
              <w:t>Inline XBRL Taxonomy Extension Schema Document.</w:t>
            </w:r>
          </w:p>
        </w:tc>
        <w:tc>
          <w:tcPr>
            <w:tcW w:w="525" w:type="dxa"/>
            <w:tcBorders/>
            <w:shd w:fill="auto" w:val="clear"/>
            <w:tcMar>
              <w:top w:w="0" w:type="dxa"/>
              <w:left w:w="0" w:type="dxa"/>
              <w:bottom w:w="0" w:type="dxa"/>
              <w:right w:w="0" w:type="dxa"/>
            </w:tcMar>
            <w:vAlign w:val="center"/>
          </w:tcPr>
          <w:p>
            <w:pPr>
              <w:pStyle w:val="TableContents"/>
              <w:spacing w:lineRule="atLeast" w:line="141" w:before="0" w:after="0"/>
              <w:ind w:left="0" w:right="0" w:hanging="0"/>
              <w:jc w:val="left"/>
              <w:rPr/>
            </w:pPr>
            <w:r>
              <w:rPr/>
              <w:t> </w:t>
            </w:r>
          </w:p>
        </w:tc>
        <w:tc>
          <w:tcPr>
            <w:tcW w:w="486" w:type="dxa"/>
            <w:tcBorders/>
            <w:shd w:fill="auto" w:val="clear"/>
            <w:tcMar>
              <w:top w:w="0" w:type="dxa"/>
              <w:left w:w="0" w:type="dxa"/>
              <w:bottom w:w="0" w:type="dxa"/>
              <w:right w:w="0" w:type="dxa"/>
            </w:tcMar>
            <w:vAlign w:val="center"/>
          </w:tcPr>
          <w:p>
            <w:pPr>
              <w:pStyle w:val="TableContents"/>
              <w:spacing w:lineRule="atLeast" w:line="141" w:before="0" w:after="0"/>
              <w:ind w:left="0" w:right="0" w:hanging="0"/>
              <w:jc w:val="left"/>
              <w:rPr/>
            </w:pPr>
            <w:r>
              <w:rPr/>
              <w:t> </w:t>
            </w:r>
          </w:p>
        </w:tc>
        <w:tc>
          <w:tcPr>
            <w:tcW w:w="526" w:type="dxa"/>
            <w:tcBorders/>
            <w:shd w:fill="auto" w:val="clear"/>
            <w:tcMar>
              <w:top w:w="0" w:type="dxa"/>
              <w:left w:w="0" w:type="dxa"/>
              <w:bottom w:w="0" w:type="dxa"/>
              <w:right w:w="0" w:type="dxa"/>
            </w:tcMar>
            <w:vAlign w:val="center"/>
          </w:tcPr>
          <w:p>
            <w:pPr>
              <w:pStyle w:val="TableContents"/>
              <w:spacing w:lineRule="atLeast" w:line="141" w:before="0" w:after="0"/>
              <w:ind w:left="0" w:right="0" w:hanging="0"/>
              <w:jc w:val="left"/>
              <w:rPr/>
            </w:pPr>
            <w:r>
              <w:rPr/>
              <w:t> </w:t>
            </w:r>
          </w:p>
        </w:tc>
        <w:tc>
          <w:tcPr>
            <w:tcW w:w="645" w:type="dxa"/>
            <w:tcBorders/>
            <w:shd w:fill="auto" w:val="clear"/>
            <w:tcMar>
              <w:top w:w="0" w:type="dxa"/>
              <w:left w:w="0" w:type="dxa"/>
              <w:bottom w:w="0" w:type="dxa"/>
              <w:right w:w="0" w:type="dxa"/>
            </w:tcMar>
            <w:vAlign w:val="center"/>
          </w:tcPr>
          <w:p>
            <w:pPr>
              <w:pStyle w:val="TableContents"/>
              <w:spacing w:lineRule="atLeast" w:line="141" w:before="0" w:after="0"/>
              <w:ind w:left="0" w:right="0" w:hanging="0"/>
              <w:jc w:val="left"/>
              <w:rPr/>
            </w:pPr>
            <w:r>
              <w:rPr/>
              <w:t> </w:t>
            </w:r>
          </w:p>
        </w:tc>
        <w:tc>
          <w:tcPr>
            <w:tcW w:w="1002" w:type="dxa"/>
            <w:tcBorders/>
            <w:shd w:fill="auto" w:val="clear"/>
            <w:tcMar>
              <w:top w:w="0" w:type="dxa"/>
              <w:left w:w="0" w:type="dxa"/>
              <w:bottom w:w="0" w:type="dxa"/>
              <w:right w:w="0" w:type="dxa"/>
            </w:tcMar>
            <w:vAlign w:val="center"/>
          </w:tcPr>
          <w:p>
            <w:pPr>
              <w:pStyle w:val="TableContents"/>
              <w:spacing w:lineRule="auto" w:line="252" w:before="0" w:after="20"/>
              <w:ind w:left="0" w:right="0" w:hanging="0"/>
              <w:jc w:val="left"/>
              <w:rPr/>
            </w:pPr>
            <w:r>
              <w:rPr/>
              <w:t> </w:t>
            </w:r>
            <w:r>
              <w:rPr>
                <w:rFonts w:ascii="Times New Roman" w:hAnsi="Times New Roman"/>
                <w:b w:val="false"/>
                <w:sz w:val="20"/>
              </w:rPr>
              <w:t>X</w:t>
            </w:r>
          </w:p>
        </w:tc>
      </w:tr>
      <w:tr>
        <w:trPr/>
        <w:tc>
          <w:tcPr>
            <w:tcW w:w="815" w:type="dxa"/>
            <w:tcBorders/>
            <w:shd w:fill="auto" w:val="clear"/>
            <w:vAlign w:val="center"/>
          </w:tcPr>
          <w:p>
            <w:pPr>
              <w:pStyle w:val="TableContents"/>
              <w:spacing w:lineRule="auto" w:line="252" w:before="0" w:after="0"/>
              <w:ind w:left="0" w:right="0" w:firstLine="128"/>
              <w:jc w:val="left"/>
              <w:rPr/>
            </w:pPr>
            <w:r>
              <w:rPr/>
              <w:t> </w:t>
            </w:r>
          </w:p>
        </w:tc>
        <w:tc>
          <w:tcPr>
            <w:tcW w:w="6206" w:type="dxa"/>
            <w:tcBorders/>
            <w:shd w:fill="auto" w:val="clear"/>
            <w:vAlign w:val="center"/>
          </w:tcPr>
          <w:p>
            <w:pPr>
              <w:pStyle w:val="TableContents"/>
              <w:spacing w:lineRule="auto" w:line="252" w:before="0" w:after="0"/>
              <w:ind w:left="128" w:right="0" w:hanging="0"/>
              <w:jc w:val="left"/>
              <w:rPr/>
            </w:pPr>
            <w:r>
              <w:rPr/>
              <w:t> </w:t>
            </w:r>
          </w:p>
        </w:tc>
        <w:tc>
          <w:tcPr>
            <w:tcW w:w="525" w:type="dxa"/>
            <w:tcBorders/>
            <w:shd w:fill="auto" w:val="clear"/>
            <w:vAlign w:val="center"/>
          </w:tcPr>
          <w:p>
            <w:pPr>
              <w:pStyle w:val="TableContents"/>
              <w:spacing w:lineRule="auto" w:line="252" w:before="0" w:after="0"/>
              <w:ind w:left="0" w:right="0" w:hanging="0"/>
              <w:jc w:val="left"/>
              <w:rPr/>
            </w:pPr>
            <w:r>
              <w:rPr/>
              <w:t> </w:t>
            </w:r>
          </w:p>
        </w:tc>
        <w:tc>
          <w:tcPr>
            <w:tcW w:w="486" w:type="dxa"/>
            <w:tcBorders/>
            <w:shd w:fill="auto" w:val="clear"/>
            <w:vAlign w:val="center"/>
          </w:tcPr>
          <w:p>
            <w:pPr>
              <w:pStyle w:val="TableContents"/>
              <w:spacing w:lineRule="auto" w:line="252" w:before="0" w:after="0"/>
              <w:ind w:left="0" w:right="0" w:hanging="0"/>
              <w:jc w:val="left"/>
              <w:rPr/>
            </w:pPr>
            <w:r>
              <w:rPr/>
              <w:t> </w:t>
            </w:r>
          </w:p>
        </w:tc>
        <w:tc>
          <w:tcPr>
            <w:tcW w:w="526" w:type="dxa"/>
            <w:tcBorders/>
            <w:shd w:fill="auto" w:val="clear"/>
            <w:vAlign w:val="center"/>
          </w:tcPr>
          <w:p>
            <w:pPr>
              <w:pStyle w:val="TableContents"/>
              <w:spacing w:lineRule="auto" w:line="252" w:before="0" w:after="0"/>
              <w:ind w:left="0" w:right="0" w:hanging="0"/>
              <w:jc w:val="left"/>
              <w:rPr/>
            </w:pPr>
            <w:r>
              <w:rPr/>
              <w:t> </w:t>
            </w:r>
          </w:p>
        </w:tc>
        <w:tc>
          <w:tcPr>
            <w:tcW w:w="645" w:type="dxa"/>
            <w:tcBorders/>
            <w:shd w:fill="auto" w:val="clear"/>
            <w:vAlign w:val="center"/>
          </w:tcPr>
          <w:p>
            <w:pPr>
              <w:pStyle w:val="TableContents"/>
              <w:spacing w:lineRule="auto" w:line="252" w:before="0" w:after="0"/>
              <w:ind w:left="0" w:right="0" w:hanging="0"/>
              <w:jc w:val="left"/>
              <w:rPr/>
            </w:pPr>
            <w:r>
              <w:rPr/>
              <w:t> </w:t>
            </w:r>
          </w:p>
        </w:tc>
        <w:tc>
          <w:tcPr>
            <w:tcW w:w="1002" w:type="dxa"/>
            <w:tcBorders/>
            <w:shd w:fill="auto" w:val="clear"/>
            <w:vAlign w:val="center"/>
          </w:tcPr>
          <w:p>
            <w:pPr>
              <w:pStyle w:val="TableContents"/>
              <w:spacing w:lineRule="auto" w:line="252" w:before="0" w:after="0"/>
              <w:ind w:left="0" w:right="0" w:hanging="0"/>
              <w:jc w:val="left"/>
              <w:rPr/>
            </w:pPr>
            <w:r>
              <w:rPr/>
              <w:t> </w:t>
            </w:r>
          </w:p>
        </w:tc>
      </w:tr>
      <w:tr>
        <w:trPr/>
        <w:tc>
          <w:tcPr>
            <w:tcW w:w="815" w:type="dxa"/>
            <w:tcBorders/>
            <w:shd w:fill="auto" w:val="clear"/>
            <w:tcMar>
              <w:top w:w="0" w:type="dxa"/>
              <w:left w:w="0" w:type="dxa"/>
              <w:bottom w:w="0" w:type="dxa"/>
              <w:right w:w="0" w:type="dxa"/>
            </w:tcMar>
            <w:vAlign w:val="center"/>
          </w:tcPr>
          <w:p>
            <w:pPr>
              <w:pStyle w:val="TableContents"/>
              <w:spacing w:lineRule="auto" w:line="252" w:before="0" w:after="0"/>
              <w:ind w:left="0" w:right="0" w:firstLine="128"/>
              <w:jc w:val="left"/>
              <w:rPr>
                <w:rFonts w:ascii="Times New Roman" w:hAnsi="Times New Roman"/>
                <w:b w:val="false"/>
                <w:sz w:val="20"/>
              </w:rPr>
            </w:pPr>
            <w:r>
              <w:rPr>
                <w:rFonts w:ascii="Times New Roman" w:hAnsi="Times New Roman"/>
                <w:b w:val="false"/>
                <w:sz w:val="20"/>
              </w:rPr>
              <w:t>101.CAL</w:t>
            </w:r>
          </w:p>
        </w:tc>
        <w:tc>
          <w:tcPr>
            <w:tcW w:w="6206" w:type="dxa"/>
            <w:tcBorders/>
            <w:shd w:fill="auto" w:val="clear"/>
            <w:vAlign w:val="center"/>
          </w:tcPr>
          <w:p>
            <w:pPr>
              <w:pStyle w:val="TableContents"/>
              <w:spacing w:lineRule="auto" w:line="252" w:before="0" w:after="0"/>
              <w:ind w:left="128" w:right="0" w:hanging="0"/>
              <w:jc w:val="left"/>
              <w:rPr>
                <w:rFonts w:ascii="Times New Roman" w:hAnsi="Times New Roman"/>
                <w:b w:val="false"/>
                <w:sz w:val="20"/>
              </w:rPr>
            </w:pPr>
            <w:r>
              <w:rPr>
                <w:rFonts w:ascii="Times New Roman" w:hAnsi="Times New Roman"/>
                <w:b w:val="false"/>
                <w:sz w:val="20"/>
              </w:rPr>
              <w:t>Inline XBRL Taxonomy Extension Calculation Linkbase Document.</w:t>
            </w:r>
          </w:p>
        </w:tc>
        <w:tc>
          <w:tcPr>
            <w:tcW w:w="525" w:type="dxa"/>
            <w:tcBorders/>
            <w:shd w:fill="auto" w:val="clear"/>
            <w:tcMar>
              <w:top w:w="0" w:type="dxa"/>
              <w:left w:w="0" w:type="dxa"/>
              <w:bottom w:w="0" w:type="dxa"/>
              <w:right w:w="0" w:type="dxa"/>
            </w:tcMar>
            <w:vAlign w:val="center"/>
          </w:tcPr>
          <w:p>
            <w:pPr>
              <w:pStyle w:val="TableContents"/>
              <w:spacing w:lineRule="atLeast" w:line="141" w:before="0" w:after="0"/>
              <w:ind w:left="0" w:right="0" w:hanging="0"/>
              <w:jc w:val="left"/>
              <w:rPr/>
            </w:pPr>
            <w:r>
              <w:rPr/>
              <w:t> </w:t>
            </w:r>
          </w:p>
        </w:tc>
        <w:tc>
          <w:tcPr>
            <w:tcW w:w="486" w:type="dxa"/>
            <w:tcBorders/>
            <w:shd w:fill="auto" w:val="clear"/>
            <w:tcMar>
              <w:top w:w="0" w:type="dxa"/>
              <w:left w:w="0" w:type="dxa"/>
              <w:bottom w:w="0" w:type="dxa"/>
              <w:right w:w="0" w:type="dxa"/>
            </w:tcMar>
            <w:vAlign w:val="center"/>
          </w:tcPr>
          <w:p>
            <w:pPr>
              <w:pStyle w:val="TableContents"/>
              <w:spacing w:lineRule="atLeast" w:line="141" w:before="0" w:after="0"/>
              <w:ind w:left="0" w:right="0" w:hanging="0"/>
              <w:jc w:val="left"/>
              <w:rPr/>
            </w:pPr>
            <w:r>
              <w:rPr/>
              <w:t> </w:t>
            </w:r>
          </w:p>
        </w:tc>
        <w:tc>
          <w:tcPr>
            <w:tcW w:w="526" w:type="dxa"/>
            <w:tcBorders/>
            <w:shd w:fill="auto" w:val="clear"/>
            <w:tcMar>
              <w:top w:w="0" w:type="dxa"/>
              <w:left w:w="0" w:type="dxa"/>
              <w:bottom w:w="0" w:type="dxa"/>
              <w:right w:w="0" w:type="dxa"/>
            </w:tcMar>
            <w:vAlign w:val="center"/>
          </w:tcPr>
          <w:p>
            <w:pPr>
              <w:pStyle w:val="TableContents"/>
              <w:spacing w:lineRule="atLeast" w:line="141" w:before="0" w:after="0"/>
              <w:ind w:left="0" w:right="0" w:hanging="0"/>
              <w:jc w:val="left"/>
              <w:rPr/>
            </w:pPr>
            <w:r>
              <w:rPr/>
              <w:t> </w:t>
            </w:r>
          </w:p>
        </w:tc>
        <w:tc>
          <w:tcPr>
            <w:tcW w:w="645" w:type="dxa"/>
            <w:tcBorders/>
            <w:shd w:fill="auto" w:val="clear"/>
            <w:tcMar>
              <w:top w:w="0" w:type="dxa"/>
              <w:left w:w="0" w:type="dxa"/>
              <w:bottom w:w="0" w:type="dxa"/>
              <w:right w:w="0" w:type="dxa"/>
            </w:tcMar>
            <w:vAlign w:val="center"/>
          </w:tcPr>
          <w:p>
            <w:pPr>
              <w:pStyle w:val="TableContents"/>
              <w:spacing w:lineRule="atLeast" w:line="141" w:before="0" w:after="0"/>
              <w:ind w:left="0" w:right="0" w:hanging="0"/>
              <w:jc w:val="left"/>
              <w:rPr/>
            </w:pPr>
            <w:r>
              <w:rPr/>
              <w:t> </w:t>
            </w:r>
          </w:p>
        </w:tc>
        <w:tc>
          <w:tcPr>
            <w:tcW w:w="1002" w:type="dxa"/>
            <w:tcBorders/>
            <w:shd w:fill="auto" w:val="clear"/>
            <w:tcMar>
              <w:top w:w="0" w:type="dxa"/>
              <w:left w:w="0" w:type="dxa"/>
              <w:bottom w:w="0" w:type="dxa"/>
              <w:right w:w="0" w:type="dxa"/>
            </w:tcMar>
            <w:vAlign w:val="center"/>
          </w:tcPr>
          <w:p>
            <w:pPr>
              <w:pStyle w:val="TableContents"/>
              <w:spacing w:lineRule="auto" w:line="252" w:before="0" w:after="20"/>
              <w:ind w:left="0" w:right="0" w:hanging="0"/>
              <w:jc w:val="left"/>
              <w:rPr/>
            </w:pPr>
            <w:r>
              <w:rPr/>
              <w:t> </w:t>
            </w:r>
            <w:r>
              <w:rPr>
                <w:rFonts w:ascii="Times New Roman" w:hAnsi="Times New Roman"/>
                <w:b w:val="false"/>
                <w:sz w:val="20"/>
              </w:rPr>
              <w:t>X</w:t>
            </w:r>
          </w:p>
        </w:tc>
      </w:tr>
      <w:tr>
        <w:trPr/>
        <w:tc>
          <w:tcPr>
            <w:tcW w:w="815" w:type="dxa"/>
            <w:tcBorders/>
            <w:shd w:fill="auto" w:val="clear"/>
            <w:vAlign w:val="center"/>
          </w:tcPr>
          <w:p>
            <w:pPr>
              <w:pStyle w:val="TableContents"/>
              <w:spacing w:lineRule="auto" w:line="252" w:before="0" w:after="0"/>
              <w:ind w:left="0" w:right="0" w:firstLine="128"/>
              <w:jc w:val="left"/>
              <w:rPr/>
            </w:pPr>
            <w:r>
              <w:rPr/>
              <w:t> </w:t>
            </w:r>
          </w:p>
        </w:tc>
        <w:tc>
          <w:tcPr>
            <w:tcW w:w="6206" w:type="dxa"/>
            <w:tcBorders/>
            <w:shd w:fill="auto" w:val="clear"/>
            <w:vAlign w:val="center"/>
          </w:tcPr>
          <w:p>
            <w:pPr>
              <w:pStyle w:val="TableContents"/>
              <w:spacing w:lineRule="auto" w:line="252" w:before="0" w:after="0"/>
              <w:ind w:left="128" w:right="0" w:hanging="0"/>
              <w:jc w:val="left"/>
              <w:rPr/>
            </w:pPr>
            <w:r>
              <w:rPr/>
              <w:t> </w:t>
            </w:r>
          </w:p>
        </w:tc>
        <w:tc>
          <w:tcPr>
            <w:tcW w:w="525" w:type="dxa"/>
            <w:tcBorders/>
            <w:shd w:fill="auto" w:val="clear"/>
            <w:vAlign w:val="center"/>
          </w:tcPr>
          <w:p>
            <w:pPr>
              <w:pStyle w:val="TableContents"/>
              <w:spacing w:lineRule="auto" w:line="252" w:before="0" w:after="0"/>
              <w:ind w:left="0" w:right="0" w:hanging="0"/>
              <w:jc w:val="left"/>
              <w:rPr/>
            </w:pPr>
            <w:r>
              <w:rPr/>
              <w:t> </w:t>
            </w:r>
          </w:p>
        </w:tc>
        <w:tc>
          <w:tcPr>
            <w:tcW w:w="486" w:type="dxa"/>
            <w:tcBorders/>
            <w:shd w:fill="auto" w:val="clear"/>
            <w:vAlign w:val="center"/>
          </w:tcPr>
          <w:p>
            <w:pPr>
              <w:pStyle w:val="TableContents"/>
              <w:spacing w:lineRule="auto" w:line="252" w:before="0" w:after="0"/>
              <w:ind w:left="0" w:right="0" w:hanging="0"/>
              <w:jc w:val="left"/>
              <w:rPr/>
            </w:pPr>
            <w:r>
              <w:rPr/>
              <w:t> </w:t>
            </w:r>
          </w:p>
        </w:tc>
        <w:tc>
          <w:tcPr>
            <w:tcW w:w="526" w:type="dxa"/>
            <w:tcBorders/>
            <w:shd w:fill="auto" w:val="clear"/>
            <w:vAlign w:val="center"/>
          </w:tcPr>
          <w:p>
            <w:pPr>
              <w:pStyle w:val="TableContents"/>
              <w:spacing w:lineRule="auto" w:line="252" w:before="0" w:after="0"/>
              <w:ind w:left="0" w:right="0" w:hanging="0"/>
              <w:jc w:val="left"/>
              <w:rPr/>
            </w:pPr>
            <w:r>
              <w:rPr/>
              <w:t> </w:t>
            </w:r>
          </w:p>
        </w:tc>
        <w:tc>
          <w:tcPr>
            <w:tcW w:w="645" w:type="dxa"/>
            <w:tcBorders/>
            <w:shd w:fill="auto" w:val="clear"/>
            <w:vAlign w:val="center"/>
          </w:tcPr>
          <w:p>
            <w:pPr>
              <w:pStyle w:val="TableContents"/>
              <w:spacing w:lineRule="auto" w:line="252" w:before="0" w:after="0"/>
              <w:ind w:left="0" w:right="0" w:hanging="0"/>
              <w:jc w:val="left"/>
              <w:rPr/>
            </w:pPr>
            <w:r>
              <w:rPr/>
              <w:t> </w:t>
            </w:r>
          </w:p>
        </w:tc>
        <w:tc>
          <w:tcPr>
            <w:tcW w:w="1002" w:type="dxa"/>
            <w:tcBorders/>
            <w:shd w:fill="auto" w:val="clear"/>
            <w:vAlign w:val="center"/>
          </w:tcPr>
          <w:p>
            <w:pPr>
              <w:pStyle w:val="TableContents"/>
              <w:spacing w:lineRule="auto" w:line="252" w:before="0" w:after="0"/>
              <w:ind w:left="0" w:right="0" w:hanging="0"/>
              <w:jc w:val="left"/>
              <w:rPr/>
            </w:pPr>
            <w:r>
              <w:rPr/>
              <w:t> </w:t>
            </w:r>
          </w:p>
        </w:tc>
      </w:tr>
      <w:tr>
        <w:trPr/>
        <w:tc>
          <w:tcPr>
            <w:tcW w:w="815" w:type="dxa"/>
            <w:tcBorders/>
            <w:shd w:fill="auto" w:val="clear"/>
            <w:tcMar>
              <w:top w:w="0" w:type="dxa"/>
              <w:left w:w="0" w:type="dxa"/>
              <w:bottom w:w="0" w:type="dxa"/>
              <w:right w:w="0" w:type="dxa"/>
            </w:tcMar>
            <w:vAlign w:val="center"/>
          </w:tcPr>
          <w:p>
            <w:pPr>
              <w:pStyle w:val="TableContents"/>
              <w:spacing w:lineRule="auto" w:line="252" w:before="0" w:after="0"/>
              <w:ind w:left="0" w:right="0" w:firstLine="128"/>
              <w:jc w:val="left"/>
              <w:rPr>
                <w:rFonts w:ascii="Times New Roman" w:hAnsi="Times New Roman"/>
                <w:b w:val="false"/>
                <w:sz w:val="20"/>
              </w:rPr>
            </w:pPr>
            <w:r>
              <w:rPr>
                <w:rFonts w:ascii="Times New Roman" w:hAnsi="Times New Roman"/>
                <w:b w:val="false"/>
                <w:sz w:val="20"/>
              </w:rPr>
              <w:t>101.DEF</w:t>
            </w:r>
          </w:p>
        </w:tc>
        <w:tc>
          <w:tcPr>
            <w:tcW w:w="6206" w:type="dxa"/>
            <w:tcBorders/>
            <w:shd w:fill="auto" w:val="clear"/>
            <w:vAlign w:val="center"/>
          </w:tcPr>
          <w:p>
            <w:pPr>
              <w:pStyle w:val="TableContents"/>
              <w:spacing w:lineRule="auto" w:line="252" w:before="0" w:after="0"/>
              <w:ind w:left="128" w:right="0" w:hanging="0"/>
              <w:jc w:val="left"/>
              <w:rPr>
                <w:rFonts w:ascii="Times New Roman" w:hAnsi="Times New Roman"/>
                <w:b w:val="false"/>
                <w:sz w:val="20"/>
              </w:rPr>
            </w:pPr>
            <w:r>
              <w:rPr>
                <w:rFonts w:ascii="Times New Roman" w:hAnsi="Times New Roman"/>
                <w:b w:val="false"/>
                <w:sz w:val="20"/>
              </w:rPr>
              <w:t>Inline XBRL Taxonomy Extension Definition Linkbase Document.</w:t>
            </w:r>
          </w:p>
        </w:tc>
        <w:tc>
          <w:tcPr>
            <w:tcW w:w="525" w:type="dxa"/>
            <w:tcBorders/>
            <w:shd w:fill="auto" w:val="clear"/>
            <w:tcMar>
              <w:top w:w="0" w:type="dxa"/>
              <w:left w:w="0" w:type="dxa"/>
              <w:bottom w:w="0" w:type="dxa"/>
              <w:right w:w="0" w:type="dxa"/>
            </w:tcMar>
            <w:vAlign w:val="center"/>
          </w:tcPr>
          <w:p>
            <w:pPr>
              <w:pStyle w:val="TableContents"/>
              <w:spacing w:lineRule="atLeast" w:line="141" w:before="0" w:after="0"/>
              <w:ind w:left="0" w:right="0" w:hanging="0"/>
              <w:jc w:val="left"/>
              <w:rPr/>
            </w:pPr>
            <w:r>
              <w:rPr/>
              <w:t> </w:t>
            </w:r>
          </w:p>
        </w:tc>
        <w:tc>
          <w:tcPr>
            <w:tcW w:w="486" w:type="dxa"/>
            <w:tcBorders/>
            <w:shd w:fill="auto" w:val="clear"/>
            <w:tcMar>
              <w:top w:w="0" w:type="dxa"/>
              <w:left w:w="0" w:type="dxa"/>
              <w:bottom w:w="0" w:type="dxa"/>
              <w:right w:w="0" w:type="dxa"/>
            </w:tcMar>
            <w:vAlign w:val="center"/>
          </w:tcPr>
          <w:p>
            <w:pPr>
              <w:pStyle w:val="TableContents"/>
              <w:spacing w:lineRule="atLeast" w:line="141" w:before="0" w:after="0"/>
              <w:ind w:left="0" w:right="0" w:hanging="0"/>
              <w:jc w:val="left"/>
              <w:rPr/>
            </w:pPr>
            <w:r>
              <w:rPr/>
              <w:t> </w:t>
            </w:r>
          </w:p>
        </w:tc>
        <w:tc>
          <w:tcPr>
            <w:tcW w:w="526" w:type="dxa"/>
            <w:tcBorders/>
            <w:shd w:fill="auto" w:val="clear"/>
            <w:tcMar>
              <w:top w:w="0" w:type="dxa"/>
              <w:left w:w="0" w:type="dxa"/>
              <w:bottom w:w="0" w:type="dxa"/>
              <w:right w:w="0" w:type="dxa"/>
            </w:tcMar>
            <w:vAlign w:val="center"/>
          </w:tcPr>
          <w:p>
            <w:pPr>
              <w:pStyle w:val="TableContents"/>
              <w:spacing w:lineRule="atLeast" w:line="141" w:before="0" w:after="0"/>
              <w:ind w:left="0" w:right="0" w:hanging="0"/>
              <w:jc w:val="left"/>
              <w:rPr/>
            </w:pPr>
            <w:r>
              <w:rPr/>
              <w:t> </w:t>
            </w:r>
          </w:p>
        </w:tc>
        <w:tc>
          <w:tcPr>
            <w:tcW w:w="645" w:type="dxa"/>
            <w:tcBorders/>
            <w:shd w:fill="auto" w:val="clear"/>
            <w:tcMar>
              <w:top w:w="0" w:type="dxa"/>
              <w:left w:w="0" w:type="dxa"/>
              <w:bottom w:w="0" w:type="dxa"/>
              <w:right w:w="0" w:type="dxa"/>
            </w:tcMar>
            <w:vAlign w:val="center"/>
          </w:tcPr>
          <w:p>
            <w:pPr>
              <w:pStyle w:val="TableContents"/>
              <w:spacing w:lineRule="atLeast" w:line="141" w:before="0" w:after="0"/>
              <w:ind w:left="0" w:right="0" w:hanging="0"/>
              <w:jc w:val="left"/>
              <w:rPr/>
            </w:pPr>
            <w:r>
              <w:rPr/>
              <w:t> </w:t>
            </w:r>
          </w:p>
        </w:tc>
        <w:tc>
          <w:tcPr>
            <w:tcW w:w="1002" w:type="dxa"/>
            <w:tcBorders/>
            <w:shd w:fill="auto" w:val="clear"/>
            <w:tcMar>
              <w:top w:w="0" w:type="dxa"/>
              <w:left w:w="0" w:type="dxa"/>
              <w:bottom w:w="0" w:type="dxa"/>
              <w:right w:w="0" w:type="dxa"/>
            </w:tcMar>
            <w:vAlign w:val="center"/>
          </w:tcPr>
          <w:p>
            <w:pPr>
              <w:pStyle w:val="TableContents"/>
              <w:spacing w:lineRule="auto" w:line="252" w:before="0" w:after="20"/>
              <w:ind w:left="0" w:right="0" w:hanging="0"/>
              <w:jc w:val="left"/>
              <w:rPr/>
            </w:pPr>
            <w:r>
              <w:rPr/>
              <w:t> </w:t>
            </w:r>
            <w:r>
              <w:rPr>
                <w:rFonts w:ascii="Times New Roman" w:hAnsi="Times New Roman"/>
                <w:b w:val="false"/>
                <w:sz w:val="20"/>
              </w:rPr>
              <w:t>X</w:t>
            </w:r>
          </w:p>
        </w:tc>
      </w:tr>
      <w:tr>
        <w:trPr/>
        <w:tc>
          <w:tcPr>
            <w:tcW w:w="815" w:type="dxa"/>
            <w:tcBorders/>
            <w:shd w:fill="auto" w:val="clear"/>
            <w:vAlign w:val="center"/>
          </w:tcPr>
          <w:p>
            <w:pPr>
              <w:pStyle w:val="TableContents"/>
              <w:spacing w:lineRule="auto" w:line="252" w:before="0" w:after="0"/>
              <w:ind w:left="0" w:right="0" w:firstLine="128"/>
              <w:jc w:val="left"/>
              <w:rPr/>
            </w:pPr>
            <w:r>
              <w:rPr/>
              <w:t> </w:t>
            </w:r>
          </w:p>
        </w:tc>
        <w:tc>
          <w:tcPr>
            <w:tcW w:w="6206" w:type="dxa"/>
            <w:tcBorders/>
            <w:shd w:fill="auto" w:val="clear"/>
            <w:vAlign w:val="center"/>
          </w:tcPr>
          <w:p>
            <w:pPr>
              <w:pStyle w:val="TableContents"/>
              <w:spacing w:lineRule="auto" w:line="252" w:before="0" w:after="0"/>
              <w:ind w:left="128" w:right="0" w:hanging="0"/>
              <w:jc w:val="left"/>
              <w:rPr/>
            </w:pPr>
            <w:r>
              <w:rPr/>
              <w:t> </w:t>
            </w:r>
          </w:p>
        </w:tc>
        <w:tc>
          <w:tcPr>
            <w:tcW w:w="525" w:type="dxa"/>
            <w:tcBorders/>
            <w:shd w:fill="auto" w:val="clear"/>
            <w:vAlign w:val="center"/>
          </w:tcPr>
          <w:p>
            <w:pPr>
              <w:pStyle w:val="TableContents"/>
              <w:spacing w:lineRule="auto" w:line="252" w:before="0" w:after="0"/>
              <w:ind w:left="0" w:right="0" w:hanging="0"/>
              <w:jc w:val="left"/>
              <w:rPr/>
            </w:pPr>
            <w:r>
              <w:rPr/>
              <w:t> </w:t>
            </w:r>
          </w:p>
        </w:tc>
        <w:tc>
          <w:tcPr>
            <w:tcW w:w="486" w:type="dxa"/>
            <w:tcBorders/>
            <w:shd w:fill="auto" w:val="clear"/>
            <w:vAlign w:val="center"/>
          </w:tcPr>
          <w:p>
            <w:pPr>
              <w:pStyle w:val="TableContents"/>
              <w:spacing w:lineRule="auto" w:line="252" w:before="0" w:after="0"/>
              <w:ind w:left="0" w:right="0" w:hanging="0"/>
              <w:jc w:val="left"/>
              <w:rPr/>
            </w:pPr>
            <w:r>
              <w:rPr/>
              <w:t> </w:t>
            </w:r>
          </w:p>
        </w:tc>
        <w:tc>
          <w:tcPr>
            <w:tcW w:w="526" w:type="dxa"/>
            <w:tcBorders/>
            <w:shd w:fill="auto" w:val="clear"/>
            <w:vAlign w:val="center"/>
          </w:tcPr>
          <w:p>
            <w:pPr>
              <w:pStyle w:val="TableContents"/>
              <w:spacing w:lineRule="auto" w:line="252" w:before="0" w:after="0"/>
              <w:ind w:left="0" w:right="0" w:hanging="0"/>
              <w:jc w:val="left"/>
              <w:rPr/>
            </w:pPr>
            <w:r>
              <w:rPr/>
              <w:t> </w:t>
            </w:r>
          </w:p>
        </w:tc>
        <w:tc>
          <w:tcPr>
            <w:tcW w:w="645" w:type="dxa"/>
            <w:tcBorders/>
            <w:shd w:fill="auto" w:val="clear"/>
            <w:vAlign w:val="center"/>
          </w:tcPr>
          <w:p>
            <w:pPr>
              <w:pStyle w:val="TableContents"/>
              <w:spacing w:lineRule="auto" w:line="252" w:before="0" w:after="0"/>
              <w:ind w:left="0" w:right="0" w:hanging="0"/>
              <w:jc w:val="left"/>
              <w:rPr/>
            </w:pPr>
            <w:r>
              <w:rPr/>
              <w:t> </w:t>
            </w:r>
          </w:p>
        </w:tc>
        <w:tc>
          <w:tcPr>
            <w:tcW w:w="1002" w:type="dxa"/>
            <w:tcBorders/>
            <w:shd w:fill="auto" w:val="clear"/>
            <w:vAlign w:val="center"/>
          </w:tcPr>
          <w:p>
            <w:pPr>
              <w:pStyle w:val="TableContents"/>
              <w:spacing w:lineRule="auto" w:line="252" w:before="0" w:after="0"/>
              <w:ind w:left="0" w:right="0" w:hanging="0"/>
              <w:jc w:val="left"/>
              <w:rPr/>
            </w:pPr>
            <w:r>
              <w:rPr/>
              <w:t> </w:t>
            </w:r>
          </w:p>
        </w:tc>
      </w:tr>
      <w:tr>
        <w:trPr/>
        <w:tc>
          <w:tcPr>
            <w:tcW w:w="815" w:type="dxa"/>
            <w:tcBorders/>
            <w:shd w:fill="auto" w:val="clear"/>
            <w:tcMar>
              <w:top w:w="0" w:type="dxa"/>
              <w:left w:w="0" w:type="dxa"/>
              <w:bottom w:w="0" w:type="dxa"/>
              <w:right w:w="0" w:type="dxa"/>
            </w:tcMar>
            <w:vAlign w:val="center"/>
          </w:tcPr>
          <w:p>
            <w:pPr>
              <w:pStyle w:val="TableContents"/>
              <w:spacing w:lineRule="auto" w:line="252" w:before="0" w:after="0"/>
              <w:ind w:left="0" w:right="0" w:firstLine="128"/>
              <w:jc w:val="left"/>
              <w:rPr>
                <w:rFonts w:ascii="Times New Roman" w:hAnsi="Times New Roman"/>
                <w:b w:val="false"/>
                <w:sz w:val="20"/>
              </w:rPr>
            </w:pPr>
            <w:r>
              <w:rPr>
                <w:rFonts w:ascii="Times New Roman" w:hAnsi="Times New Roman"/>
                <w:b w:val="false"/>
                <w:sz w:val="20"/>
              </w:rPr>
              <w:t>101.LAB</w:t>
            </w:r>
          </w:p>
        </w:tc>
        <w:tc>
          <w:tcPr>
            <w:tcW w:w="6206" w:type="dxa"/>
            <w:tcBorders/>
            <w:shd w:fill="auto" w:val="clear"/>
            <w:vAlign w:val="center"/>
          </w:tcPr>
          <w:p>
            <w:pPr>
              <w:pStyle w:val="TableContents"/>
              <w:spacing w:lineRule="auto" w:line="252" w:before="0" w:after="0"/>
              <w:ind w:left="128" w:right="0" w:hanging="0"/>
              <w:jc w:val="left"/>
              <w:rPr>
                <w:rFonts w:ascii="Times New Roman" w:hAnsi="Times New Roman"/>
                <w:b w:val="false"/>
                <w:sz w:val="20"/>
              </w:rPr>
            </w:pPr>
            <w:r>
              <w:rPr>
                <w:rFonts w:ascii="Times New Roman" w:hAnsi="Times New Roman"/>
                <w:b w:val="false"/>
                <w:sz w:val="20"/>
              </w:rPr>
              <w:t>Inline XBRL Taxonomy Extension Label Linkbase Document.</w:t>
            </w:r>
          </w:p>
        </w:tc>
        <w:tc>
          <w:tcPr>
            <w:tcW w:w="525" w:type="dxa"/>
            <w:tcBorders/>
            <w:shd w:fill="auto" w:val="clear"/>
            <w:tcMar>
              <w:top w:w="0" w:type="dxa"/>
              <w:left w:w="0" w:type="dxa"/>
              <w:bottom w:w="0" w:type="dxa"/>
              <w:right w:w="0" w:type="dxa"/>
            </w:tcMar>
            <w:vAlign w:val="center"/>
          </w:tcPr>
          <w:p>
            <w:pPr>
              <w:pStyle w:val="TableContents"/>
              <w:spacing w:lineRule="atLeast" w:line="141" w:before="0" w:after="0"/>
              <w:ind w:left="0" w:right="0" w:hanging="0"/>
              <w:jc w:val="left"/>
              <w:rPr/>
            </w:pPr>
            <w:r>
              <w:rPr/>
              <w:t> </w:t>
            </w:r>
          </w:p>
        </w:tc>
        <w:tc>
          <w:tcPr>
            <w:tcW w:w="486" w:type="dxa"/>
            <w:tcBorders/>
            <w:shd w:fill="auto" w:val="clear"/>
            <w:tcMar>
              <w:top w:w="0" w:type="dxa"/>
              <w:left w:w="0" w:type="dxa"/>
              <w:bottom w:w="0" w:type="dxa"/>
              <w:right w:w="0" w:type="dxa"/>
            </w:tcMar>
            <w:vAlign w:val="center"/>
          </w:tcPr>
          <w:p>
            <w:pPr>
              <w:pStyle w:val="TableContents"/>
              <w:spacing w:lineRule="atLeast" w:line="141" w:before="0" w:after="0"/>
              <w:ind w:left="0" w:right="0" w:hanging="0"/>
              <w:jc w:val="left"/>
              <w:rPr/>
            </w:pPr>
            <w:r>
              <w:rPr/>
              <w:t> </w:t>
            </w:r>
          </w:p>
        </w:tc>
        <w:tc>
          <w:tcPr>
            <w:tcW w:w="526" w:type="dxa"/>
            <w:tcBorders/>
            <w:shd w:fill="auto" w:val="clear"/>
            <w:tcMar>
              <w:top w:w="0" w:type="dxa"/>
              <w:left w:w="0" w:type="dxa"/>
              <w:bottom w:w="0" w:type="dxa"/>
              <w:right w:w="0" w:type="dxa"/>
            </w:tcMar>
            <w:vAlign w:val="center"/>
          </w:tcPr>
          <w:p>
            <w:pPr>
              <w:pStyle w:val="TableContents"/>
              <w:spacing w:lineRule="atLeast" w:line="141" w:before="0" w:after="0"/>
              <w:ind w:left="0" w:right="0" w:hanging="0"/>
              <w:jc w:val="left"/>
              <w:rPr/>
            </w:pPr>
            <w:r>
              <w:rPr/>
              <w:t> </w:t>
            </w:r>
          </w:p>
        </w:tc>
        <w:tc>
          <w:tcPr>
            <w:tcW w:w="645" w:type="dxa"/>
            <w:tcBorders/>
            <w:shd w:fill="auto" w:val="clear"/>
            <w:tcMar>
              <w:top w:w="0" w:type="dxa"/>
              <w:left w:w="0" w:type="dxa"/>
              <w:bottom w:w="0" w:type="dxa"/>
              <w:right w:w="0" w:type="dxa"/>
            </w:tcMar>
            <w:vAlign w:val="center"/>
          </w:tcPr>
          <w:p>
            <w:pPr>
              <w:pStyle w:val="TableContents"/>
              <w:spacing w:lineRule="atLeast" w:line="141" w:before="0" w:after="0"/>
              <w:ind w:left="0" w:right="0" w:hanging="0"/>
              <w:jc w:val="left"/>
              <w:rPr/>
            </w:pPr>
            <w:r>
              <w:rPr/>
              <w:t> </w:t>
            </w:r>
          </w:p>
        </w:tc>
        <w:tc>
          <w:tcPr>
            <w:tcW w:w="1002" w:type="dxa"/>
            <w:tcBorders/>
            <w:shd w:fill="auto" w:val="clear"/>
            <w:tcMar>
              <w:top w:w="0" w:type="dxa"/>
              <w:left w:w="0" w:type="dxa"/>
              <w:bottom w:w="0" w:type="dxa"/>
              <w:right w:w="0" w:type="dxa"/>
            </w:tcMar>
            <w:vAlign w:val="center"/>
          </w:tcPr>
          <w:p>
            <w:pPr>
              <w:pStyle w:val="TableContents"/>
              <w:spacing w:lineRule="auto" w:line="252" w:before="0" w:after="20"/>
              <w:ind w:left="0" w:right="0" w:hanging="0"/>
              <w:jc w:val="left"/>
              <w:rPr/>
            </w:pPr>
            <w:r>
              <w:rPr/>
              <w:t> </w:t>
            </w:r>
            <w:r>
              <w:rPr>
                <w:rFonts w:ascii="Times New Roman" w:hAnsi="Times New Roman"/>
                <w:b w:val="false"/>
                <w:sz w:val="20"/>
              </w:rPr>
              <w:t>X</w:t>
            </w:r>
          </w:p>
        </w:tc>
      </w:tr>
      <w:tr>
        <w:trPr/>
        <w:tc>
          <w:tcPr>
            <w:tcW w:w="815" w:type="dxa"/>
            <w:tcBorders/>
            <w:shd w:fill="auto" w:val="clear"/>
            <w:vAlign w:val="center"/>
          </w:tcPr>
          <w:p>
            <w:pPr>
              <w:pStyle w:val="TableContents"/>
              <w:spacing w:lineRule="auto" w:line="252" w:before="0" w:after="0"/>
              <w:ind w:left="0" w:right="0" w:firstLine="128"/>
              <w:jc w:val="left"/>
              <w:rPr/>
            </w:pPr>
            <w:r>
              <w:rPr/>
              <w:t> </w:t>
            </w:r>
          </w:p>
        </w:tc>
        <w:tc>
          <w:tcPr>
            <w:tcW w:w="6206" w:type="dxa"/>
            <w:tcBorders/>
            <w:shd w:fill="auto" w:val="clear"/>
            <w:vAlign w:val="center"/>
          </w:tcPr>
          <w:p>
            <w:pPr>
              <w:pStyle w:val="TableContents"/>
              <w:spacing w:lineRule="auto" w:line="252" w:before="0" w:after="0"/>
              <w:ind w:left="128" w:right="0" w:hanging="0"/>
              <w:jc w:val="left"/>
              <w:rPr/>
            </w:pPr>
            <w:r>
              <w:rPr/>
              <w:t> </w:t>
            </w:r>
          </w:p>
        </w:tc>
        <w:tc>
          <w:tcPr>
            <w:tcW w:w="525" w:type="dxa"/>
            <w:tcBorders/>
            <w:shd w:fill="auto" w:val="clear"/>
            <w:vAlign w:val="center"/>
          </w:tcPr>
          <w:p>
            <w:pPr>
              <w:pStyle w:val="TableContents"/>
              <w:spacing w:lineRule="auto" w:line="252" w:before="0" w:after="0"/>
              <w:ind w:left="0" w:right="0" w:hanging="0"/>
              <w:jc w:val="left"/>
              <w:rPr/>
            </w:pPr>
            <w:r>
              <w:rPr/>
              <w:t> </w:t>
            </w:r>
          </w:p>
        </w:tc>
        <w:tc>
          <w:tcPr>
            <w:tcW w:w="486" w:type="dxa"/>
            <w:tcBorders/>
            <w:shd w:fill="auto" w:val="clear"/>
            <w:vAlign w:val="center"/>
          </w:tcPr>
          <w:p>
            <w:pPr>
              <w:pStyle w:val="TableContents"/>
              <w:spacing w:lineRule="auto" w:line="252" w:before="0" w:after="0"/>
              <w:ind w:left="0" w:right="0" w:hanging="0"/>
              <w:jc w:val="left"/>
              <w:rPr/>
            </w:pPr>
            <w:r>
              <w:rPr/>
              <w:t> </w:t>
            </w:r>
          </w:p>
        </w:tc>
        <w:tc>
          <w:tcPr>
            <w:tcW w:w="526" w:type="dxa"/>
            <w:tcBorders/>
            <w:shd w:fill="auto" w:val="clear"/>
            <w:vAlign w:val="center"/>
          </w:tcPr>
          <w:p>
            <w:pPr>
              <w:pStyle w:val="TableContents"/>
              <w:spacing w:lineRule="auto" w:line="252" w:before="0" w:after="0"/>
              <w:ind w:left="0" w:right="0" w:hanging="0"/>
              <w:jc w:val="left"/>
              <w:rPr/>
            </w:pPr>
            <w:r>
              <w:rPr/>
              <w:t> </w:t>
            </w:r>
          </w:p>
        </w:tc>
        <w:tc>
          <w:tcPr>
            <w:tcW w:w="645" w:type="dxa"/>
            <w:tcBorders/>
            <w:shd w:fill="auto" w:val="clear"/>
            <w:vAlign w:val="center"/>
          </w:tcPr>
          <w:p>
            <w:pPr>
              <w:pStyle w:val="TableContents"/>
              <w:spacing w:lineRule="auto" w:line="252" w:before="0" w:after="0"/>
              <w:ind w:left="0" w:right="0" w:hanging="0"/>
              <w:jc w:val="left"/>
              <w:rPr/>
            </w:pPr>
            <w:r>
              <w:rPr/>
              <w:t> </w:t>
            </w:r>
          </w:p>
        </w:tc>
        <w:tc>
          <w:tcPr>
            <w:tcW w:w="1002" w:type="dxa"/>
            <w:tcBorders/>
            <w:shd w:fill="auto" w:val="clear"/>
            <w:vAlign w:val="center"/>
          </w:tcPr>
          <w:p>
            <w:pPr>
              <w:pStyle w:val="TableContents"/>
              <w:spacing w:lineRule="auto" w:line="252" w:before="0" w:after="0"/>
              <w:ind w:left="0" w:right="0" w:hanging="0"/>
              <w:jc w:val="left"/>
              <w:rPr/>
            </w:pPr>
            <w:r>
              <w:rPr/>
              <w:t> </w:t>
            </w:r>
          </w:p>
        </w:tc>
      </w:tr>
      <w:tr>
        <w:trPr/>
        <w:tc>
          <w:tcPr>
            <w:tcW w:w="815" w:type="dxa"/>
            <w:tcBorders/>
            <w:shd w:fill="auto" w:val="clear"/>
            <w:tcMar>
              <w:top w:w="0" w:type="dxa"/>
              <w:left w:w="0" w:type="dxa"/>
              <w:bottom w:w="0" w:type="dxa"/>
              <w:right w:w="0" w:type="dxa"/>
            </w:tcMar>
            <w:vAlign w:val="center"/>
          </w:tcPr>
          <w:p>
            <w:pPr>
              <w:pStyle w:val="TableContents"/>
              <w:spacing w:lineRule="auto" w:line="252" w:before="0" w:after="0"/>
              <w:ind w:left="0" w:right="0" w:firstLine="128"/>
              <w:jc w:val="left"/>
              <w:rPr>
                <w:rFonts w:ascii="Times New Roman" w:hAnsi="Times New Roman"/>
                <w:b w:val="false"/>
                <w:sz w:val="20"/>
              </w:rPr>
            </w:pPr>
            <w:r>
              <w:rPr>
                <w:rFonts w:ascii="Times New Roman" w:hAnsi="Times New Roman"/>
                <w:b w:val="false"/>
                <w:sz w:val="20"/>
              </w:rPr>
              <w:t>101.PRE</w:t>
            </w:r>
          </w:p>
        </w:tc>
        <w:tc>
          <w:tcPr>
            <w:tcW w:w="6206" w:type="dxa"/>
            <w:tcBorders/>
            <w:shd w:fill="auto" w:val="clear"/>
            <w:vAlign w:val="center"/>
          </w:tcPr>
          <w:p>
            <w:pPr>
              <w:pStyle w:val="TableContents"/>
              <w:spacing w:lineRule="auto" w:line="252" w:before="0" w:after="0"/>
              <w:ind w:left="128" w:right="0" w:hanging="0"/>
              <w:jc w:val="left"/>
              <w:rPr>
                <w:rFonts w:ascii="Times New Roman" w:hAnsi="Times New Roman"/>
                <w:b w:val="false"/>
                <w:sz w:val="20"/>
              </w:rPr>
            </w:pPr>
            <w:r>
              <w:rPr>
                <w:rFonts w:ascii="Times New Roman" w:hAnsi="Times New Roman"/>
                <w:b w:val="false"/>
                <w:sz w:val="20"/>
              </w:rPr>
              <w:t>Inline XBRL Taxonomy Extension Presentation Linkbase Document.</w:t>
            </w:r>
          </w:p>
        </w:tc>
        <w:tc>
          <w:tcPr>
            <w:tcW w:w="525" w:type="dxa"/>
            <w:tcBorders/>
            <w:shd w:fill="auto" w:val="clear"/>
            <w:tcMar>
              <w:top w:w="0" w:type="dxa"/>
              <w:left w:w="0" w:type="dxa"/>
              <w:bottom w:w="0" w:type="dxa"/>
              <w:right w:w="0" w:type="dxa"/>
            </w:tcMar>
            <w:vAlign w:val="center"/>
          </w:tcPr>
          <w:p>
            <w:pPr>
              <w:pStyle w:val="TableContents"/>
              <w:spacing w:lineRule="atLeast" w:line="141" w:before="0" w:after="0"/>
              <w:ind w:left="0" w:right="0" w:hanging="0"/>
              <w:jc w:val="left"/>
              <w:rPr/>
            </w:pPr>
            <w:r>
              <w:rPr/>
              <w:t> </w:t>
            </w:r>
          </w:p>
        </w:tc>
        <w:tc>
          <w:tcPr>
            <w:tcW w:w="486" w:type="dxa"/>
            <w:tcBorders/>
            <w:shd w:fill="auto" w:val="clear"/>
            <w:tcMar>
              <w:top w:w="0" w:type="dxa"/>
              <w:left w:w="0" w:type="dxa"/>
              <w:bottom w:w="0" w:type="dxa"/>
              <w:right w:w="0" w:type="dxa"/>
            </w:tcMar>
            <w:vAlign w:val="center"/>
          </w:tcPr>
          <w:p>
            <w:pPr>
              <w:pStyle w:val="TableContents"/>
              <w:spacing w:lineRule="atLeast" w:line="141" w:before="0" w:after="0"/>
              <w:ind w:left="0" w:right="0" w:hanging="0"/>
              <w:jc w:val="left"/>
              <w:rPr/>
            </w:pPr>
            <w:r>
              <w:rPr/>
              <w:t> </w:t>
            </w:r>
          </w:p>
        </w:tc>
        <w:tc>
          <w:tcPr>
            <w:tcW w:w="526" w:type="dxa"/>
            <w:tcBorders/>
            <w:shd w:fill="auto" w:val="clear"/>
            <w:tcMar>
              <w:top w:w="0" w:type="dxa"/>
              <w:left w:w="0" w:type="dxa"/>
              <w:bottom w:w="0" w:type="dxa"/>
              <w:right w:w="0" w:type="dxa"/>
            </w:tcMar>
            <w:vAlign w:val="center"/>
          </w:tcPr>
          <w:p>
            <w:pPr>
              <w:pStyle w:val="TableContents"/>
              <w:spacing w:lineRule="atLeast" w:line="141" w:before="0" w:after="0"/>
              <w:ind w:left="0" w:right="0" w:hanging="0"/>
              <w:jc w:val="left"/>
              <w:rPr/>
            </w:pPr>
            <w:r>
              <w:rPr/>
              <w:t> </w:t>
            </w:r>
          </w:p>
        </w:tc>
        <w:tc>
          <w:tcPr>
            <w:tcW w:w="645" w:type="dxa"/>
            <w:tcBorders/>
            <w:shd w:fill="auto" w:val="clear"/>
            <w:tcMar>
              <w:top w:w="0" w:type="dxa"/>
              <w:left w:w="0" w:type="dxa"/>
              <w:bottom w:w="0" w:type="dxa"/>
              <w:right w:w="0" w:type="dxa"/>
            </w:tcMar>
            <w:vAlign w:val="center"/>
          </w:tcPr>
          <w:p>
            <w:pPr>
              <w:pStyle w:val="TableContents"/>
              <w:spacing w:lineRule="atLeast" w:line="141" w:before="0" w:after="0"/>
              <w:ind w:left="0" w:right="0" w:hanging="0"/>
              <w:jc w:val="left"/>
              <w:rPr/>
            </w:pPr>
            <w:r>
              <w:rPr/>
              <w:t> </w:t>
            </w:r>
          </w:p>
        </w:tc>
        <w:tc>
          <w:tcPr>
            <w:tcW w:w="1002" w:type="dxa"/>
            <w:tcBorders/>
            <w:shd w:fill="auto" w:val="clear"/>
            <w:tcMar>
              <w:top w:w="0" w:type="dxa"/>
              <w:left w:w="0" w:type="dxa"/>
              <w:bottom w:w="0" w:type="dxa"/>
              <w:right w:w="0" w:type="dxa"/>
            </w:tcMar>
            <w:vAlign w:val="center"/>
          </w:tcPr>
          <w:p>
            <w:pPr>
              <w:pStyle w:val="TableContents"/>
              <w:spacing w:lineRule="auto" w:line="252" w:before="0" w:after="20"/>
              <w:ind w:left="0" w:right="0" w:hanging="0"/>
              <w:jc w:val="left"/>
              <w:rPr/>
            </w:pPr>
            <w:r>
              <w:rPr/>
              <w:t> </w:t>
            </w:r>
            <w:r>
              <w:rPr>
                <w:rFonts w:ascii="Times New Roman" w:hAnsi="Times New Roman"/>
                <w:b w:val="false"/>
                <w:sz w:val="20"/>
              </w:rPr>
              <w:t>X</w:t>
            </w:r>
          </w:p>
        </w:tc>
      </w:tr>
      <w:tr>
        <w:trPr/>
        <w:tc>
          <w:tcPr>
            <w:tcW w:w="815" w:type="dxa"/>
            <w:tcBorders/>
            <w:shd w:fill="auto" w:val="clear"/>
            <w:vAlign w:val="center"/>
          </w:tcPr>
          <w:p>
            <w:pPr>
              <w:pStyle w:val="TableContents"/>
              <w:spacing w:lineRule="auto" w:line="252" w:before="0" w:after="0"/>
              <w:ind w:left="0" w:right="0" w:firstLine="128"/>
              <w:jc w:val="left"/>
              <w:rPr/>
            </w:pPr>
            <w:r>
              <w:rPr/>
              <w:t> </w:t>
            </w:r>
          </w:p>
        </w:tc>
        <w:tc>
          <w:tcPr>
            <w:tcW w:w="6206" w:type="dxa"/>
            <w:tcBorders/>
            <w:shd w:fill="auto" w:val="clear"/>
            <w:vAlign w:val="center"/>
          </w:tcPr>
          <w:p>
            <w:pPr>
              <w:pStyle w:val="TableContents"/>
              <w:spacing w:lineRule="auto" w:line="252" w:before="0" w:after="0"/>
              <w:ind w:left="128" w:right="0" w:hanging="0"/>
              <w:jc w:val="left"/>
              <w:rPr/>
            </w:pPr>
            <w:r>
              <w:rPr/>
              <w:t> </w:t>
            </w:r>
          </w:p>
        </w:tc>
        <w:tc>
          <w:tcPr>
            <w:tcW w:w="525" w:type="dxa"/>
            <w:tcBorders/>
            <w:shd w:fill="auto" w:val="clear"/>
            <w:vAlign w:val="center"/>
          </w:tcPr>
          <w:p>
            <w:pPr>
              <w:pStyle w:val="TableContents"/>
              <w:spacing w:lineRule="auto" w:line="252" w:before="0" w:after="0"/>
              <w:ind w:left="0" w:right="0" w:hanging="0"/>
              <w:jc w:val="left"/>
              <w:rPr/>
            </w:pPr>
            <w:r>
              <w:rPr/>
              <w:t> </w:t>
            </w:r>
          </w:p>
        </w:tc>
        <w:tc>
          <w:tcPr>
            <w:tcW w:w="486" w:type="dxa"/>
            <w:tcBorders/>
            <w:shd w:fill="auto" w:val="clear"/>
            <w:vAlign w:val="center"/>
          </w:tcPr>
          <w:p>
            <w:pPr>
              <w:pStyle w:val="TableContents"/>
              <w:spacing w:lineRule="auto" w:line="252" w:before="0" w:after="0"/>
              <w:ind w:left="0" w:right="0" w:hanging="0"/>
              <w:jc w:val="left"/>
              <w:rPr/>
            </w:pPr>
            <w:r>
              <w:rPr/>
              <w:t> </w:t>
            </w:r>
          </w:p>
        </w:tc>
        <w:tc>
          <w:tcPr>
            <w:tcW w:w="526" w:type="dxa"/>
            <w:tcBorders/>
            <w:shd w:fill="auto" w:val="clear"/>
            <w:vAlign w:val="center"/>
          </w:tcPr>
          <w:p>
            <w:pPr>
              <w:pStyle w:val="TableContents"/>
              <w:spacing w:lineRule="auto" w:line="252" w:before="0" w:after="0"/>
              <w:ind w:left="0" w:right="0" w:hanging="0"/>
              <w:jc w:val="left"/>
              <w:rPr/>
            </w:pPr>
            <w:r>
              <w:rPr/>
              <w:t> </w:t>
            </w:r>
          </w:p>
        </w:tc>
        <w:tc>
          <w:tcPr>
            <w:tcW w:w="645" w:type="dxa"/>
            <w:tcBorders/>
            <w:shd w:fill="auto" w:val="clear"/>
            <w:vAlign w:val="center"/>
          </w:tcPr>
          <w:p>
            <w:pPr>
              <w:pStyle w:val="TableContents"/>
              <w:spacing w:lineRule="auto" w:line="252" w:before="0" w:after="0"/>
              <w:ind w:left="0" w:right="0" w:hanging="0"/>
              <w:jc w:val="left"/>
              <w:rPr/>
            </w:pPr>
            <w:r>
              <w:rPr/>
              <w:t> </w:t>
            </w:r>
          </w:p>
        </w:tc>
        <w:tc>
          <w:tcPr>
            <w:tcW w:w="1002" w:type="dxa"/>
            <w:tcBorders/>
            <w:shd w:fill="auto" w:val="clear"/>
            <w:vAlign w:val="center"/>
          </w:tcPr>
          <w:p>
            <w:pPr>
              <w:pStyle w:val="TableContents"/>
              <w:spacing w:lineRule="auto" w:line="252" w:before="0" w:after="0"/>
              <w:ind w:left="0" w:right="0" w:hanging="0"/>
              <w:jc w:val="left"/>
              <w:rPr/>
            </w:pPr>
            <w:r>
              <w:rPr/>
              <w:t> </w:t>
            </w:r>
          </w:p>
        </w:tc>
      </w:tr>
      <w:tr>
        <w:trPr/>
        <w:tc>
          <w:tcPr>
            <w:tcW w:w="815" w:type="dxa"/>
            <w:tcBorders/>
            <w:shd w:fill="auto" w:val="clear"/>
            <w:tcMar>
              <w:top w:w="0" w:type="dxa"/>
              <w:left w:w="0" w:type="dxa"/>
              <w:bottom w:w="0" w:type="dxa"/>
              <w:right w:w="0" w:type="dxa"/>
            </w:tcMar>
            <w:vAlign w:val="center"/>
          </w:tcPr>
          <w:p>
            <w:pPr>
              <w:pStyle w:val="TableContents"/>
              <w:spacing w:lineRule="auto" w:line="252" w:before="0" w:after="0"/>
              <w:ind w:left="0" w:right="0" w:firstLine="128"/>
              <w:jc w:val="left"/>
              <w:rPr>
                <w:rFonts w:ascii="Times New Roman" w:hAnsi="Times New Roman"/>
                <w:b w:val="false"/>
                <w:sz w:val="20"/>
              </w:rPr>
            </w:pPr>
            <w:r>
              <w:rPr>
                <w:rFonts w:ascii="Times New Roman" w:hAnsi="Times New Roman"/>
                <w:b w:val="false"/>
                <w:sz w:val="20"/>
              </w:rPr>
              <w:t>104</w:t>
            </w:r>
          </w:p>
        </w:tc>
        <w:tc>
          <w:tcPr>
            <w:tcW w:w="6206" w:type="dxa"/>
            <w:tcBorders/>
            <w:shd w:fill="auto" w:val="clear"/>
            <w:vAlign w:val="center"/>
          </w:tcPr>
          <w:p>
            <w:pPr>
              <w:pStyle w:val="TableContents"/>
              <w:spacing w:lineRule="auto" w:line="252" w:before="0" w:after="0"/>
              <w:ind w:left="128" w:right="0" w:hanging="0"/>
              <w:jc w:val="left"/>
              <w:rPr>
                <w:rFonts w:ascii="Times New Roman" w:hAnsi="Times New Roman"/>
                <w:b w:val="false"/>
                <w:sz w:val="20"/>
              </w:rPr>
            </w:pPr>
            <w:r>
              <w:rPr>
                <w:rFonts w:ascii="Times New Roman" w:hAnsi="Times New Roman"/>
                <w:b w:val="false"/>
                <w:sz w:val="20"/>
              </w:rPr>
              <w:t>Cover Page Interactive Data File (embedded within the Inline XBRL document)</w:t>
            </w:r>
          </w:p>
        </w:tc>
        <w:tc>
          <w:tcPr>
            <w:tcW w:w="525" w:type="dxa"/>
            <w:tcBorders/>
            <w:shd w:fill="auto" w:val="clear"/>
            <w:tcMar>
              <w:top w:w="0" w:type="dxa"/>
              <w:left w:w="0" w:type="dxa"/>
              <w:bottom w:w="0" w:type="dxa"/>
              <w:right w:w="0" w:type="dxa"/>
            </w:tcMar>
            <w:vAlign w:val="center"/>
          </w:tcPr>
          <w:p>
            <w:pPr>
              <w:pStyle w:val="TableContents"/>
              <w:spacing w:lineRule="atLeast" w:line="141" w:before="0" w:after="0"/>
              <w:ind w:left="0" w:right="0" w:hanging="0"/>
              <w:jc w:val="left"/>
              <w:rPr/>
            </w:pPr>
            <w:r>
              <w:rPr/>
              <w:t> </w:t>
            </w:r>
          </w:p>
        </w:tc>
        <w:tc>
          <w:tcPr>
            <w:tcW w:w="486" w:type="dxa"/>
            <w:tcBorders/>
            <w:shd w:fill="auto" w:val="clear"/>
            <w:tcMar>
              <w:top w:w="0" w:type="dxa"/>
              <w:left w:w="0" w:type="dxa"/>
              <w:bottom w:w="0" w:type="dxa"/>
              <w:right w:w="0" w:type="dxa"/>
            </w:tcMar>
            <w:vAlign w:val="center"/>
          </w:tcPr>
          <w:p>
            <w:pPr>
              <w:pStyle w:val="TableContents"/>
              <w:spacing w:lineRule="atLeast" w:line="141" w:before="0" w:after="0"/>
              <w:ind w:left="0" w:right="0" w:hanging="0"/>
              <w:jc w:val="left"/>
              <w:rPr/>
            </w:pPr>
            <w:r>
              <w:rPr/>
              <w:t> </w:t>
            </w:r>
          </w:p>
        </w:tc>
        <w:tc>
          <w:tcPr>
            <w:tcW w:w="526" w:type="dxa"/>
            <w:tcBorders/>
            <w:shd w:fill="auto" w:val="clear"/>
            <w:tcMar>
              <w:top w:w="0" w:type="dxa"/>
              <w:left w:w="0" w:type="dxa"/>
              <w:bottom w:w="0" w:type="dxa"/>
              <w:right w:w="0" w:type="dxa"/>
            </w:tcMar>
            <w:vAlign w:val="center"/>
          </w:tcPr>
          <w:p>
            <w:pPr>
              <w:pStyle w:val="TableContents"/>
              <w:spacing w:lineRule="atLeast" w:line="141" w:before="0" w:after="0"/>
              <w:ind w:left="0" w:right="0" w:hanging="0"/>
              <w:jc w:val="left"/>
              <w:rPr/>
            </w:pPr>
            <w:r>
              <w:rPr/>
              <w:t> </w:t>
            </w:r>
          </w:p>
        </w:tc>
        <w:tc>
          <w:tcPr>
            <w:tcW w:w="645" w:type="dxa"/>
            <w:tcBorders/>
            <w:shd w:fill="auto" w:val="clear"/>
            <w:tcMar>
              <w:top w:w="0" w:type="dxa"/>
              <w:left w:w="0" w:type="dxa"/>
              <w:bottom w:w="0" w:type="dxa"/>
              <w:right w:w="0" w:type="dxa"/>
            </w:tcMar>
            <w:vAlign w:val="center"/>
          </w:tcPr>
          <w:p>
            <w:pPr>
              <w:pStyle w:val="TableContents"/>
              <w:spacing w:lineRule="atLeast" w:line="141" w:before="0" w:after="0"/>
              <w:ind w:left="0" w:right="0" w:hanging="0"/>
              <w:jc w:val="left"/>
              <w:rPr/>
            </w:pPr>
            <w:r>
              <w:rPr/>
              <w:t> </w:t>
            </w:r>
          </w:p>
        </w:tc>
        <w:tc>
          <w:tcPr>
            <w:tcW w:w="1002" w:type="dxa"/>
            <w:tcBorders/>
            <w:shd w:fill="auto" w:val="clear"/>
            <w:tcMar>
              <w:top w:w="0" w:type="dxa"/>
              <w:left w:w="0" w:type="dxa"/>
              <w:bottom w:w="0" w:type="dxa"/>
              <w:right w:w="0" w:type="dxa"/>
            </w:tcMar>
            <w:vAlign w:val="center"/>
          </w:tcPr>
          <w:p>
            <w:pPr>
              <w:pStyle w:val="TableContents"/>
              <w:spacing w:lineRule="auto" w:line="252" w:before="0" w:after="20"/>
              <w:ind w:left="0" w:right="0" w:hanging="0"/>
              <w:jc w:val="left"/>
              <w:rPr/>
            </w:pPr>
            <w:r>
              <w:rPr/>
              <w:t> </w:t>
            </w:r>
            <w:r>
              <w:rPr>
                <w:rFonts w:ascii="Times New Roman" w:hAnsi="Times New Roman"/>
                <w:b w:val="false"/>
                <w:sz w:val="20"/>
              </w:rPr>
              <w:t>X</w:t>
            </w:r>
          </w:p>
        </w:tc>
      </w:tr>
    </w:tbl>
    <w:p>
      <w:pPr>
        <w:pStyle w:val="TextBody"/>
        <w:spacing w:lineRule="auto" w:line="273" w:before="120" w:after="0"/>
        <w:jc w:val="left"/>
        <w:rPr>
          <w:rFonts w:ascii="Times New Roman" w:hAnsi="Times New Roman"/>
          <w:sz w:val="20"/>
        </w:rPr>
      </w:pPr>
      <w:r>
        <w:rPr>
          <w:rFonts w:ascii="Times New Roman" w:hAnsi="Times New Roman"/>
          <w:b w:val="false"/>
          <w:sz w:val="20"/>
        </w:rPr>
        <w:t>* This certification is deemed not filed for purposes of section 18 of the Exchange Act or otherwise subject to the liability of that section, nor shall it be deemed incorporated by reference into any filing under the Securities Act or the Exchange Act.</w:t>
      </w:r>
      <w:r>
        <w:rPr>
          <w:rFonts w:ascii="Times New Roman" w:hAnsi="Times New Roman"/>
          <w:sz w:val="20"/>
        </w:rPr>
        <w:t xml:space="preserve"> </w:t>
      </w:r>
    </w:p>
    <w:p>
      <w:pPr>
        <w:pStyle w:val="TextBody"/>
        <w:spacing w:lineRule="auto" w:line="273" w:before="0" w:after="0"/>
        <w:jc w:val="center"/>
        <w:rPr>
          <w:rFonts w:ascii="Times New Roman" w:hAnsi="Times New Roman"/>
          <w:b w:val="false"/>
          <w:sz w:val="20"/>
        </w:rPr>
      </w:pPr>
      <w:r>
        <w:rPr>
          <w:rFonts w:ascii="Times New Roman" w:hAnsi="Times New Roman"/>
          <w:b w:val="false"/>
          <w:sz w:val="20"/>
        </w:rPr>
        <w:t>92</w:t>
      </w:r>
    </w:p>
    <w:p>
      <w:pPr>
        <w:pStyle w:val="HorizontalLine"/>
        <w:rPr/>
      </w:pPr>
      <w:r>
        <w:rPr/>
      </w:r>
    </w:p>
    <w:p>
      <w:pPr>
        <w:pStyle w:val="TextBody"/>
        <w:spacing w:lineRule="auto" w:line="273" w:before="0" w:after="0"/>
        <w:jc w:val="left"/>
        <w:rPr/>
      </w:pPr>
      <w:r>
        <w:rPr/>
        <w:t> </w:t>
      </w:r>
    </w:p>
    <w:p>
      <w:pPr>
        <w:pStyle w:val="TextBody"/>
        <w:spacing w:lineRule="auto" w:line="273" w:before="0" w:after="0"/>
        <w:jc w:val="center"/>
        <w:rPr>
          <w:rFonts w:ascii="Times New Roman" w:hAnsi="Times New Roman"/>
          <w:sz w:val="20"/>
        </w:rPr>
      </w:pPr>
      <w:bookmarkStart w:id="20" w:name="tx180355_20"/>
      <w:bookmarkEnd w:id="20"/>
      <w:r>
        <w:rPr>
          <w:rFonts w:ascii="Times New Roman" w:hAnsi="Times New Roman"/>
          <w:b/>
          <w:caps/>
          <w:sz w:val="20"/>
        </w:rPr>
        <w:t>SIGNATURES</w:t>
      </w:r>
      <w:r>
        <w:rPr>
          <w:rFonts w:ascii="Times New Roman" w:hAnsi="Times New Roman"/>
          <w:caps/>
          <w:sz w:val="20"/>
        </w:rPr>
        <w:t xml:space="preserve"> </w:t>
      </w:r>
    </w:p>
    <w:p>
      <w:pPr>
        <w:pStyle w:val="TextBody"/>
        <w:spacing w:lineRule="auto" w:line="273" w:before="240" w:after="0"/>
        <w:jc w:val="left"/>
        <w:rPr>
          <w:rFonts w:ascii="Times New Roman" w:hAnsi="Times New Roman"/>
          <w:sz w:val="20"/>
        </w:rPr>
      </w:pPr>
      <w:r>
        <w:rPr>
          <w:rFonts w:ascii="Times New Roman" w:hAnsi="Times New Roman"/>
          <w:b w:val="false"/>
          <w:sz w:val="20"/>
        </w:rPr>
        <w:t>Pursuant to the requirements of the Securities Exchange Act of 1934, as amended, the registrant has duly caused this report to be signed on its behalf by the undersigned thereunto duly authorized.</w:t>
      </w:r>
      <w:r>
        <w:rPr>
          <w:rFonts w:ascii="Times New Roman" w:hAnsi="Times New Roman"/>
          <w:sz w:val="20"/>
        </w:rPr>
        <w:t xml:space="preserve"> </w:t>
      </w:r>
    </w:p>
    <w:p>
      <w:pPr>
        <w:pStyle w:val="TextBody"/>
        <w:spacing w:lineRule="auto" w:line="273" w:before="0" w:after="0"/>
        <w:jc w:val="left"/>
        <w:rPr/>
      </w:pPr>
      <w:r>
        <w:rPr/>
        <w:t> </w:t>
      </w:r>
    </w:p>
    <w:tbl>
      <w:tblPr>
        <w:tblW w:w="6453" w:type="dxa"/>
        <w:jc w:val="left"/>
        <w:tblInd w:w="0" w:type="dxa"/>
        <w:tblCellMar>
          <w:top w:w="28" w:type="dxa"/>
          <w:left w:w="28" w:type="dxa"/>
          <w:bottom w:w="28" w:type="dxa"/>
          <w:right w:w="28" w:type="dxa"/>
        </w:tblCellMar>
      </w:tblPr>
      <w:tblGrid>
        <w:gridCol w:w="1741"/>
        <w:gridCol w:w="406"/>
        <w:gridCol w:w="4306"/>
      </w:tblGrid>
      <w:tr>
        <w:trPr/>
        <w:tc>
          <w:tcPr>
            <w:tcW w:w="1741" w:type="dxa"/>
            <w:tcBorders/>
            <w:shd w:fill="auto" w:val="clear"/>
            <w:vAlign w:val="center"/>
          </w:tcPr>
          <w:p>
            <w:pPr>
              <w:pStyle w:val="TableContents"/>
              <w:spacing w:before="0" w:after="283"/>
              <w:rPr>
                <w:sz w:val="4"/>
                <w:szCs w:val="4"/>
              </w:rPr>
            </w:pPr>
            <w:r>
              <w:rPr>
                <w:sz w:val="4"/>
                <w:szCs w:val="4"/>
              </w:rPr>
            </w:r>
          </w:p>
        </w:tc>
        <w:tc>
          <w:tcPr>
            <w:tcW w:w="406" w:type="dxa"/>
            <w:tcBorders/>
            <w:shd w:fill="auto" w:val="clear"/>
            <w:vAlign w:val="center"/>
          </w:tcPr>
          <w:p>
            <w:pPr>
              <w:pStyle w:val="TableContents"/>
              <w:spacing w:before="0" w:after="283"/>
              <w:rPr>
                <w:sz w:val="4"/>
                <w:szCs w:val="4"/>
              </w:rPr>
            </w:pPr>
            <w:r>
              <w:rPr>
                <w:sz w:val="4"/>
                <w:szCs w:val="4"/>
              </w:rPr>
            </w:r>
          </w:p>
        </w:tc>
        <w:tc>
          <w:tcPr>
            <w:tcW w:w="4306" w:type="dxa"/>
            <w:tcBorders/>
            <w:shd w:fill="auto" w:val="clear"/>
            <w:vAlign w:val="center"/>
          </w:tcPr>
          <w:p>
            <w:pPr>
              <w:pStyle w:val="TableContents"/>
              <w:spacing w:before="0" w:after="283"/>
              <w:rPr>
                <w:sz w:val="4"/>
                <w:szCs w:val="4"/>
              </w:rPr>
            </w:pPr>
            <w:r>
              <w:rPr>
                <w:sz w:val="4"/>
                <w:szCs w:val="4"/>
              </w:rPr>
            </w:r>
          </w:p>
        </w:tc>
      </w:tr>
      <w:tr>
        <w:trPr/>
        <w:tc>
          <w:tcPr>
            <w:tcW w:w="1741" w:type="dxa"/>
            <w:tcBorders/>
            <w:shd w:fill="auto" w:val="clear"/>
            <w:vAlign w:val="center"/>
          </w:tcPr>
          <w:p>
            <w:pPr>
              <w:pStyle w:val="TableContents"/>
              <w:spacing w:lineRule="auto" w:line="252" w:before="0" w:after="0"/>
              <w:ind w:left="0" w:right="0" w:hanging="0"/>
              <w:jc w:val="left"/>
              <w:rPr/>
            </w:pPr>
            <w:r>
              <w:rPr/>
              <w:t> </w:t>
            </w:r>
          </w:p>
        </w:tc>
        <w:tc>
          <w:tcPr>
            <w:tcW w:w="406" w:type="dxa"/>
            <w:tcBorders/>
            <w:shd w:fill="auto" w:val="clear"/>
            <w:vAlign w:val="center"/>
          </w:tcPr>
          <w:p>
            <w:pPr>
              <w:pStyle w:val="TableContents"/>
              <w:spacing w:lineRule="auto" w:line="252" w:before="0" w:after="0"/>
              <w:ind w:left="0" w:right="0" w:hanging="0"/>
              <w:jc w:val="left"/>
              <w:rPr/>
            </w:pPr>
            <w:r>
              <w:rPr/>
              <w:t> </w:t>
            </w:r>
          </w:p>
        </w:tc>
        <w:tc>
          <w:tcPr>
            <w:tcW w:w="4306" w:type="dxa"/>
            <w:tcBorders/>
            <w:shd w:fill="auto" w:val="clear"/>
            <w:vAlign w:val="center"/>
          </w:tcPr>
          <w:p>
            <w:pPr>
              <w:pStyle w:val="TableContents"/>
              <w:spacing w:lineRule="auto" w:line="252" w:before="0" w:after="0"/>
              <w:ind w:left="0" w:right="0" w:hanging="0"/>
              <w:jc w:val="left"/>
              <w:rPr/>
            </w:pPr>
            <w:r>
              <w:rPr/>
              <w:t> </w:t>
            </w:r>
          </w:p>
        </w:tc>
      </w:tr>
      <w:tr>
        <w:trPr/>
        <w:tc>
          <w:tcPr>
            <w:tcW w:w="1741" w:type="dxa"/>
            <w:tcBorders/>
            <w:shd w:fill="auto" w:val="clear"/>
            <w:tcMar>
              <w:top w:w="0" w:type="dxa"/>
              <w:left w:w="0" w:type="dxa"/>
              <w:bottom w:w="0" w:type="dxa"/>
              <w:right w:w="0" w:type="dxa"/>
            </w:tcMar>
            <w:vAlign w:val="center"/>
          </w:tcPr>
          <w:p>
            <w:pPr>
              <w:pStyle w:val="TableContents"/>
              <w:spacing w:lineRule="atLeast" w:line="141" w:before="0" w:after="0"/>
              <w:ind w:left="0" w:right="0" w:hanging="0"/>
              <w:jc w:val="left"/>
              <w:rPr/>
            </w:pPr>
            <w:r>
              <w:rPr/>
              <w:t> </w:t>
            </w:r>
          </w:p>
        </w:tc>
        <w:tc>
          <w:tcPr>
            <w:tcW w:w="4712" w:type="dxa"/>
            <w:gridSpan w:val="2"/>
            <w:tcBorders/>
            <w:shd w:fill="auto" w:val="clear"/>
            <w:vAlign w:val="center"/>
          </w:tcPr>
          <w:p>
            <w:pPr>
              <w:pStyle w:val="TableContents"/>
              <w:spacing w:lineRule="auto" w:line="252" w:before="0" w:after="0"/>
              <w:ind w:left="0" w:right="0" w:hanging="0"/>
              <w:jc w:val="left"/>
              <w:rPr>
                <w:rFonts w:ascii="Times New Roman" w:hAnsi="Times New Roman"/>
                <w:b w:val="false"/>
                <w:sz w:val="20"/>
              </w:rPr>
            </w:pPr>
            <w:r>
              <w:rPr>
                <w:rFonts w:ascii="Times New Roman" w:hAnsi="Times New Roman"/>
                <w:b w:val="false"/>
                <w:sz w:val="20"/>
              </w:rPr>
              <w:t>DAY ONE BIOPHARMACEUTICALS, INC.</w:t>
            </w:r>
          </w:p>
        </w:tc>
      </w:tr>
      <w:tr>
        <w:trPr/>
        <w:tc>
          <w:tcPr>
            <w:tcW w:w="1741" w:type="dxa"/>
            <w:tcBorders/>
            <w:shd w:fill="auto" w:val="clear"/>
            <w:vAlign w:val="center"/>
          </w:tcPr>
          <w:p>
            <w:pPr>
              <w:pStyle w:val="TableContents"/>
              <w:spacing w:lineRule="auto" w:line="252" w:before="0" w:after="0"/>
              <w:ind w:left="0" w:right="0" w:hanging="0"/>
              <w:jc w:val="left"/>
              <w:rPr/>
            </w:pPr>
            <w:r>
              <w:rPr/>
              <w:t> </w:t>
            </w:r>
          </w:p>
        </w:tc>
        <w:tc>
          <w:tcPr>
            <w:tcW w:w="406" w:type="dxa"/>
            <w:tcBorders/>
            <w:shd w:fill="auto" w:val="clear"/>
            <w:vAlign w:val="center"/>
          </w:tcPr>
          <w:p>
            <w:pPr>
              <w:pStyle w:val="TableContents"/>
              <w:spacing w:lineRule="auto" w:line="252" w:before="0" w:after="0"/>
              <w:ind w:left="0" w:right="0" w:hanging="0"/>
              <w:jc w:val="left"/>
              <w:rPr/>
            </w:pPr>
            <w:r>
              <w:rPr/>
              <w:t> </w:t>
            </w:r>
          </w:p>
        </w:tc>
        <w:tc>
          <w:tcPr>
            <w:tcW w:w="4306" w:type="dxa"/>
            <w:tcBorders/>
            <w:shd w:fill="auto" w:val="clear"/>
            <w:vAlign w:val="center"/>
          </w:tcPr>
          <w:p>
            <w:pPr>
              <w:pStyle w:val="TableContents"/>
              <w:spacing w:lineRule="auto" w:line="252" w:before="0" w:after="0"/>
              <w:ind w:left="0" w:right="0" w:hanging="0"/>
              <w:jc w:val="left"/>
              <w:rPr/>
            </w:pPr>
            <w:r>
              <w:rPr/>
              <w:t> </w:t>
            </w:r>
          </w:p>
        </w:tc>
      </w:tr>
      <w:tr>
        <w:trPr/>
        <w:tc>
          <w:tcPr>
            <w:tcW w:w="1741" w:type="dxa"/>
            <w:tcBorders/>
            <w:shd w:fill="auto" w:val="clear"/>
            <w:vAlign w:val="center"/>
          </w:tcPr>
          <w:p>
            <w:pPr>
              <w:pStyle w:val="TableContents"/>
              <w:spacing w:lineRule="auto" w:line="252" w:before="0" w:after="0"/>
              <w:ind w:left="0" w:right="0" w:hanging="0"/>
              <w:jc w:val="left"/>
              <w:rPr>
                <w:rFonts w:ascii="Times New Roman" w:hAnsi="Times New Roman"/>
                <w:b w:val="false"/>
                <w:sz w:val="20"/>
              </w:rPr>
            </w:pPr>
            <w:r>
              <w:rPr>
                <w:rFonts w:ascii="Times New Roman" w:hAnsi="Times New Roman"/>
                <w:b w:val="false"/>
                <w:sz w:val="20"/>
              </w:rPr>
              <w:t>Date: May 12, 2022</w:t>
            </w:r>
          </w:p>
        </w:tc>
        <w:tc>
          <w:tcPr>
            <w:tcW w:w="406" w:type="dxa"/>
            <w:tcBorders/>
            <w:shd w:fill="auto" w:val="clear"/>
            <w:vAlign w:val="center"/>
          </w:tcPr>
          <w:p>
            <w:pPr>
              <w:pStyle w:val="TableContents"/>
              <w:spacing w:lineRule="auto" w:line="252" w:before="0" w:after="0"/>
              <w:ind w:left="0" w:right="0" w:hanging="0"/>
              <w:jc w:val="left"/>
              <w:rPr>
                <w:rFonts w:ascii="Times New Roman" w:hAnsi="Times New Roman"/>
                <w:b w:val="false"/>
                <w:sz w:val="20"/>
              </w:rPr>
            </w:pPr>
            <w:r>
              <w:rPr>
                <w:rFonts w:ascii="Times New Roman" w:hAnsi="Times New Roman"/>
                <w:b w:val="false"/>
                <w:sz w:val="20"/>
              </w:rPr>
              <w:t>By:</w:t>
            </w:r>
          </w:p>
        </w:tc>
        <w:tc>
          <w:tcPr>
            <w:tcW w:w="4306" w:type="dxa"/>
            <w:tcBorders>
              <w:bottom w:val="single" w:sz="6"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rFonts w:ascii="Times New Roman" w:hAnsi="Times New Roman"/>
                <w:b w:val="false"/>
                <w:sz w:val="20"/>
              </w:rPr>
            </w:pPr>
            <w:r>
              <w:rPr>
                <w:rFonts w:ascii="Times New Roman" w:hAnsi="Times New Roman"/>
                <w:b w:val="false"/>
                <w:sz w:val="20"/>
              </w:rPr>
              <w:t>/s/ Jeremy Bender, Ph.D., M.B.A.</w:t>
            </w:r>
          </w:p>
        </w:tc>
      </w:tr>
      <w:tr>
        <w:trPr/>
        <w:tc>
          <w:tcPr>
            <w:tcW w:w="1741" w:type="dxa"/>
            <w:tcBorders/>
            <w:shd w:fill="auto" w:val="clear"/>
            <w:tcMar>
              <w:top w:w="0" w:type="dxa"/>
              <w:left w:w="0" w:type="dxa"/>
              <w:bottom w:w="0" w:type="dxa"/>
              <w:right w:w="0" w:type="dxa"/>
            </w:tcMar>
            <w:vAlign w:val="center"/>
          </w:tcPr>
          <w:p>
            <w:pPr>
              <w:pStyle w:val="TableContents"/>
              <w:spacing w:lineRule="atLeast" w:line="141" w:before="0" w:after="0"/>
              <w:ind w:left="0" w:right="0" w:hanging="0"/>
              <w:jc w:val="left"/>
              <w:rPr/>
            </w:pPr>
            <w:r>
              <w:rPr/>
              <w:t> </w:t>
            </w:r>
          </w:p>
        </w:tc>
        <w:tc>
          <w:tcPr>
            <w:tcW w:w="406" w:type="dxa"/>
            <w:tcBorders/>
            <w:shd w:fill="auto" w:val="clear"/>
            <w:tcMar>
              <w:top w:w="0" w:type="dxa"/>
              <w:left w:w="0" w:type="dxa"/>
              <w:bottom w:w="0" w:type="dxa"/>
              <w:right w:w="0" w:type="dxa"/>
            </w:tcMar>
            <w:vAlign w:val="center"/>
          </w:tcPr>
          <w:p>
            <w:pPr>
              <w:pStyle w:val="TableContents"/>
              <w:spacing w:lineRule="atLeast" w:line="141" w:before="0" w:after="0"/>
              <w:ind w:left="0" w:right="0" w:hanging="0"/>
              <w:jc w:val="left"/>
              <w:rPr/>
            </w:pPr>
            <w:r>
              <w:rPr/>
              <w:t> </w:t>
            </w:r>
          </w:p>
        </w:tc>
        <w:tc>
          <w:tcPr>
            <w:tcW w:w="4306" w:type="dxa"/>
            <w:tcBorders/>
            <w:shd w:fill="auto" w:val="clear"/>
            <w:vAlign w:val="center"/>
          </w:tcPr>
          <w:p>
            <w:pPr>
              <w:pStyle w:val="TableContents"/>
              <w:spacing w:lineRule="auto" w:line="252" w:before="0" w:after="0"/>
              <w:ind w:left="0" w:right="0" w:hanging="0"/>
              <w:jc w:val="left"/>
              <w:rPr>
                <w:rFonts w:ascii="Times New Roman" w:hAnsi="Times New Roman"/>
                <w:b w:val="false"/>
                <w:sz w:val="20"/>
              </w:rPr>
            </w:pPr>
            <w:r>
              <w:rPr>
                <w:rFonts w:ascii="Times New Roman" w:hAnsi="Times New Roman"/>
                <w:b w:val="false"/>
                <w:sz w:val="20"/>
              </w:rPr>
              <w:t>Jeremy Bender, Ph.D., M.B.A.</w:t>
            </w:r>
          </w:p>
        </w:tc>
      </w:tr>
      <w:tr>
        <w:trPr/>
        <w:tc>
          <w:tcPr>
            <w:tcW w:w="1741" w:type="dxa"/>
            <w:tcBorders/>
            <w:shd w:fill="auto" w:val="clear"/>
            <w:tcMar>
              <w:top w:w="0" w:type="dxa"/>
              <w:left w:w="0" w:type="dxa"/>
              <w:bottom w:w="0" w:type="dxa"/>
              <w:right w:w="0" w:type="dxa"/>
            </w:tcMar>
            <w:vAlign w:val="center"/>
          </w:tcPr>
          <w:p>
            <w:pPr>
              <w:pStyle w:val="TableContents"/>
              <w:spacing w:lineRule="atLeast" w:line="141" w:before="0" w:after="0"/>
              <w:ind w:left="0" w:right="0" w:hanging="0"/>
              <w:jc w:val="left"/>
              <w:rPr/>
            </w:pPr>
            <w:r>
              <w:rPr/>
              <w:t> </w:t>
            </w:r>
          </w:p>
        </w:tc>
        <w:tc>
          <w:tcPr>
            <w:tcW w:w="406" w:type="dxa"/>
            <w:tcBorders/>
            <w:shd w:fill="auto" w:val="clear"/>
            <w:tcMar>
              <w:top w:w="0" w:type="dxa"/>
              <w:left w:w="0" w:type="dxa"/>
              <w:bottom w:w="0" w:type="dxa"/>
              <w:right w:w="0" w:type="dxa"/>
            </w:tcMar>
            <w:vAlign w:val="center"/>
          </w:tcPr>
          <w:p>
            <w:pPr>
              <w:pStyle w:val="TableContents"/>
              <w:spacing w:lineRule="atLeast" w:line="141" w:before="0" w:after="0"/>
              <w:ind w:left="0" w:right="0" w:hanging="0"/>
              <w:jc w:val="left"/>
              <w:rPr/>
            </w:pPr>
            <w:r>
              <w:rPr/>
              <w:t> </w:t>
            </w:r>
          </w:p>
        </w:tc>
        <w:tc>
          <w:tcPr>
            <w:tcW w:w="4306" w:type="dxa"/>
            <w:tcBorders/>
            <w:shd w:fill="auto" w:val="clear"/>
            <w:vAlign w:val="center"/>
          </w:tcPr>
          <w:p>
            <w:pPr>
              <w:pStyle w:val="TableContents"/>
              <w:spacing w:lineRule="auto" w:line="252" w:before="0" w:after="0"/>
              <w:ind w:left="0" w:right="0" w:hanging="0"/>
              <w:jc w:val="left"/>
              <w:rPr>
                <w:rFonts w:ascii="Times New Roman" w:hAnsi="Times New Roman"/>
                <w:b w:val="false"/>
                <w:sz w:val="20"/>
              </w:rPr>
            </w:pPr>
            <w:r>
              <w:rPr>
                <w:rFonts w:ascii="Times New Roman" w:hAnsi="Times New Roman"/>
                <w:b w:val="false"/>
                <w:sz w:val="20"/>
              </w:rPr>
              <w:t>Chief Executive Officer and President</w:t>
            </w:r>
          </w:p>
          <w:p>
            <w:pPr>
              <w:pStyle w:val="TableContents"/>
              <w:pBdr/>
              <w:spacing w:lineRule="auto" w:line="252" w:before="0" w:after="0"/>
              <w:ind w:left="0" w:right="0" w:hanging="240"/>
              <w:jc w:val="left"/>
              <w:rPr>
                <w:rFonts w:ascii="Times New Roman" w:hAnsi="Times New Roman"/>
                <w:b w:val="false"/>
                <w:sz w:val="20"/>
              </w:rPr>
            </w:pPr>
            <w:r>
              <w:rPr>
                <w:rFonts w:ascii="Times New Roman" w:hAnsi="Times New Roman"/>
                <w:b w:val="false"/>
                <w:sz w:val="20"/>
              </w:rPr>
              <w:t>Principal Executive Officer</w:t>
            </w:r>
          </w:p>
        </w:tc>
      </w:tr>
      <w:tr>
        <w:trPr/>
        <w:tc>
          <w:tcPr>
            <w:tcW w:w="1741" w:type="dxa"/>
            <w:tcBorders/>
            <w:shd w:fill="auto" w:val="clear"/>
            <w:vAlign w:val="center"/>
          </w:tcPr>
          <w:p>
            <w:pPr>
              <w:pStyle w:val="TableContents"/>
              <w:spacing w:lineRule="auto" w:line="252" w:before="0" w:after="0"/>
              <w:ind w:left="0" w:right="0" w:hanging="0"/>
              <w:jc w:val="left"/>
              <w:rPr/>
            </w:pPr>
            <w:r>
              <w:rPr/>
              <w:t> </w:t>
            </w:r>
          </w:p>
        </w:tc>
        <w:tc>
          <w:tcPr>
            <w:tcW w:w="406" w:type="dxa"/>
            <w:tcBorders/>
            <w:shd w:fill="auto" w:val="clear"/>
            <w:vAlign w:val="center"/>
          </w:tcPr>
          <w:p>
            <w:pPr>
              <w:pStyle w:val="TableContents"/>
              <w:spacing w:lineRule="auto" w:line="252" w:before="0" w:after="0"/>
              <w:ind w:left="0" w:right="0" w:hanging="0"/>
              <w:jc w:val="left"/>
              <w:rPr/>
            </w:pPr>
            <w:r>
              <w:rPr/>
              <w:t> </w:t>
            </w:r>
          </w:p>
        </w:tc>
        <w:tc>
          <w:tcPr>
            <w:tcW w:w="4306" w:type="dxa"/>
            <w:tcBorders/>
            <w:shd w:fill="auto" w:val="clear"/>
            <w:vAlign w:val="center"/>
          </w:tcPr>
          <w:p>
            <w:pPr>
              <w:pStyle w:val="TableContents"/>
              <w:spacing w:lineRule="auto" w:line="252" w:before="0" w:after="0"/>
              <w:ind w:left="0" w:right="0" w:hanging="0"/>
              <w:jc w:val="left"/>
              <w:rPr/>
            </w:pPr>
            <w:r>
              <w:rPr/>
              <w:t> </w:t>
            </w:r>
          </w:p>
        </w:tc>
      </w:tr>
      <w:tr>
        <w:trPr/>
        <w:tc>
          <w:tcPr>
            <w:tcW w:w="1741" w:type="dxa"/>
            <w:tcBorders/>
            <w:shd w:fill="auto" w:val="clear"/>
            <w:vAlign w:val="center"/>
          </w:tcPr>
          <w:p>
            <w:pPr>
              <w:pStyle w:val="TableContents"/>
              <w:spacing w:lineRule="auto" w:line="252" w:before="0" w:after="0"/>
              <w:ind w:left="0" w:right="0" w:hanging="0"/>
              <w:jc w:val="left"/>
              <w:rPr>
                <w:rFonts w:ascii="Times New Roman" w:hAnsi="Times New Roman"/>
                <w:b w:val="false"/>
                <w:sz w:val="20"/>
              </w:rPr>
            </w:pPr>
            <w:r>
              <w:rPr>
                <w:rFonts w:ascii="Times New Roman" w:hAnsi="Times New Roman"/>
                <w:b w:val="false"/>
                <w:sz w:val="20"/>
              </w:rPr>
              <w:t>Date: May 12, 2022</w:t>
            </w:r>
          </w:p>
        </w:tc>
        <w:tc>
          <w:tcPr>
            <w:tcW w:w="406" w:type="dxa"/>
            <w:tcBorders/>
            <w:shd w:fill="auto" w:val="clear"/>
            <w:vAlign w:val="center"/>
          </w:tcPr>
          <w:p>
            <w:pPr>
              <w:pStyle w:val="TableContents"/>
              <w:spacing w:lineRule="auto" w:line="252" w:before="0" w:after="0"/>
              <w:ind w:left="0" w:right="0" w:hanging="0"/>
              <w:jc w:val="left"/>
              <w:rPr>
                <w:rFonts w:ascii="Times New Roman" w:hAnsi="Times New Roman"/>
                <w:b w:val="false"/>
                <w:sz w:val="20"/>
              </w:rPr>
            </w:pPr>
            <w:r>
              <w:rPr>
                <w:rFonts w:ascii="Times New Roman" w:hAnsi="Times New Roman"/>
                <w:b w:val="false"/>
                <w:sz w:val="20"/>
              </w:rPr>
              <w:t>By:</w:t>
            </w:r>
          </w:p>
        </w:tc>
        <w:tc>
          <w:tcPr>
            <w:tcW w:w="4306" w:type="dxa"/>
            <w:tcBorders>
              <w:bottom w:val="single" w:sz="6"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rFonts w:ascii="Times New Roman" w:hAnsi="Times New Roman"/>
                <w:b w:val="false"/>
                <w:sz w:val="20"/>
              </w:rPr>
            </w:pPr>
            <w:r>
              <w:rPr>
                <w:rFonts w:ascii="Times New Roman" w:hAnsi="Times New Roman"/>
                <w:b w:val="false"/>
                <w:sz w:val="20"/>
              </w:rPr>
              <w:t>/s/ Charles N. York II, M.B.A.</w:t>
            </w:r>
          </w:p>
        </w:tc>
      </w:tr>
      <w:tr>
        <w:trPr/>
        <w:tc>
          <w:tcPr>
            <w:tcW w:w="1741" w:type="dxa"/>
            <w:tcBorders/>
            <w:shd w:fill="auto" w:val="clear"/>
            <w:tcMar>
              <w:top w:w="0" w:type="dxa"/>
              <w:left w:w="0" w:type="dxa"/>
              <w:bottom w:w="0" w:type="dxa"/>
              <w:right w:w="0" w:type="dxa"/>
            </w:tcMar>
            <w:vAlign w:val="center"/>
          </w:tcPr>
          <w:p>
            <w:pPr>
              <w:pStyle w:val="TableContents"/>
              <w:spacing w:lineRule="atLeast" w:line="141" w:before="0" w:after="0"/>
              <w:ind w:left="0" w:right="0" w:hanging="0"/>
              <w:jc w:val="left"/>
              <w:rPr/>
            </w:pPr>
            <w:r>
              <w:rPr/>
              <w:t> </w:t>
            </w:r>
          </w:p>
        </w:tc>
        <w:tc>
          <w:tcPr>
            <w:tcW w:w="406" w:type="dxa"/>
            <w:tcBorders/>
            <w:shd w:fill="auto" w:val="clear"/>
            <w:tcMar>
              <w:top w:w="0" w:type="dxa"/>
              <w:left w:w="0" w:type="dxa"/>
              <w:bottom w:w="0" w:type="dxa"/>
              <w:right w:w="0" w:type="dxa"/>
            </w:tcMar>
            <w:vAlign w:val="center"/>
          </w:tcPr>
          <w:p>
            <w:pPr>
              <w:pStyle w:val="TableContents"/>
              <w:spacing w:lineRule="atLeast" w:line="141" w:before="0" w:after="0"/>
              <w:ind w:left="0" w:right="0" w:hanging="0"/>
              <w:jc w:val="left"/>
              <w:rPr/>
            </w:pPr>
            <w:r>
              <w:rPr/>
              <w:t> </w:t>
            </w:r>
          </w:p>
        </w:tc>
        <w:tc>
          <w:tcPr>
            <w:tcW w:w="4306" w:type="dxa"/>
            <w:tcBorders/>
            <w:shd w:fill="auto" w:val="clear"/>
            <w:vAlign w:val="center"/>
          </w:tcPr>
          <w:p>
            <w:pPr>
              <w:pStyle w:val="TableContents"/>
              <w:spacing w:lineRule="auto" w:line="252" w:before="0" w:after="0"/>
              <w:ind w:left="0" w:right="0" w:hanging="0"/>
              <w:jc w:val="left"/>
              <w:rPr>
                <w:rFonts w:ascii="Times New Roman" w:hAnsi="Times New Roman"/>
                <w:b w:val="false"/>
                <w:sz w:val="20"/>
              </w:rPr>
            </w:pPr>
            <w:r>
              <w:rPr>
                <w:rFonts w:ascii="Times New Roman" w:hAnsi="Times New Roman"/>
                <w:b w:val="false"/>
                <w:sz w:val="20"/>
              </w:rPr>
              <w:t>Charles N. York II, M.B.A.</w:t>
            </w:r>
          </w:p>
        </w:tc>
      </w:tr>
      <w:tr>
        <w:trPr/>
        <w:tc>
          <w:tcPr>
            <w:tcW w:w="1741" w:type="dxa"/>
            <w:tcBorders/>
            <w:shd w:fill="auto" w:val="clear"/>
            <w:tcMar>
              <w:top w:w="0" w:type="dxa"/>
              <w:left w:w="0" w:type="dxa"/>
              <w:bottom w:w="0" w:type="dxa"/>
              <w:right w:w="0" w:type="dxa"/>
            </w:tcMar>
            <w:vAlign w:val="center"/>
          </w:tcPr>
          <w:p>
            <w:pPr>
              <w:pStyle w:val="TableContents"/>
              <w:spacing w:lineRule="atLeast" w:line="141" w:before="0" w:after="0"/>
              <w:ind w:left="0" w:right="0" w:hanging="0"/>
              <w:jc w:val="left"/>
              <w:rPr/>
            </w:pPr>
            <w:r>
              <w:rPr/>
              <w:t> </w:t>
            </w:r>
          </w:p>
        </w:tc>
        <w:tc>
          <w:tcPr>
            <w:tcW w:w="406" w:type="dxa"/>
            <w:tcBorders/>
            <w:shd w:fill="auto" w:val="clear"/>
            <w:tcMar>
              <w:top w:w="0" w:type="dxa"/>
              <w:left w:w="0" w:type="dxa"/>
              <w:bottom w:w="0" w:type="dxa"/>
              <w:right w:w="0" w:type="dxa"/>
            </w:tcMar>
            <w:vAlign w:val="center"/>
          </w:tcPr>
          <w:p>
            <w:pPr>
              <w:pStyle w:val="TableContents"/>
              <w:spacing w:lineRule="atLeast" w:line="141" w:before="0" w:after="0"/>
              <w:ind w:left="0" w:right="0" w:hanging="0"/>
              <w:jc w:val="left"/>
              <w:rPr/>
            </w:pPr>
            <w:r>
              <w:rPr/>
              <w:t> </w:t>
            </w:r>
          </w:p>
        </w:tc>
        <w:tc>
          <w:tcPr>
            <w:tcW w:w="4306" w:type="dxa"/>
            <w:tcBorders/>
            <w:shd w:fill="auto" w:val="clear"/>
            <w:vAlign w:val="center"/>
          </w:tcPr>
          <w:p>
            <w:pPr>
              <w:pStyle w:val="TableContents"/>
              <w:spacing w:lineRule="auto" w:line="252" w:before="0" w:after="0"/>
              <w:ind w:left="0" w:right="0" w:hanging="0"/>
              <w:jc w:val="left"/>
              <w:rPr>
                <w:rFonts w:ascii="Times New Roman" w:hAnsi="Times New Roman"/>
                <w:b w:val="false"/>
                <w:sz w:val="20"/>
              </w:rPr>
            </w:pPr>
            <w:r>
              <w:rPr>
                <w:rFonts w:ascii="Times New Roman" w:hAnsi="Times New Roman"/>
                <w:b w:val="false"/>
                <w:sz w:val="20"/>
              </w:rPr>
              <w:t>Chief Operating Officer and Chief Financial Officer</w:t>
            </w:r>
          </w:p>
          <w:p>
            <w:pPr>
              <w:pStyle w:val="TableContents"/>
              <w:pBdr/>
              <w:spacing w:lineRule="auto" w:line="252" w:before="0" w:after="0"/>
              <w:ind w:left="0" w:right="0" w:hanging="240"/>
              <w:jc w:val="left"/>
              <w:rPr>
                <w:rFonts w:ascii="Times New Roman" w:hAnsi="Times New Roman"/>
                <w:b w:val="false"/>
                <w:sz w:val="20"/>
              </w:rPr>
            </w:pPr>
            <w:r>
              <w:rPr>
                <w:rFonts w:ascii="Times New Roman" w:hAnsi="Times New Roman"/>
                <w:b w:val="false"/>
                <w:sz w:val="20"/>
              </w:rPr>
              <w:t>Principal Financial and Accounting Officer</w:t>
            </w:r>
          </w:p>
        </w:tc>
      </w:tr>
    </w:tbl>
    <w:p>
      <w:pPr>
        <w:pStyle w:val="TextBody"/>
        <w:spacing w:lineRule="auto" w:line="273" w:before="0" w:after="0"/>
        <w:jc w:val="left"/>
        <w:rPr/>
      </w:pPr>
      <w:r>
        <w:rPr/>
        <w:t> </w:t>
      </w:r>
    </w:p>
    <w:p>
      <w:pPr>
        <w:pStyle w:val="TextBody"/>
        <w:spacing w:lineRule="auto" w:line="273" w:before="0" w:after="0"/>
        <w:jc w:val="center"/>
        <w:rPr>
          <w:rFonts w:ascii="Times New Roman" w:hAnsi="Times New Roman"/>
          <w:b w:val="false"/>
          <w:sz w:val="20"/>
        </w:rPr>
      </w:pPr>
      <w:r>
        <w:rPr>
          <w:rFonts w:ascii="Times New Roman" w:hAnsi="Times New Roman"/>
          <w:b w:val="false"/>
          <w:sz w:val="20"/>
        </w:rPr>
        <w:t>93</w:t>
      </w:r>
    </w:p>
    <w:p>
      <w:pPr>
        <w:pStyle w:val="HorizontalLine"/>
        <w:rPr/>
      </w:pPr>
      <w:r>
        <w:rPr/>
      </w:r>
      <w:r>
        <w:br w:type="page"/>
      </w:r>
    </w:p>
    <w:p>
      <w:pPr>
        <w:pStyle w:val="TextBody"/>
        <w:spacing w:lineRule="auto" w:line="273" w:before="120" w:after="120"/>
        <w:jc w:val="right"/>
        <w:rPr>
          <w:rFonts w:ascii="Times New Roman" w:hAnsi="Times New Roman"/>
          <w:b/>
          <w:sz w:val="20"/>
        </w:rPr>
      </w:pPr>
      <w:bookmarkStart w:id="21" w:name="dawn-ex31_1.htm"/>
      <w:bookmarkStart w:id="22" w:name="ksdawnex31_1"/>
      <w:bookmarkEnd w:id="21"/>
      <w:bookmarkEnd w:id="22"/>
      <w:r>
        <w:rPr>
          <w:rFonts w:ascii="Times New Roman" w:hAnsi="Times New Roman"/>
          <w:b/>
          <w:sz w:val="20"/>
        </w:rPr>
        <w:t>Exhibit 31.1</w:t>
      </w:r>
    </w:p>
    <w:p>
      <w:pPr>
        <w:pStyle w:val="TextBody"/>
        <w:spacing w:lineRule="auto" w:line="273" w:before="0" w:after="0"/>
        <w:jc w:val="left"/>
        <w:rPr/>
      </w:pPr>
      <w:r>
        <w:rPr/>
        <w:t> </w:t>
      </w:r>
    </w:p>
    <w:p>
      <w:pPr>
        <w:pStyle w:val="TextBody"/>
        <w:spacing w:lineRule="auto" w:line="273" w:before="0" w:after="0"/>
        <w:jc w:val="center"/>
        <w:rPr>
          <w:rFonts w:ascii="Times New Roman" w:hAnsi="Times New Roman"/>
          <w:b/>
          <w:sz w:val="20"/>
        </w:rPr>
      </w:pPr>
      <w:r>
        <w:rPr>
          <w:rFonts w:ascii="Times New Roman" w:hAnsi="Times New Roman"/>
          <w:b/>
          <w:sz w:val="20"/>
        </w:rPr>
        <w:t>CERTIFICATION PURSUANT TO RULE 13a-14(a) OR 15d-14(a) OF</w:t>
      </w:r>
    </w:p>
    <w:p>
      <w:pPr>
        <w:pStyle w:val="TextBody"/>
        <w:spacing w:lineRule="auto" w:line="273" w:before="0" w:after="0"/>
        <w:jc w:val="center"/>
        <w:rPr>
          <w:rFonts w:ascii="Times New Roman" w:hAnsi="Times New Roman"/>
          <w:b/>
          <w:sz w:val="20"/>
        </w:rPr>
      </w:pPr>
      <w:r>
        <w:rPr>
          <w:rFonts w:ascii="Times New Roman" w:hAnsi="Times New Roman"/>
          <w:b/>
          <w:sz w:val="20"/>
        </w:rPr>
        <w:t>THE SECURITIES EXCHANGE ACT OF 1934,</w:t>
      </w:r>
    </w:p>
    <w:p>
      <w:pPr>
        <w:pStyle w:val="TextBody"/>
        <w:spacing w:lineRule="auto" w:line="273" w:before="0" w:after="200"/>
        <w:jc w:val="center"/>
        <w:rPr>
          <w:rFonts w:ascii="Times New Roman" w:hAnsi="Times New Roman"/>
          <w:b/>
          <w:sz w:val="20"/>
        </w:rPr>
      </w:pPr>
      <w:r>
        <w:rPr>
          <w:rFonts w:ascii="Times New Roman" w:hAnsi="Times New Roman"/>
          <w:b/>
          <w:sz w:val="20"/>
        </w:rPr>
        <w:t>AS ADOPTED PURSUANT TO SECTION 302 OF THE SARBANES-OXLEY ACT OF 2002</w:t>
      </w:r>
    </w:p>
    <w:p>
      <w:pPr>
        <w:pStyle w:val="TextBody"/>
        <w:spacing w:lineRule="auto" w:line="273" w:before="0" w:after="200"/>
        <w:jc w:val="left"/>
        <w:rPr>
          <w:rFonts w:ascii="Times New Roman" w:hAnsi="Times New Roman"/>
          <w:b w:val="false"/>
          <w:sz w:val="20"/>
        </w:rPr>
      </w:pPr>
      <w:r>
        <w:rPr>
          <w:rFonts w:ascii="Times New Roman" w:hAnsi="Times New Roman"/>
          <w:b w:val="false"/>
          <w:sz w:val="20"/>
        </w:rPr>
        <w:t>I, Jeremy Bender, certify that:</w:t>
      </w:r>
    </w:p>
    <w:p>
      <w:pPr>
        <w:pStyle w:val="TextBody"/>
        <w:spacing w:lineRule="auto" w:line="273" w:before="0" w:after="200"/>
        <w:jc w:val="left"/>
        <w:rPr>
          <w:rFonts w:ascii="Times New Roman" w:hAnsi="Times New Roman"/>
          <w:b w:val="false"/>
          <w:sz w:val="20"/>
        </w:rPr>
      </w:pPr>
      <w:r>
        <w:rPr>
          <w:rFonts w:ascii="Times New Roman" w:hAnsi="Times New Roman"/>
          <w:b w:val="false"/>
          <w:sz w:val="20"/>
        </w:rPr>
        <w:t>1. I have reviewed this Quarterly Report on Form 10-Q of Day One Biopharmaceuticals, Inc.;</w:t>
      </w:r>
    </w:p>
    <w:p>
      <w:pPr>
        <w:pStyle w:val="TextBody"/>
        <w:spacing w:lineRule="auto" w:line="273" w:before="0" w:after="200"/>
        <w:jc w:val="left"/>
        <w:rPr>
          <w:rFonts w:ascii="Times New Roman" w:hAnsi="Times New Roman"/>
          <w:b w:val="false"/>
          <w:sz w:val="20"/>
        </w:rPr>
      </w:pPr>
      <w:r>
        <w:rPr>
          <w:rFonts w:ascii="Times New Roman" w:hAnsi="Times New Roman"/>
          <w:b w:val="false"/>
          <w:sz w:val="20"/>
        </w:rPr>
        <w:t>2. 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spacing w:lineRule="auto" w:line="273" w:before="0" w:after="200"/>
        <w:jc w:val="left"/>
        <w:rPr>
          <w:rFonts w:ascii="Times New Roman" w:hAnsi="Times New Roman"/>
          <w:b w:val="false"/>
          <w:sz w:val="20"/>
        </w:rPr>
      </w:pPr>
      <w:r>
        <w:rPr>
          <w:rFonts w:ascii="Times New Roman" w:hAnsi="Times New Roman"/>
          <w:b w:val="false"/>
          <w:sz w:val="20"/>
        </w:rPr>
        <w:t>3. 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spacing w:lineRule="auto" w:line="273" w:before="0" w:after="200"/>
        <w:jc w:val="left"/>
        <w:rPr>
          <w:rFonts w:ascii="Times New Roman" w:hAnsi="Times New Roman"/>
          <w:b w:val="false"/>
          <w:sz w:val="20"/>
        </w:rPr>
      </w:pPr>
      <w:r>
        <w:rPr>
          <w:rFonts w:ascii="Times New Roman" w:hAnsi="Times New Roman"/>
          <w:b w:val="false"/>
          <w:sz w:val="20"/>
        </w:rPr>
        <w:t>4. The registrant’s other certifying officer and I are responsible for establishing and maintaining disclosure controls and procedures (as defined in Exchange Act Rules 13a-15(e) and 15d-15(e)) for the registrant and have:</w:t>
      </w:r>
    </w:p>
    <w:p>
      <w:pPr>
        <w:pStyle w:val="TextBody"/>
        <w:spacing w:lineRule="auto" w:line="273" w:before="0" w:after="200"/>
        <w:jc w:val="left"/>
        <w:rPr>
          <w:rFonts w:ascii="Times New Roman" w:hAnsi="Times New Roman"/>
          <w:b w:val="false"/>
          <w:sz w:val="20"/>
        </w:rPr>
      </w:pPr>
      <w:r>
        <w:rPr>
          <w:rFonts w:ascii="Times New Roman" w:hAnsi="Times New Roman"/>
          <w:b w:val="false"/>
          <w:sz w:val="20"/>
        </w:rPr>
        <w:t>a. 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spacing w:lineRule="auto" w:line="273" w:before="0" w:after="200"/>
        <w:jc w:val="left"/>
        <w:rPr>
          <w:rFonts w:ascii="Times New Roman" w:hAnsi="Times New Roman"/>
          <w:b w:val="false"/>
          <w:sz w:val="20"/>
        </w:rPr>
      </w:pPr>
      <w:r>
        <w:rPr>
          <w:rFonts w:ascii="Times New Roman" w:hAnsi="Times New Roman"/>
          <w:b w:val="false"/>
          <w:sz w:val="20"/>
        </w:rPr>
        <w:t>b. 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spacing w:lineRule="auto" w:line="273" w:before="0" w:after="200"/>
        <w:jc w:val="left"/>
        <w:rPr>
          <w:rFonts w:ascii="Times New Roman" w:hAnsi="Times New Roman"/>
          <w:b w:val="false"/>
          <w:sz w:val="20"/>
        </w:rPr>
      </w:pPr>
      <w:r>
        <w:rPr>
          <w:rFonts w:ascii="Times New Roman" w:hAnsi="Times New Roman"/>
          <w:b w:val="false"/>
          <w:sz w:val="20"/>
        </w:rPr>
        <w:t>c. 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spacing w:lineRule="auto" w:line="273" w:before="0" w:after="200"/>
        <w:jc w:val="left"/>
        <w:rPr>
          <w:rFonts w:ascii="Times New Roman" w:hAnsi="Times New Roman"/>
          <w:b w:val="false"/>
          <w:sz w:val="20"/>
        </w:rPr>
      </w:pPr>
      <w:r>
        <w:rPr>
          <w:rFonts w:ascii="Times New Roman" w:hAnsi="Times New Roman"/>
          <w:b w:val="false"/>
          <w:sz w:val="20"/>
        </w:rPr>
        <w:t>5. 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pStyle w:val="TextBody"/>
        <w:spacing w:lineRule="auto" w:line="273" w:before="0" w:after="200"/>
        <w:jc w:val="left"/>
        <w:rPr>
          <w:rFonts w:ascii="Times New Roman" w:hAnsi="Times New Roman"/>
          <w:b w:val="false"/>
          <w:sz w:val="20"/>
        </w:rPr>
      </w:pPr>
      <w:r>
        <w:rPr>
          <w:rFonts w:ascii="Times New Roman" w:hAnsi="Times New Roman"/>
          <w:b w:val="false"/>
          <w:sz w:val="20"/>
        </w:rPr>
        <w:t>a. 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spacing w:lineRule="auto" w:line="273" w:before="0" w:after="200"/>
        <w:jc w:val="left"/>
        <w:rPr>
          <w:rFonts w:ascii="Times New Roman" w:hAnsi="Times New Roman"/>
          <w:b w:val="false"/>
          <w:sz w:val="20"/>
        </w:rPr>
      </w:pPr>
      <w:r>
        <w:rPr>
          <w:rFonts w:ascii="Times New Roman" w:hAnsi="Times New Roman"/>
          <w:b w:val="false"/>
          <w:sz w:val="20"/>
        </w:rPr>
        <w:t>b. Any fraud, whether or not material, that involves management or other employees who have a significant role in the registrant’s internal control over financial reporting.</w:t>
      </w:r>
    </w:p>
    <w:tbl>
      <w:tblPr>
        <w:tblW w:w="4981" w:type="dxa"/>
        <w:jc w:val="left"/>
        <w:tblInd w:w="0" w:type="dxa"/>
        <w:tblCellMar>
          <w:top w:w="28" w:type="dxa"/>
          <w:left w:w="28" w:type="dxa"/>
          <w:bottom w:w="28" w:type="dxa"/>
          <w:right w:w="28" w:type="dxa"/>
        </w:tblCellMar>
      </w:tblPr>
      <w:tblGrid>
        <w:gridCol w:w="1741"/>
        <w:gridCol w:w="335"/>
        <w:gridCol w:w="2905"/>
      </w:tblGrid>
      <w:tr>
        <w:trPr/>
        <w:tc>
          <w:tcPr>
            <w:tcW w:w="1741" w:type="dxa"/>
            <w:tcBorders/>
            <w:shd w:fill="auto" w:val="clear"/>
            <w:vAlign w:val="center"/>
          </w:tcPr>
          <w:p>
            <w:pPr>
              <w:pStyle w:val="TableContents"/>
              <w:spacing w:before="0" w:after="283"/>
              <w:rPr>
                <w:sz w:val="4"/>
                <w:szCs w:val="4"/>
              </w:rPr>
            </w:pPr>
            <w:r>
              <w:rPr>
                <w:sz w:val="4"/>
                <w:szCs w:val="4"/>
              </w:rPr>
            </w:r>
          </w:p>
        </w:tc>
        <w:tc>
          <w:tcPr>
            <w:tcW w:w="335" w:type="dxa"/>
            <w:tcBorders/>
            <w:shd w:fill="auto" w:val="clear"/>
            <w:vAlign w:val="center"/>
          </w:tcPr>
          <w:p>
            <w:pPr>
              <w:pStyle w:val="TableContents"/>
              <w:spacing w:before="0" w:after="283"/>
              <w:rPr>
                <w:sz w:val="4"/>
                <w:szCs w:val="4"/>
              </w:rPr>
            </w:pPr>
            <w:r>
              <w:rPr>
                <w:sz w:val="4"/>
                <w:szCs w:val="4"/>
              </w:rPr>
            </w:r>
          </w:p>
        </w:tc>
        <w:tc>
          <w:tcPr>
            <w:tcW w:w="2905" w:type="dxa"/>
            <w:tcBorders/>
            <w:shd w:fill="auto" w:val="clear"/>
            <w:vAlign w:val="center"/>
          </w:tcPr>
          <w:p>
            <w:pPr>
              <w:pStyle w:val="TableContents"/>
              <w:spacing w:before="0" w:after="283"/>
              <w:rPr>
                <w:sz w:val="4"/>
                <w:szCs w:val="4"/>
              </w:rPr>
            </w:pPr>
            <w:r>
              <w:rPr>
                <w:sz w:val="4"/>
                <w:szCs w:val="4"/>
              </w:rPr>
            </w:r>
          </w:p>
        </w:tc>
      </w:tr>
      <w:tr>
        <w:trPr/>
        <w:tc>
          <w:tcPr>
            <w:tcW w:w="1741" w:type="dxa"/>
            <w:tcBorders/>
            <w:shd w:fill="auto" w:val="clear"/>
            <w:tcMar>
              <w:top w:w="0" w:type="dxa"/>
              <w:left w:w="0" w:type="dxa"/>
              <w:bottom w:w="0" w:type="dxa"/>
              <w:right w:w="0" w:type="dxa"/>
            </w:tcMar>
            <w:vAlign w:val="center"/>
          </w:tcPr>
          <w:p>
            <w:pPr>
              <w:pStyle w:val="TableContents"/>
              <w:spacing w:lineRule="auto" w:line="252" w:before="0" w:after="0"/>
              <w:ind w:left="0" w:right="0" w:hanging="0"/>
              <w:jc w:val="left"/>
              <w:rPr>
                <w:rFonts w:ascii="Times New Roman" w:hAnsi="Times New Roman"/>
                <w:b w:val="false"/>
                <w:sz w:val="20"/>
              </w:rPr>
            </w:pPr>
            <w:r>
              <w:rPr>
                <w:rFonts w:ascii="Times New Roman" w:hAnsi="Times New Roman"/>
                <w:b w:val="false"/>
                <w:sz w:val="20"/>
              </w:rPr>
              <w:t>Date: May 12, 2022</w:t>
            </w:r>
          </w:p>
        </w:tc>
        <w:tc>
          <w:tcPr>
            <w:tcW w:w="3240" w:type="dxa"/>
            <w:gridSpan w:val="2"/>
            <w:tcBorders/>
            <w:shd w:fill="auto" w:val="clear"/>
            <w:tcMar>
              <w:top w:w="0" w:type="dxa"/>
              <w:left w:w="0" w:type="dxa"/>
              <w:bottom w:w="0" w:type="dxa"/>
              <w:right w:w="0" w:type="dxa"/>
            </w:tcMar>
            <w:vAlign w:val="center"/>
          </w:tcPr>
          <w:p>
            <w:pPr>
              <w:pStyle w:val="TableContents"/>
              <w:spacing w:lineRule="auto" w:line="252" w:before="0" w:after="0"/>
              <w:ind w:left="0" w:right="0" w:hanging="0"/>
              <w:jc w:val="left"/>
              <w:rPr/>
            </w:pPr>
            <w:r>
              <w:rPr/>
              <w:t> </w:t>
            </w:r>
          </w:p>
        </w:tc>
      </w:tr>
      <w:tr>
        <w:trPr/>
        <w:tc>
          <w:tcPr>
            <w:tcW w:w="1741" w:type="dxa"/>
            <w:tcBorders/>
            <w:shd w:fill="auto" w:val="clear"/>
            <w:tcMar>
              <w:top w:w="0" w:type="dxa"/>
              <w:left w:w="0" w:type="dxa"/>
              <w:bottom w:w="0" w:type="dxa"/>
              <w:right w:w="0" w:type="dxa"/>
            </w:tcMar>
            <w:vAlign w:val="center"/>
          </w:tcPr>
          <w:p>
            <w:pPr>
              <w:pStyle w:val="TableContents"/>
              <w:spacing w:lineRule="auto" w:line="252" w:before="0" w:after="0"/>
              <w:ind w:left="0" w:right="0" w:hanging="0"/>
              <w:jc w:val="left"/>
              <w:rPr/>
            </w:pPr>
            <w:r>
              <w:rPr/>
              <w:t> </w:t>
            </w:r>
          </w:p>
        </w:tc>
        <w:tc>
          <w:tcPr>
            <w:tcW w:w="335" w:type="dxa"/>
            <w:tcBorders/>
            <w:shd w:fill="auto" w:val="clear"/>
            <w:tcMar>
              <w:top w:w="0" w:type="dxa"/>
              <w:left w:w="0" w:type="dxa"/>
              <w:bottom w:w="0" w:type="dxa"/>
              <w:right w:w="0" w:type="dxa"/>
            </w:tcMar>
            <w:vAlign w:val="center"/>
          </w:tcPr>
          <w:p>
            <w:pPr>
              <w:pStyle w:val="TableContents"/>
              <w:spacing w:lineRule="auto" w:line="252" w:before="0" w:after="0"/>
              <w:ind w:left="0" w:right="0" w:hanging="0"/>
              <w:jc w:val="left"/>
              <w:rPr>
                <w:rFonts w:ascii="Times New Roman" w:hAnsi="Times New Roman"/>
                <w:b w:val="false"/>
                <w:sz w:val="20"/>
              </w:rPr>
            </w:pPr>
            <w:r>
              <w:rPr>
                <w:rFonts w:ascii="Times New Roman" w:hAnsi="Times New Roman"/>
                <w:b w:val="false"/>
                <w:sz w:val="20"/>
              </w:rPr>
              <w:t>/s/</w:t>
            </w:r>
          </w:p>
        </w:tc>
        <w:tc>
          <w:tcPr>
            <w:tcW w:w="2905" w:type="dxa"/>
            <w:tcBorders>
              <w:bottom w:val="single" w:sz="6"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r>
              <w:rPr>
                <w:rFonts w:ascii="Times New Roman" w:hAnsi="Times New Roman"/>
                <w:b w:val="false"/>
                <w:sz w:val="20"/>
              </w:rPr>
              <w:t>Jeremy Bender, Ph.D., M.B.A.</w:t>
            </w:r>
          </w:p>
        </w:tc>
      </w:tr>
      <w:tr>
        <w:trPr/>
        <w:tc>
          <w:tcPr>
            <w:tcW w:w="1741" w:type="dxa"/>
            <w:tcBorders/>
            <w:shd w:fill="auto" w:val="clear"/>
            <w:tcMar>
              <w:top w:w="0" w:type="dxa"/>
              <w:left w:w="0" w:type="dxa"/>
              <w:bottom w:w="0" w:type="dxa"/>
              <w:right w:w="0" w:type="dxa"/>
            </w:tcMar>
            <w:vAlign w:val="center"/>
          </w:tcPr>
          <w:p>
            <w:pPr>
              <w:pStyle w:val="TableContents"/>
              <w:spacing w:lineRule="auto" w:line="252" w:before="0" w:after="0"/>
              <w:ind w:left="0" w:right="0" w:hanging="0"/>
              <w:jc w:val="left"/>
              <w:rPr/>
            </w:pPr>
            <w:r>
              <w:rPr/>
              <w:t> </w:t>
            </w:r>
          </w:p>
        </w:tc>
        <w:tc>
          <w:tcPr>
            <w:tcW w:w="3240" w:type="dxa"/>
            <w:gridSpan w:val="2"/>
            <w:tcBorders/>
            <w:shd w:fill="auto" w:val="clear"/>
            <w:tcMar>
              <w:top w:w="0" w:type="dxa"/>
              <w:left w:w="0" w:type="dxa"/>
              <w:bottom w:w="0" w:type="dxa"/>
              <w:right w:w="0" w:type="dxa"/>
            </w:tcMar>
            <w:vAlign w:val="center"/>
          </w:tcPr>
          <w:p>
            <w:pPr>
              <w:pStyle w:val="TableContents"/>
              <w:spacing w:lineRule="auto" w:line="252" w:before="0" w:after="0"/>
              <w:ind w:left="0" w:right="0" w:hanging="0"/>
              <w:jc w:val="left"/>
              <w:rPr>
                <w:rFonts w:ascii="Times New Roman" w:hAnsi="Times New Roman"/>
                <w:b w:val="false"/>
                <w:sz w:val="20"/>
              </w:rPr>
            </w:pPr>
            <w:r>
              <w:rPr>
                <w:rFonts w:ascii="Times New Roman" w:hAnsi="Times New Roman"/>
                <w:b w:val="false"/>
                <w:sz w:val="20"/>
              </w:rPr>
              <w:t>Jeremy Bender, Ph.D., MBA</w:t>
            </w:r>
          </w:p>
        </w:tc>
      </w:tr>
      <w:tr>
        <w:trPr/>
        <w:tc>
          <w:tcPr>
            <w:tcW w:w="1741" w:type="dxa"/>
            <w:tcBorders/>
            <w:shd w:fill="auto" w:val="clear"/>
            <w:tcMar>
              <w:top w:w="0" w:type="dxa"/>
              <w:left w:w="0" w:type="dxa"/>
              <w:bottom w:w="0" w:type="dxa"/>
              <w:right w:w="0" w:type="dxa"/>
            </w:tcMar>
            <w:vAlign w:val="center"/>
          </w:tcPr>
          <w:p>
            <w:pPr>
              <w:pStyle w:val="TableContents"/>
              <w:spacing w:lineRule="auto" w:line="252" w:before="0" w:after="0"/>
              <w:ind w:left="0" w:right="0" w:hanging="0"/>
              <w:jc w:val="left"/>
              <w:rPr/>
            </w:pPr>
            <w:r>
              <w:rPr/>
              <w:t> </w:t>
            </w:r>
          </w:p>
        </w:tc>
        <w:tc>
          <w:tcPr>
            <w:tcW w:w="3240" w:type="dxa"/>
            <w:gridSpan w:val="2"/>
            <w:tcBorders/>
            <w:shd w:fill="auto" w:val="clear"/>
            <w:tcMar>
              <w:top w:w="0" w:type="dxa"/>
              <w:left w:w="0" w:type="dxa"/>
              <w:bottom w:w="0" w:type="dxa"/>
              <w:right w:w="0" w:type="dxa"/>
            </w:tcMar>
            <w:vAlign w:val="center"/>
          </w:tcPr>
          <w:p>
            <w:pPr>
              <w:pStyle w:val="TableContents"/>
              <w:spacing w:lineRule="auto" w:line="252" w:before="0" w:after="0"/>
              <w:ind w:left="0" w:right="0" w:hanging="0"/>
              <w:jc w:val="left"/>
              <w:rPr>
                <w:rFonts w:ascii="Times New Roman" w:hAnsi="Times New Roman"/>
                <w:b w:val="false"/>
                <w:i/>
                <w:sz w:val="20"/>
              </w:rPr>
            </w:pPr>
            <w:r>
              <w:rPr>
                <w:rFonts w:ascii="Times New Roman" w:hAnsi="Times New Roman"/>
                <w:b w:val="false"/>
                <w:i/>
                <w:sz w:val="20"/>
              </w:rPr>
              <w:t>Chief Executive Officer and President</w:t>
            </w:r>
          </w:p>
        </w:tc>
      </w:tr>
      <w:tr>
        <w:trPr/>
        <w:tc>
          <w:tcPr>
            <w:tcW w:w="1741" w:type="dxa"/>
            <w:tcBorders/>
            <w:shd w:fill="auto" w:val="clear"/>
            <w:tcMar>
              <w:top w:w="0" w:type="dxa"/>
              <w:left w:w="0" w:type="dxa"/>
              <w:bottom w:w="0" w:type="dxa"/>
              <w:right w:w="0" w:type="dxa"/>
            </w:tcMar>
            <w:vAlign w:val="center"/>
          </w:tcPr>
          <w:p>
            <w:pPr>
              <w:pStyle w:val="TableContents"/>
              <w:spacing w:lineRule="auto" w:line="252" w:before="0" w:after="0"/>
              <w:ind w:left="0" w:right="0" w:hanging="0"/>
              <w:jc w:val="left"/>
              <w:rPr/>
            </w:pPr>
            <w:r>
              <w:rPr/>
              <w:t> </w:t>
            </w:r>
          </w:p>
        </w:tc>
        <w:tc>
          <w:tcPr>
            <w:tcW w:w="3240" w:type="dxa"/>
            <w:gridSpan w:val="2"/>
            <w:tcBorders/>
            <w:shd w:fill="auto" w:val="clear"/>
            <w:tcMar>
              <w:top w:w="0" w:type="dxa"/>
              <w:left w:w="0" w:type="dxa"/>
              <w:bottom w:w="0" w:type="dxa"/>
              <w:right w:w="0" w:type="dxa"/>
            </w:tcMar>
            <w:vAlign w:val="center"/>
          </w:tcPr>
          <w:p>
            <w:pPr>
              <w:pStyle w:val="TableContents"/>
              <w:spacing w:lineRule="auto" w:line="252" w:before="0" w:after="0"/>
              <w:ind w:left="0" w:right="0" w:hanging="0"/>
              <w:jc w:val="left"/>
              <w:rPr>
                <w:rFonts w:ascii="Times New Roman" w:hAnsi="Times New Roman"/>
                <w:b w:val="false"/>
                <w:i/>
                <w:sz w:val="20"/>
              </w:rPr>
            </w:pPr>
            <w:r>
              <w:rPr>
                <w:rFonts w:ascii="Times New Roman" w:hAnsi="Times New Roman"/>
                <w:b w:val="false"/>
                <w:i/>
                <w:sz w:val="20"/>
              </w:rPr>
              <w:t>(Principal Executive Officer)</w:t>
            </w:r>
          </w:p>
        </w:tc>
      </w:tr>
    </w:tbl>
    <w:p>
      <w:pPr>
        <w:pStyle w:val="TextBody"/>
        <w:pBdr>
          <w:bottom w:val="single" w:sz="6" w:space="1" w:color="000000"/>
        </w:pBdr>
        <w:spacing w:lineRule="atLeast" w:line="141" w:before="0" w:after="0"/>
        <w:jc w:val="left"/>
        <w:rPr/>
      </w:pPr>
      <w:r>
        <w:rPr/>
        <w:t> </w:t>
      </w:r>
    </w:p>
    <w:p>
      <w:pPr>
        <w:pStyle w:val="TextBody"/>
        <w:spacing w:lineRule="auto" w:line="273" w:before="0" w:after="0"/>
        <w:jc w:val="left"/>
        <w:rPr/>
      </w:pPr>
      <w:r>
        <w:rPr/>
        <w:t> </w:t>
      </w:r>
    </w:p>
    <w:p>
      <w:pPr>
        <w:pStyle w:val="TextBody"/>
        <w:spacing w:lineRule="auto" w:line="273" w:before="0" w:after="0"/>
        <w:jc w:val="left"/>
        <w:rPr/>
      </w:pPr>
      <w:r>
        <w:rPr/>
        <w:t> </w:t>
      </w:r>
    </w:p>
    <w:p>
      <w:pPr>
        <w:pStyle w:val="HorizontalLine"/>
        <w:rPr/>
      </w:pPr>
      <w:r>
        <w:rPr/>
      </w:r>
      <w:r>
        <w:br w:type="page"/>
      </w:r>
    </w:p>
    <w:p>
      <w:pPr>
        <w:pStyle w:val="TextBody"/>
        <w:spacing w:lineRule="auto" w:line="273" w:before="120" w:after="120"/>
        <w:jc w:val="right"/>
        <w:rPr>
          <w:rFonts w:ascii="Times New Roman" w:hAnsi="Times New Roman"/>
          <w:b/>
          <w:sz w:val="20"/>
        </w:rPr>
      </w:pPr>
      <w:bookmarkStart w:id="23" w:name="dawn-ex31_2.htm"/>
      <w:bookmarkStart w:id="24" w:name="ksdawnex31_2"/>
      <w:bookmarkEnd w:id="23"/>
      <w:bookmarkEnd w:id="24"/>
      <w:r>
        <w:rPr>
          <w:rFonts w:ascii="Times New Roman" w:hAnsi="Times New Roman"/>
          <w:b/>
          <w:sz w:val="20"/>
        </w:rPr>
        <w:t>Exhibit 31.2</w:t>
      </w:r>
    </w:p>
    <w:p>
      <w:pPr>
        <w:pStyle w:val="TextBody"/>
        <w:spacing w:lineRule="auto" w:line="273" w:before="0" w:after="0"/>
        <w:jc w:val="left"/>
        <w:rPr/>
      </w:pPr>
      <w:r>
        <w:rPr/>
        <w:t> </w:t>
      </w:r>
    </w:p>
    <w:p>
      <w:pPr>
        <w:pStyle w:val="TextBody"/>
        <w:spacing w:lineRule="auto" w:line="273" w:before="0" w:after="0"/>
        <w:jc w:val="center"/>
        <w:rPr>
          <w:rFonts w:ascii="Times New Roman" w:hAnsi="Times New Roman"/>
          <w:b/>
          <w:sz w:val="20"/>
        </w:rPr>
      </w:pPr>
      <w:r>
        <w:rPr>
          <w:rFonts w:ascii="Times New Roman" w:hAnsi="Times New Roman"/>
          <w:b/>
          <w:sz w:val="20"/>
        </w:rPr>
        <w:t>CERTIFICATION PURSUANT TO RULE 13a-14(a) OR 15d-14(a) OF</w:t>
      </w:r>
    </w:p>
    <w:p>
      <w:pPr>
        <w:pStyle w:val="TextBody"/>
        <w:spacing w:lineRule="auto" w:line="273" w:before="0" w:after="0"/>
        <w:jc w:val="center"/>
        <w:rPr>
          <w:rFonts w:ascii="Times New Roman" w:hAnsi="Times New Roman"/>
          <w:b/>
          <w:sz w:val="20"/>
        </w:rPr>
      </w:pPr>
      <w:r>
        <w:rPr>
          <w:rFonts w:ascii="Times New Roman" w:hAnsi="Times New Roman"/>
          <w:b/>
          <w:sz w:val="20"/>
        </w:rPr>
        <w:t>THE SECURITIES EXCHANGE ACT OF 1934,</w:t>
      </w:r>
    </w:p>
    <w:p>
      <w:pPr>
        <w:pStyle w:val="TextBody"/>
        <w:spacing w:lineRule="auto" w:line="273" w:before="0" w:after="200"/>
        <w:jc w:val="center"/>
        <w:rPr>
          <w:rFonts w:ascii="Times New Roman" w:hAnsi="Times New Roman"/>
          <w:b/>
          <w:sz w:val="20"/>
        </w:rPr>
      </w:pPr>
      <w:r>
        <w:rPr>
          <w:rFonts w:ascii="Times New Roman" w:hAnsi="Times New Roman"/>
          <w:b/>
          <w:sz w:val="20"/>
        </w:rPr>
        <w:t>AS ADOPTED PURSUANT TO SECTION 302 OF THE SARBANES-OXLEY ACT OF 2002</w:t>
      </w:r>
    </w:p>
    <w:p>
      <w:pPr>
        <w:pStyle w:val="TextBody"/>
        <w:spacing w:lineRule="auto" w:line="273" w:before="0" w:after="200"/>
        <w:jc w:val="left"/>
        <w:rPr>
          <w:rFonts w:ascii="Times New Roman" w:hAnsi="Times New Roman"/>
          <w:b w:val="false"/>
          <w:sz w:val="20"/>
        </w:rPr>
      </w:pPr>
      <w:r>
        <w:rPr>
          <w:rFonts w:ascii="Times New Roman" w:hAnsi="Times New Roman"/>
          <w:b w:val="false"/>
          <w:sz w:val="20"/>
        </w:rPr>
        <w:t>I, Charles N. York II, certify that:</w:t>
      </w:r>
    </w:p>
    <w:p>
      <w:pPr>
        <w:pStyle w:val="TextBody"/>
        <w:spacing w:lineRule="auto" w:line="273" w:before="0" w:after="200"/>
        <w:jc w:val="left"/>
        <w:rPr>
          <w:rFonts w:ascii="Times New Roman" w:hAnsi="Times New Roman"/>
          <w:b w:val="false"/>
          <w:sz w:val="20"/>
        </w:rPr>
      </w:pPr>
      <w:r>
        <w:rPr>
          <w:rFonts w:ascii="Times New Roman" w:hAnsi="Times New Roman"/>
          <w:b w:val="false"/>
          <w:sz w:val="20"/>
        </w:rPr>
        <w:t>1. I have reviewed this Quarterly Report on Form 10-Q of Day One Biopharmaceuticals, Inc.;</w:t>
      </w:r>
    </w:p>
    <w:p>
      <w:pPr>
        <w:pStyle w:val="TextBody"/>
        <w:spacing w:lineRule="auto" w:line="273" w:before="0" w:after="200"/>
        <w:jc w:val="left"/>
        <w:rPr>
          <w:rFonts w:ascii="Times New Roman" w:hAnsi="Times New Roman"/>
          <w:b w:val="false"/>
          <w:sz w:val="20"/>
        </w:rPr>
      </w:pPr>
      <w:r>
        <w:rPr>
          <w:rFonts w:ascii="Times New Roman" w:hAnsi="Times New Roman"/>
          <w:b w:val="false"/>
          <w:sz w:val="20"/>
        </w:rPr>
        <w:t>2. 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spacing w:lineRule="auto" w:line="273" w:before="0" w:after="200"/>
        <w:jc w:val="left"/>
        <w:rPr>
          <w:rFonts w:ascii="Times New Roman" w:hAnsi="Times New Roman"/>
          <w:b w:val="false"/>
          <w:sz w:val="20"/>
        </w:rPr>
      </w:pPr>
      <w:r>
        <w:rPr>
          <w:rFonts w:ascii="Times New Roman" w:hAnsi="Times New Roman"/>
          <w:b w:val="false"/>
          <w:sz w:val="20"/>
        </w:rPr>
        <w:t>3. 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spacing w:lineRule="auto" w:line="273" w:before="0" w:after="200"/>
        <w:jc w:val="left"/>
        <w:rPr>
          <w:rFonts w:ascii="Times New Roman" w:hAnsi="Times New Roman"/>
          <w:b w:val="false"/>
          <w:sz w:val="20"/>
        </w:rPr>
      </w:pPr>
      <w:r>
        <w:rPr>
          <w:rFonts w:ascii="Times New Roman" w:hAnsi="Times New Roman"/>
          <w:b w:val="false"/>
          <w:sz w:val="20"/>
        </w:rPr>
        <w:t>4. The registrant’s other certifying officer and I are responsible for establishing and maintaining disclosure controls and procedures (as defined in Exchange Act Rules 13a-15(e) and 15d-15(e)) for the registrant and have:</w:t>
      </w:r>
    </w:p>
    <w:p>
      <w:pPr>
        <w:pStyle w:val="TextBody"/>
        <w:spacing w:lineRule="auto" w:line="273" w:before="0" w:after="200"/>
        <w:jc w:val="left"/>
        <w:rPr>
          <w:rFonts w:ascii="Times New Roman" w:hAnsi="Times New Roman"/>
          <w:b w:val="false"/>
          <w:sz w:val="20"/>
        </w:rPr>
      </w:pPr>
      <w:r>
        <w:rPr>
          <w:rFonts w:ascii="Times New Roman" w:hAnsi="Times New Roman"/>
          <w:b w:val="false"/>
          <w:sz w:val="20"/>
        </w:rPr>
        <w:t>a. 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spacing w:lineRule="auto" w:line="273" w:before="0" w:after="200"/>
        <w:jc w:val="left"/>
        <w:rPr>
          <w:rFonts w:ascii="Times New Roman" w:hAnsi="Times New Roman"/>
          <w:b w:val="false"/>
          <w:sz w:val="20"/>
        </w:rPr>
      </w:pPr>
      <w:r>
        <w:rPr>
          <w:rFonts w:ascii="Times New Roman" w:hAnsi="Times New Roman"/>
          <w:b w:val="false"/>
          <w:sz w:val="20"/>
        </w:rPr>
        <w:t>b. 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spacing w:lineRule="auto" w:line="273" w:before="0" w:after="200"/>
        <w:jc w:val="left"/>
        <w:rPr>
          <w:rFonts w:ascii="Times New Roman" w:hAnsi="Times New Roman"/>
          <w:b w:val="false"/>
          <w:sz w:val="20"/>
        </w:rPr>
      </w:pPr>
      <w:r>
        <w:rPr>
          <w:rFonts w:ascii="Times New Roman" w:hAnsi="Times New Roman"/>
          <w:b w:val="false"/>
          <w:sz w:val="20"/>
        </w:rPr>
        <w:t>c. 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spacing w:lineRule="auto" w:line="273" w:before="0" w:after="200"/>
        <w:jc w:val="left"/>
        <w:rPr>
          <w:rFonts w:ascii="Times New Roman" w:hAnsi="Times New Roman"/>
          <w:b w:val="false"/>
          <w:sz w:val="20"/>
        </w:rPr>
      </w:pPr>
      <w:r>
        <w:rPr>
          <w:rFonts w:ascii="Times New Roman" w:hAnsi="Times New Roman"/>
          <w:b w:val="false"/>
          <w:sz w:val="20"/>
        </w:rPr>
        <w:t>5. 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pStyle w:val="TextBody"/>
        <w:spacing w:lineRule="auto" w:line="273" w:before="0" w:after="200"/>
        <w:jc w:val="left"/>
        <w:rPr>
          <w:rFonts w:ascii="Times New Roman" w:hAnsi="Times New Roman"/>
          <w:b w:val="false"/>
          <w:sz w:val="20"/>
        </w:rPr>
      </w:pPr>
      <w:r>
        <w:rPr>
          <w:rFonts w:ascii="Times New Roman" w:hAnsi="Times New Roman"/>
          <w:b w:val="false"/>
          <w:sz w:val="20"/>
        </w:rPr>
        <w:t>a. 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spacing w:lineRule="auto" w:line="273" w:before="0" w:after="200"/>
        <w:jc w:val="left"/>
        <w:rPr>
          <w:rFonts w:ascii="Times New Roman" w:hAnsi="Times New Roman"/>
          <w:b w:val="false"/>
          <w:sz w:val="20"/>
        </w:rPr>
      </w:pPr>
      <w:r>
        <w:rPr>
          <w:rFonts w:ascii="Times New Roman" w:hAnsi="Times New Roman"/>
          <w:b w:val="false"/>
          <w:sz w:val="20"/>
        </w:rPr>
        <w:t>b. Any fraud, whether or not material, that involves management or other employees who have a significant role in the registrant’s internal control over financial reporting.</w:t>
      </w:r>
    </w:p>
    <w:tbl>
      <w:tblPr>
        <w:tblW w:w="7051" w:type="dxa"/>
        <w:jc w:val="left"/>
        <w:tblInd w:w="0" w:type="dxa"/>
        <w:tblCellMar>
          <w:top w:w="28" w:type="dxa"/>
          <w:left w:w="28" w:type="dxa"/>
          <w:bottom w:w="28" w:type="dxa"/>
          <w:right w:w="28" w:type="dxa"/>
        </w:tblCellMar>
      </w:tblPr>
      <w:tblGrid>
        <w:gridCol w:w="1741"/>
        <w:gridCol w:w="618"/>
        <w:gridCol w:w="4692"/>
      </w:tblGrid>
      <w:tr>
        <w:trPr/>
        <w:tc>
          <w:tcPr>
            <w:tcW w:w="1741" w:type="dxa"/>
            <w:tcBorders/>
            <w:shd w:fill="auto" w:val="clear"/>
            <w:vAlign w:val="center"/>
          </w:tcPr>
          <w:p>
            <w:pPr>
              <w:pStyle w:val="TableContents"/>
              <w:spacing w:before="0" w:after="283"/>
              <w:rPr>
                <w:sz w:val="4"/>
                <w:szCs w:val="4"/>
              </w:rPr>
            </w:pPr>
            <w:r>
              <w:rPr>
                <w:sz w:val="4"/>
                <w:szCs w:val="4"/>
              </w:rPr>
            </w:r>
          </w:p>
        </w:tc>
        <w:tc>
          <w:tcPr>
            <w:tcW w:w="618" w:type="dxa"/>
            <w:tcBorders/>
            <w:shd w:fill="auto" w:val="clear"/>
            <w:vAlign w:val="center"/>
          </w:tcPr>
          <w:p>
            <w:pPr>
              <w:pStyle w:val="TableContents"/>
              <w:spacing w:before="0" w:after="283"/>
              <w:rPr>
                <w:sz w:val="4"/>
                <w:szCs w:val="4"/>
              </w:rPr>
            </w:pPr>
            <w:r>
              <w:rPr>
                <w:sz w:val="4"/>
                <w:szCs w:val="4"/>
              </w:rPr>
            </w:r>
          </w:p>
        </w:tc>
        <w:tc>
          <w:tcPr>
            <w:tcW w:w="4692" w:type="dxa"/>
            <w:tcBorders/>
            <w:shd w:fill="auto" w:val="clear"/>
            <w:vAlign w:val="center"/>
          </w:tcPr>
          <w:p>
            <w:pPr>
              <w:pStyle w:val="TableContents"/>
              <w:spacing w:before="0" w:after="283"/>
              <w:rPr>
                <w:sz w:val="4"/>
                <w:szCs w:val="4"/>
              </w:rPr>
            </w:pPr>
            <w:r>
              <w:rPr>
                <w:sz w:val="4"/>
                <w:szCs w:val="4"/>
              </w:rPr>
            </w:r>
          </w:p>
        </w:tc>
      </w:tr>
      <w:tr>
        <w:trPr/>
        <w:tc>
          <w:tcPr>
            <w:tcW w:w="1741" w:type="dxa"/>
            <w:tcBorders/>
            <w:shd w:fill="auto" w:val="clear"/>
            <w:tcMar>
              <w:top w:w="0" w:type="dxa"/>
              <w:left w:w="0" w:type="dxa"/>
              <w:bottom w:w="0" w:type="dxa"/>
              <w:right w:w="0" w:type="dxa"/>
            </w:tcMar>
            <w:vAlign w:val="center"/>
          </w:tcPr>
          <w:p>
            <w:pPr>
              <w:pStyle w:val="TableContents"/>
              <w:spacing w:lineRule="auto" w:line="252" w:before="0" w:after="0"/>
              <w:ind w:left="0" w:right="0" w:hanging="0"/>
              <w:jc w:val="left"/>
              <w:rPr>
                <w:rFonts w:ascii="Times New Roman" w:hAnsi="Times New Roman"/>
                <w:b w:val="false"/>
                <w:sz w:val="20"/>
              </w:rPr>
            </w:pPr>
            <w:r>
              <w:rPr>
                <w:rFonts w:ascii="Times New Roman" w:hAnsi="Times New Roman"/>
                <w:b w:val="false"/>
                <w:sz w:val="20"/>
              </w:rPr>
              <w:t>Date: May 12, 2022</w:t>
            </w:r>
          </w:p>
        </w:tc>
        <w:tc>
          <w:tcPr>
            <w:tcW w:w="5310" w:type="dxa"/>
            <w:gridSpan w:val="2"/>
            <w:tcBorders/>
            <w:shd w:fill="auto" w:val="clear"/>
            <w:tcMar>
              <w:top w:w="0" w:type="dxa"/>
              <w:left w:w="0" w:type="dxa"/>
              <w:bottom w:w="0" w:type="dxa"/>
              <w:right w:w="0" w:type="dxa"/>
            </w:tcMar>
            <w:vAlign w:val="center"/>
          </w:tcPr>
          <w:p>
            <w:pPr>
              <w:pStyle w:val="TableContents"/>
              <w:spacing w:lineRule="auto" w:line="252" w:before="0" w:after="0"/>
              <w:ind w:left="0" w:right="0" w:hanging="0"/>
              <w:jc w:val="left"/>
              <w:rPr/>
            </w:pPr>
            <w:r>
              <w:rPr/>
              <w:t> </w:t>
            </w:r>
          </w:p>
        </w:tc>
      </w:tr>
      <w:tr>
        <w:trPr/>
        <w:tc>
          <w:tcPr>
            <w:tcW w:w="1741" w:type="dxa"/>
            <w:tcBorders/>
            <w:shd w:fill="auto" w:val="clear"/>
            <w:tcMar>
              <w:top w:w="0" w:type="dxa"/>
              <w:left w:w="0" w:type="dxa"/>
              <w:bottom w:w="0" w:type="dxa"/>
              <w:right w:w="0" w:type="dxa"/>
            </w:tcMar>
            <w:vAlign w:val="center"/>
          </w:tcPr>
          <w:p>
            <w:pPr>
              <w:pStyle w:val="TableContents"/>
              <w:spacing w:lineRule="auto" w:line="252" w:before="0" w:after="0"/>
              <w:ind w:left="0" w:right="0" w:hanging="0"/>
              <w:jc w:val="left"/>
              <w:rPr/>
            </w:pPr>
            <w:r>
              <w:rPr/>
              <w:t> </w:t>
            </w:r>
          </w:p>
        </w:tc>
        <w:tc>
          <w:tcPr>
            <w:tcW w:w="618" w:type="dxa"/>
            <w:tcBorders/>
            <w:shd w:fill="auto" w:val="clear"/>
            <w:tcMar>
              <w:top w:w="0" w:type="dxa"/>
              <w:left w:w="0" w:type="dxa"/>
              <w:bottom w:w="0" w:type="dxa"/>
              <w:right w:w="0" w:type="dxa"/>
            </w:tcMar>
            <w:vAlign w:val="center"/>
          </w:tcPr>
          <w:p>
            <w:pPr>
              <w:pStyle w:val="TableContents"/>
              <w:spacing w:lineRule="auto" w:line="252" w:before="0" w:after="0"/>
              <w:ind w:left="0" w:right="0" w:hanging="0"/>
              <w:jc w:val="left"/>
              <w:rPr>
                <w:rFonts w:ascii="Times New Roman" w:hAnsi="Times New Roman"/>
                <w:b w:val="false"/>
                <w:sz w:val="20"/>
              </w:rPr>
            </w:pPr>
            <w:r>
              <w:rPr>
                <w:rFonts w:ascii="Times New Roman" w:hAnsi="Times New Roman"/>
                <w:b w:val="false"/>
                <w:sz w:val="20"/>
              </w:rPr>
              <w:t>/s/</w:t>
            </w:r>
          </w:p>
        </w:tc>
        <w:tc>
          <w:tcPr>
            <w:tcW w:w="4692" w:type="dxa"/>
            <w:tcBorders>
              <w:bottom w:val="single" w:sz="6"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rFonts w:ascii="Times New Roman" w:hAnsi="Times New Roman"/>
                <w:b w:val="false"/>
                <w:sz w:val="20"/>
              </w:rPr>
            </w:pPr>
            <w:r>
              <w:rPr>
                <w:rFonts w:ascii="Times New Roman" w:hAnsi="Times New Roman"/>
                <w:b w:val="false"/>
                <w:sz w:val="20"/>
              </w:rPr>
              <w:t>Charles N. York II, M.B.A.</w:t>
            </w:r>
          </w:p>
        </w:tc>
      </w:tr>
      <w:tr>
        <w:trPr/>
        <w:tc>
          <w:tcPr>
            <w:tcW w:w="1741" w:type="dxa"/>
            <w:tcBorders/>
            <w:shd w:fill="auto" w:val="clear"/>
            <w:tcMar>
              <w:top w:w="0" w:type="dxa"/>
              <w:left w:w="0" w:type="dxa"/>
              <w:bottom w:w="0" w:type="dxa"/>
              <w:right w:w="0" w:type="dxa"/>
            </w:tcMar>
            <w:vAlign w:val="center"/>
          </w:tcPr>
          <w:p>
            <w:pPr>
              <w:pStyle w:val="TableContents"/>
              <w:spacing w:lineRule="auto" w:line="252" w:before="0" w:after="0"/>
              <w:ind w:left="0" w:right="0" w:hanging="0"/>
              <w:jc w:val="left"/>
              <w:rPr/>
            </w:pPr>
            <w:r>
              <w:rPr/>
              <w:t> </w:t>
            </w:r>
          </w:p>
        </w:tc>
        <w:tc>
          <w:tcPr>
            <w:tcW w:w="5310" w:type="dxa"/>
            <w:gridSpan w:val="2"/>
            <w:tcBorders/>
            <w:shd w:fill="auto" w:val="clear"/>
            <w:tcMar>
              <w:top w:w="0" w:type="dxa"/>
              <w:left w:w="0" w:type="dxa"/>
              <w:bottom w:w="0" w:type="dxa"/>
              <w:right w:w="0" w:type="dxa"/>
            </w:tcMar>
            <w:vAlign w:val="center"/>
          </w:tcPr>
          <w:p>
            <w:pPr>
              <w:pStyle w:val="TableContents"/>
              <w:spacing w:lineRule="auto" w:line="252" w:before="0" w:after="0"/>
              <w:ind w:left="0" w:right="0" w:hanging="0"/>
              <w:jc w:val="left"/>
              <w:rPr>
                <w:rFonts w:ascii="Times New Roman" w:hAnsi="Times New Roman"/>
                <w:b w:val="false"/>
                <w:sz w:val="20"/>
              </w:rPr>
            </w:pPr>
            <w:r>
              <w:rPr>
                <w:rFonts w:ascii="Times New Roman" w:hAnsi="Times New Roman"/>
                <w:b w:val="false"/>
                <w:sz w:val="20"/>
              </w:rPr>
              <w:t>Charles N. York II, M.B.A.</w:t>
            </w:r>
          </w:p>
        </w:tc>
      </w:tr>
      <w:tr>
        <w:trPr/>
        <w:tc>
          <w:tcPr>
            <w:tcW w:w="1741" w:type="dxa"/>
            <w:tcBorders/>
            <w:shd w:fill="auto" w:val="clear"/>
            <w:tcMar>
              <w:top w:w="0" w:type="dxa"/>
              <w:left w:w="0" w:type="dxa"/>
              <w:bottom w:w="0" w:type="dxa"/>
              <w:right w:w="0" w:type="dxa"/>
            </w:tcMar>
            <w:vAlign w:val="center"/>
          </w:tcPr>
          <w:p>
            <w:pPr>
              <w:pStyle w:val="TableContents"/>
              <w:spacing w:lineRule="auto" w:line="252" w:before="0" w:after="0"/>
              <w:ind w:left="0" w:right="0" w:hanging="0"/>
              <w:jc w:val="left"/>
              <w:rPr/>
            </w:pPr>
            <w:r>
              <w:rPr/>
              <w:t> </w:t>
            </w:r>
          </w:p>
        </w:tc>
        <w:tc>
          <w:tcPr>
            <w:tcW w:w="5310" w:type="dxa"/>
            <w:gridSpan w:val="2"/>
            <w:tcBorders/>
            <w:shd w:fill="auto" w:val="clear"/>
            <w:tcMar>
              <w:top w:w="0" w:type="dxa"/>
              <w:left w:w="0" w:type="dxa"/>
              <w:bottom w:w="0" w:type="dxa"/>
              <w:right w:w="0" w:type="dxa"/>
            </w:tcMar>
            <w:vAlign w:val="center"/>
          </w:tcPr>
          <w:p>
            <w:pPr>
              <w:pStyle w:val="TableContents"/>
              <w:spacing w:lineRule="auto" w:line="252" w:before="0" w:after="0"/>
              <w:ind w:left="0" w:right="0" w:hanging="0"/>
              <w:jc w:val="left"/>
              <w:rPr>
                <w:rFonts w:ascii="Times New Roman" w:hAnsi="Times New Roman"/>
                <w:b w:val="false"/>
                <w:i/>
                <w:sz w:val="20"/>
              </w:rPr>
            </w:pPr>
            <w:r>
              <w:rPr>
                <w:rFonts w:ascii="Times New Roman" w:hAnsi="Times New Roman"/>
                <w:b w:val="false"/>
                <w:i/>
                <w:sz w:val="20"/>
              </w:rPr>
              <w:t>Chief Operating Officer and Chief Financial Officer</w:t>
            </w:r>
          </w:p>
        </w:tc>
      </w:tr>
      <w:tr>
        <w:trPr/>
        <w:tc>
          <w:tcPr>
            <w:tcW w:w="1741" w:type="dxa"/>
            <w:tcBorders/>
            <w:shd w:fill="auto" w:val="clear"/>
            <w:tcMar>
              <w:top w:w="0" w:type="dxa"/>
              <w:left w:w="0" w:type="dxa"/>
              <w:bottom w:w="0" w:type="dxa"/>
              <w:right w:w="0" w:type="dxa"/>
            </w:tcMar>
            <w:vAlign w:val="center"/>
          </w:tcPr>
          <w:p>
            <w:pPr>
              <w:pStyle w:val="TableContents"/>
              <w:spacing w:lineRule="auto" w:line="252" w:before="0" w:after="0"/>
              <w:ind w:left="0" w:right="0" w:hanging="0"/>
              <w:jc w:val="left"/>
              <w:rPr/>
            </w:pPr>
            <w:r>
              <w:rPr/>
              <w:t> </w:t>
            </w:r>
          </w:p>
        </w:tc>
        <w:tc>
          <w:tcPr>
            <w:tcW w:w="5310" w:type="dxa"/>
            <w:gridSpan w:val="2"/>
            <w:tcBorders/>
            <w:shd w:fill="auto" w:val="clear"/>
            <w:tcMar>
              <w:top w:w="0" w:type="dxa"/>
              <w:left w:w="0" w:type="dxa"/>
              <w:bottom w:w="0" w:type="dxa"/>
              <w:right w:w="0" w:type="dxa"/>
            </w:tcMar>
            <w:vAlign w:val="center"/>
          </w:tcPr>
          <w:p>
            <w:pPr>
              <w:pStyle w:val="TableContents"/>
              <w:spacing w:lineRule="auto" w:line="252" w:before="0" w:after="0"/>
              <w:ind w:left="0" w:right="0" w:hanging="0"/>
              <w:jc w:val="left"/>
              <w:rPr>
                <w:rFonts w:ascii="Times New Roman" w:hAnsi="Times New Roman"/>
                <w:b w:val="false"/>
                <w:i/>
                <w:sz w:val="20"/>
              </w:rPr>
            </w:pPr>
            <w:r>
              <w:rPr>
                <w:rFonts w:ascii="Times New Roman" w:hAnsi="Times New Roman"/>
                <w:b w:val="false"/>
                <w:i/>
                <w:sz w:val="20"/>
              </w:rPr>
              <w:t>(Principal Financial Officer and Principal Accounting Officer)</w:t>
            </w:r>
          </w:p>
        </w:tc>
      </w:tr>
    </w:tbl>
    <w:p>
      <w:pPr>
        <w:pStyle w:val="TextBody"/>
        <w:pBdr>
          <w:bottom w:val="single" w:sz="6" w:space="1" w:color="000000"/>
        </w:pBdr>
        <w:spacing w:lineRule="atLeast" w:line="141" w:before="0" w:after="0"/>
        <w:jc w:val="left"/>
        <w:rPr/>
      </w:pPr>
      <w:r>
        <w:rPr/>
        <w:t> </w:t>
      </w:r>
    </w:p>
    <w:p>
      <w:pPr>
        <w:pStyle w:val="TextBody"/>
        <w:spacing w:lineRule="auto" w:line="273" w:before="0" w:after="0"/>
        <w:jc w:val="left"/>
        <w:rPr/>
      </w:pPr>
      <w:r>
        <w:rPr/>
        <w:t> </w:t>
      </w:r>
    </w:p>
    <w:p>
      <w:pPr>
        <w:pStyle w:val="TextBody"/>
        <w:spacing w:lineRule="auto" w:line="273" w:before="0" w:after="0"/>
        <w:jc w:val="left"/>
        <w:rPr/>
      </w:pPr>
      <w:r>
        <w:rPr/>
        <w:t> </w:t>
      </w:r>
    </w:p>
    <w:p>
      <w:pPr>
        <w:pStyle w:val="HorizontalLine"/>
        <w:rPr/>
      </w:pPr>
      <w:r>
        <w:rPr/>
      </w:r>
      <w:r>
        <w:br w:type="page"/>
      </w:r>
    </w:p>
    <w:p>
      <w:pPr>
        <w:pStyle w:val="TextBody"/>
        <w:spacing w:lineRule="auto" w:line="273" w:before="120" w:after="120"/>
        <w:jc w:val="right"/>
        <w:rPr>
          <w:rFonts w:ascii="Times New Roman" w:hAnsi="Times New Roman"/>
          <w:b/>
          <w:sz w:val="20"/>
        </w:rPr>
      </w:pPr>
      <w:bookmarkStart w:id="25" w:name="dawn-ex32_1.htm"/>
      <w:bookmarkStart w:id="26" w:name="ksdawnex32_1"/>
      <w:bookmarkEnd w:id="25"/>
      <w:bookmarkEnd w:id="26"/>
      <w:r>
        <w:rPr>
          <w:rFonts w:ascii="Times New Roman" w:hAnsi="Times New Roman"/>
          <w:b/>
          <w:sz w:val="20"/>
        </w:rPr>
        <w:t>Exhibit 32.1</w:t>
      </w:r>
    </w:p>
    <w:p>
      <w:pPr>
        <w:pStyle w:val="TextBody"/>
        <w:spacing w:lineRule="auto" w:line="273" w:before="0" w:after="0"/>
        <w:jc w:val="left"/>
        <w:rPr/>
      </w:pPr>
      <w:r>
        <w:rPr/>
        <w:t> </w:t>
      </w:r>
    </w:p>
    <w:p>
      <w:pPr>
        <w:pStyle w:val="TextBody"/>
        <w:spacing w:lineRule="auto" w:line="273" w:before="0" w:after="0"/>
        <w:jc w:val="center"/>
        <w:rPr>
          <w:rFonts w:ascii="Times New Roman" w:hAnsi="Times New Roman"/>
          <w:b/>
          <w:sz w:val="20"/>
        </w:rPr>
      </w:pPr>
      <w:r>
        <w:rPr>
          <w:rFonts w:ascii="Times New Roman" w:hAnsi="Times New Roman"/>
          <w:b/>
          <w:sz w:val="20"/>
        </w:rPr>
        <w:t>CERTIFICATION PURSUANT TO</w:t>
      </w:r>
    </w:p>
    <w:p>
      <w:pPr>
        <w:pStyle w:val="TextBody"/>
        <w:spacing w:lineRule="auto" w:line="273" w:before="0" w:after="0"/>
        <w:jc w:val="center"/>
        <w:rPr>
          <w:rFonts w:ascii="Times New Roman" w:hAnsi="Times New Roman"/>
          <w:b/>
          <w:sz w:val="20"/>
        </w:rPr>
      </w:pPr>
      <w:r>
        <w:rPr>
          <w:rFonts w:ascii="Times New Roman" w:hAnsi="Times New Roman"/>
          <w:b/>
          <w:sz w:val="20"/>
        </w:rPr>
        <w:t>18 U.S.C. SECTION 1350, AS ADOPTED PURSUANT TO</w:t>
      </w:r>
    </w:p>
    <w:p>
      <w:pPr>
        <w:pStyle w:val="TextBody"/>
        <w:spacing w:lineRule="auto" w:line="273" w:before="0" w:after="200"/>
        <w:jc w:val="center"/>
        <w:rPr>
          <w:rFonts w:ascii="Times New Roman" w:hAnsi="Times New Roman"/>
          <w:b/>
          <w:sz w:val="20"/>
        </w:rPr>
      </w:pPr>
      <w:r>
        <w:rPr>
          <w:rFonts w:ascii="Times New Roman" w:hAnsi="Times New Roman"/>
          <w:b/>
          <w:sz w:val="20"/>
        </w:rPr>
        <w:t>SECTION 906 OF THE SARBANES-OXLEY ACT OF 2002</w:t>
      </w:r>
    </w:p>
    <w:p>
      <w:pPr>
        <w:pStyle w:val="TextBody"/>
        <w:spacing w:lineRule="auto" w:line="273" w:before="0" w:after="200"/>
        <w:jc w:val="left"/>
        <w:rPr>
          <w:rFonts w:ascii="Times New Roman" w:hAnsi="Times New Roman"/>
          <w:b w:val="false"/>
          <w:sz w:val="20"/>
        </w:rPr>
      </w:pPr>
      <w:r>
        <w:rPr>
          <w:rFonts w:ascii="Times New Roman" w:hAnsi="Times New Roman"/>
          <w:b w:val="false"/>
          <w:sz w:val="20"/>
        </w:rPr>
        <w:t>I, Jeremy Bender, Chief Executive Officer of Day One Biopharmaceuticals, Inc. (the “Company”), do hereby certify, pursuant to 18 U.S.C. Section 1350, as adopted pursuant to Section 906 of the Sarbanes-Oxley Act of 2002, that to the best of my knowledge:</w:t>
      </w:r>
    </w:p>
    <w:p>
      <w:pPr>
        <w:pStyle w:val="TextBody"/>
        <w:spacing w:lineRule="auto" w:line="273" w:before="0" w:after="200"/>
        <w:jc w:val="left"/>
        <w:rPr>
          <w:rFonts w:ascii="Times New Roman" w:hAnsi="Times New Roman"/>
          <w:b w:val="false"/>
          <w:sz w:val="20"/>
        </w:rPr>
      </w:pPr>
      <w:r>
        <w:rPr>
          <w:rFonts w:ascii="Times New Roman" w:hAnsi="Times New Roman"/>
          <w:b w:val="false"/>
          <w:sz w:val="20"/>
        </w:rPr>
        <w:t>1. the Quarterly Report on Form 10-Q of the Company for the fiscal quarter ended March 31, 2022 (the “Report”) fully complies with the requirements of Section 13(a) or 15(d) of the Securities Exchange Act of 1934, as amended; and</w:t>
      </w:r>
    </w:p>
    <w:p>
      <w:pPr>
        <w:pStyle w:val="TextBody"/>
        <w:spacing w:lineRule="auto" w:line="273" w:before="0" w:after="200"/>
        <w:jc w:val="left"/>
        <w:rPr>
          <w:rFonts w:ascii="Times New Roman" w:hAnsi="Times New Roman"/>
          <w:b w:val="false"/>
          <w:sz w:val="20"/>
        </w:rPr>
      </w:pPr>
      <w:r>
        <w:rPr>
          <w:rFonts w:ascii="Times New Roman" w:hAnsi="Times New Roman"/>
          <w:b w:val="false"/>
          <w:sz w:val="20"/>
        </w:rPr>
        <w:t>2. the information contained in the Report fairly presents, in all material respects, the financial condition and results of operations of the Company.</w:t>
      </w:r>
    </w:p>
    <w:tbl>
      <w:tblPr>
        <w:tblW w:w="5131" w:type="dxa"/>
        <w:jc w:val="left"/>
        <w:tblInd w:w="0" w:type="dxa"/>
        <w:tblCellMar>
          <w:top w:w="28" w:type="dxa"/>
          <w:left w:w="28" w:type="dxa"/>
          <w:bottom w:w="28" w:type="dxa"/>
          <w:right w:w="28" w:type="dxa"/>
        </w:tblCellMar>
      </w:tblPr>
      <w:tblGrid>
        <w:gridCol w:w="1891"/>
        <w:gridCol w:w="342"/>
        <w:gridCol w:w="2898"/>
      </w:tblGrid>
      <w:tr>
        <w:trPr/>
        <w:tc>
          <w:tcPr>
            <w:tcW w:w="1891" w:type="dxa"/>
            <w:tcBorders/>
            <w:shd w:fill="auto" w:val="clear"/>
            <w:vAlign w:val="center"/>
          </w:tcPr>
          <w:p>
            <w:pPr>
              <w:pStyle w:val="TableContents"/>
              <w:spacing w:before="0" w:after="283"/>
              <w:rPr>
                <w:sz w:val="4"/>
                <w:szCs w:val="4"/>
              </w:rPr>
            </w:pPr>
            <w:r>
              <w:rPr>
                <w:sz w:val="4"/>
                <w:szCs w:val="4"/>
              </w:rPr>
            </w:r>
          </w:p>
        </w:tc>
        <w:tc>
          <w:tcPr>
            <w:tcW w:w="342" w:type="dxa"/>
            <w:tcBorders/>
            <w:shd w:fill="auto" w:val="clear"/>
            <w:vAlign w:val="center"/>
          </w:tcPr>
          <w:p>
            <w:pPr>
              <w:pStyle w:val="TableContents"/>
              <w:spacing w:before="0" w:after="283"/>
              <w:rPr>
                <w:sz w:val="4"/>
                <w:szCs w:val="4"/>
              </w:rPr>
            </w:pPr>
            <w:r>
              <w:rPr>
                <w:sz w:val="4"/>
                <w:szCs w:val="4"/>
              </w:rPr>
            </w:r>
          </w:p>
        </w:tc>
        <w:tc>
          <w:tcPr>
            <w:tcW w:w="2898" w:type="dxa"/>
            <w:tcBorders/>
            <w:shd w:fill="auto" w:val="clear"/>
            <w:vAlign w:val="center"/>
          </w:tcPr>
          <w:p>
            <w:pPr>
              <w:pStyle w:val="TableContents"/>
              <w:spacing w:before="0" w:after="283"/>
              <w:rPr>
                <w:sz w:val="4"/>
                <w:szCs w:val="4"/>
              </w:rPr>
            </w:pPr>
            <w:r>
              <w:rPr>
                <w:sz w:val="4"/>
                <w:szCs w:val="4"/>
              </w:rPr>
            </w:r>
          </w:p>
        </w:tc>
      </w:tr>
      <w:tr>
        <w:trPr/>
        <w:tc>
          <w:tcPr>
            <w:tcW w:w="1891" w:type="dxa"/>
            <w:tcBorders/>
            <w:shd w:fill="auto" w:val="clear"/>
            <w:tcMar>
              <w:top w:w="0" w:type="dxa"/>
              <w:left w:w="0" w:type="dxa"/>
              <w:bottom w:w="0" w:type="dxa"/>
              <w:right w:w="0" w:type="dxa"/>
            </w:tcMar>
            <w:vAlign w:val="center"/>
          </w:tcPr>
          <w:p>
            <w:pPr>
              <w:pStyle w:val="TableContents"/>
              <w:spacing w:lineRule="auto" w:line="252" w:before="0" w:after="0"/>
              <w:ind w:left="0" w:right="0" w:hanging="0"/>
              <w:jc w:val="left"/>
              <w:rPr>
                <w:rFonts w:ascii="Times New Roman" w:hAnsi="Times New Roman"/>
                <w:sz w:val="20"/>
              </w:rPr>
            </w:pPr>
            <w:r>
              <w:rPr>
                <w:rFonts w:ascii="Times New Roman" w:hAnsi="Times New Roman"/>
                <w:b w:val="false"/>
                <w:sz w:val="20"/>
              </w:rPr>
              <w:t>Dated: May 12, 2022</w:t>
            </w:r>
            <w:r>
              <w:rPr>
                <w:rFonts w:ascii="Times New Roman" w:hAnsi="Times New Roman"/>
                <w:sz w:val="20"/>
              </w:rPr>
              <w:t xml:space="preserve"> </w:t>
            </w:r>
          </w:p>
        </w:tc>
        <w:tc>
          <w:tcPr>
            <w:tcW w:w="342" w:type="dxa"/>
            <w:tcBorders/>
            <w:shd w:fill="auto" w:val="clear"/>
            <w:tcMar>
              <w:top w:w="0" w:type="dxa"/>
              <w:left w:w="0" w:type="dxa"/>
              <w:bottom w:w="0" w:type="dxa"/>
              <w:right w:w="0" w:type="dxa"/>
            </w:tcMar>
            <w:vAlign w:val="center"/>
          </w:tcPr>
          <w:p>
            <w:pPr>
              <w:pStyle w:val="TableContents"/>
              <w:spacing w:lineRule="auto" w:line="252" w:before="0" w:after="0"/>
              <w:ind w:left="0" w:right="0" w:hanging="0"/>
              <w:jc w:val="left"/>
              <w:rPr>
                <w:rFonts w:ascii="Times New Roman" w:hAnsi="Times New Roman"/>
                <w:b w:val="false"/>
                <w:sz w:val="20"/>
              </w:rPr>
            </w:pPr>
            <w:r>
              <w:rPr>
                <w:rFonts w:ascii="Times New Roman" w:hAnsi="Times New Roman"/>
                <w:b w:val="false"/>
                <w:sz w:val="20"/>
              </w:rPr>
              <w:t>/s/</w:t>
            </w:r>
          </w:p>
        </w:tc>
        <w:tc>
          <w:tcPr>
            <w:tcW w:w="2898" w:type="dxa"/>
            <w:tcBorders>
              <w:bottom w:val="single" w:sz="6"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rFonts w:ascii="Times New Roman" w:hAnsi="Times New Roman"/>
                <w:b w:val="false"/>
                <w:sz w:val="20"/>
              </w:rPr>
            </w:pPr>
            <w:r>
              <w:rPr>
                <w:rFonts w:ascii="Times New Roman" w:hAnsi="Times New Roman"/>
                <w:b w:val="false"/>
                <w:sz w:val="20"/>
              </w:rPr>
              <w:t>Jeremy Bender, Ph.D., M.B.A.</w:t>
            </w:r>
          </w:p>
        </w:tc>
      </w:tr>
      <w:tr>
        <w:trPr/>
        <w:tc>
          <w:tcPr>
            <w:tcW w:w="1891" w:type="dxa"/>
            <w:tcBorders/>
            <w:shd w:fill="auto" w:val="clear"/>
            <w:tcMar>
              <w:top w:w="0" w:type="dxa"/>
              <w:left w:w="0" w:type="dxa"/>
              <w:bottom w:w="0" w:type="dxa"/>
              <w:right w:w="0" w:type="dxa"/>
            </w:tcMar>
            <w:vAlign w:val="center"/>
          </w:tcPr>
          <w:p>
            <w:pPr>
              <w:pStyle w:val="TableContents"/>
              <w:spacing w:lineRule="auto" w:line="252" w:before="0" w:after="0"/>
              <w:ind w:left="0" w:right="0" w:hanging="0"/>
              <w:jc w:val="left"/>
              <w:rPr/>
            </w:pPr>
            <w:r>
              <w:rPr/>
              <w:t> </w:t>
            </w:r>
          </w:p>
        </w:tc>
        <w:tc>
          <w:tcPr>
            <w:tcW w:w="3240" w:type="dxa"/>
            <w:gridSpan w:val="2"/>
            <w:tcBorders/>
            <w:shd w:fill="auto" w:val="clear"/>
            <w:tcMar>
              <w:top w:w="0" w:type="dxa"/>
              <w:left w:w="0" w:type="dxa"/>
              <w:bottom w:w="0" w:type="dxa"/>
              <w:right w:w="0" w:type="dxa"/>
            </w:tcMar>
            <w:vAlign w:val="center"/>
          </w:tcPr>
          <w:p>
            <w:pPr>
              <w:pStyle w:val="TableContents"/>
              <w:spacing w:lineRule="auto" w:line="252" w:before="0" w:after="0"/>
              <w:ind w:left="0" w:right="0" w:hanging="0"/>
              <w:jc w:val="left"/>
              <w:rPr>
                <w:rFonts w:ascii="Times New Roman" w:hAnsi="Times New Roman"/>
                <w:b w:val="false"/>
                <w:sz w:val="20"/>
              </w:rPr>
            </w:pPr>
            <w:r>
              <w:rPr>
                <w:rFonts w:ascii="Times New Roman" w:hAnsi="Times New Roman"/>
                <w:b w:val="false"/>
                <w:sz w:val="20"/>
              </w:rPr>
              <w:t>Jeremy Bender, Ph.D., MBA</w:t>
            </w:r>
          </w:p>
        </w:tc>
      </w:tr>
      <w:tr>
        <w:trPr/>
        <w:tc>
          <w:tcPr>
            <w:tcW w:w="1891" w:type="dxa"/>
            <w:tcBorders/>
            <w:shd w:fill="auto" w:val="clear"/>
            <w:tcMar>
              <w:top w:w="0" w:type="dxa"/>
              <w:left w:w="0" w:type="dxa"/>
              <w:bottom w:w="0" w:type="dxa"/>
              <w:right w:w="0" w:type="dxa"/>
            </w:tcMar>
            <w:vAlign w:val="center"/>
          </w:tcPr>
          <w:p>
            <w:pPr>
              <w:pStyle w:val="TableContents"/>
              <w:spacing w:lineRule="auto" w:line="252" w:before="0" w:after="0"/>
              <w:ind w:left="0" w:right="0" w:hanging="0"/>
              <w:jc w:val="left"/>
              <w:rPr/>
            </w:pPr>
            <w:r>
              <w:rPr/>
              <w:t> </w:t>
            </w:r>
          </w:p>
        </w:tc>
        <w:tc>
          <w:tcPr>
            <w:tcW w:w="3240" w:type="dxa"/>
            <w:gridSpan w:val="2"/>
            <w:tcBorders/>
            <w:shd w:fill="auto" w:val="clear"/>
            <w:tcMar>
              <w:top w:w="0" w:type="dxa"/>
              <w:left w:w="0" w:type="dxa"/>
              <w:bottom w:w="0" w:type="dxa"/>
              <w:right w:w="0" w:type="dxa"/>
            </w:tcMar>
            <w:vAlign w:val="center"/>
          </w:tcPr>
          <w:p>
            <w:pPr>
              <w:pStyle w:val="TableContents"/>
              <w:spacing w:lineRule="auto" w:line="252" w:before="0" w:after="0"/>
              <w:ind w:left="0" w:right="0" w:hanging="0"/>
              <w:jc w:val="left"/>
              <w:rPr>
                <w:rFonts w:ascii="Times New Roman" w:hAnsi="Times New Roman"/>
                <w:b w:val="false"/>
                <w:i/>
                <w:sz w:val="20"/>
              </w:rPr>
            </w:pPr>
            <w:r>
              <w:rPr>
                <w:rFonts w:ascii="Times New Roman" w:hAnsi="Times New Roman"/>
                <w:b w:val="false"/>
                <w:i/>
                <w:sz w:val="20"/>
              </w:rPr>
              <w:t>Chief Executive Officer and President</w:t>
            </w:r>
          </w:p>
        </w:tc>
      </w:tr>
      <w:tr>
        <w:trPr/>
        <w:tc>
          <w:tcPr>
            <w:tcW w:w="1891" w:type="dxa"/>
            <w:tcBorders/>
            <w:shd w:fill="auto" w:val="clear"/>
            <w:tcMar>
              <w:top w:w="0" w:type="dxa"/>
              <w:left w:w="0" w:type="dxa"/>
              <w:bottom w:w="0" w:type="dxa"/>
              <w:right w:w="0" w:type="dxa"/>
            </w:tcMar>
            <w:vAlign w:val="center"/>
          </w:tcPr>
          <w:p>
            <w:pPr>
              <w:pStyle w:val="TableContents"/>
              <w:spacing w:lineRule="auto" w:line="252" w:before="0" w:after="0"/>
              <w:ind w:left="0" w:right="0" w:hanging="0"/>
              <w:jc w:val="left"/>
              <w:rPr/>
            </w:pPr>
            <w:r>
              <w:rPr/>
              <w:t> </w:t>
            </w:r>
          </w:p>
        </w:tc>
        <w:tc>
          <w:tcPr>
            <w:tcW w:w="3240" w:type="dxa"/>
            <w:gridSpan w:val="2"/>
            <w:tcBorders/>
            <w:shd w:fill="auto" w:val="clear"/>
            <w:tcMar>
              <w:top w:w="0" w:type="dxa"/>
              <w:left w:w="0" w:type="dxa"/>
              <w:bottom w:w="0" w:type="dxa"/>
              <w:right w:w="0" w:type="dxa"/>
            </w:tcMar>
            <w:vAlign w:val="center"/>
          </w:tcPr>
          <w:p>
            <w:pPr>
              <w:pStyle w:val="TableContents"/>
              <w:spacing w:lineRule="auto" w:line="252" w:before="0" w:after="0"/>
              <w:ind w:left="0" w:right="0" w:hanging="0"/>
              <w:jc w:val="left"/>
              <w:rPr>
                <w:rFonts w:ascii="Times New Roman" w:hAnsi="Times New Roman"/>
                <w:b w:val="false"/>
                <w:i/>
                <w:sz w:val="20"/>
              </w:rPr>
            </w:pPr>
            <w:r>
              <w:rPr>
                <w:rFonts w:ascii="Times New Roman" w:hAnsi="Times New Roman"/>
                <w:b w:val="false"/>
                <w:i/>
                <w:sz w:val="20"/>
              </w:rPr>
              <w:t>(Principal Executive Officer)</w:t>
            </w:r>
          </w:p>
        </w:tc>
      </w:tr>
    </w:tbl>
    <w:p>
      <w:pPr>
        <w:pStyle w:val="TextBody"/>
        <w:pBdr>
          <w:bottom w:val="single" w:sz="6" w:space="1" w:color="000000"/>
        </w:pBdr>
        <w:spacing w:lineRule="atLeast" w:line="141" w:before="0" w:after="0"/>
        <w:jc w:val="left"/>
        <w:rPr/>
      </w:pPr>
      <w:r>
        <w:rPr/>
        <w:t> </w:t>
      </w:r>
    </w:p>
    <w:p>
      <w:pPr>
        <w:pStyle w:val="TextBody"/>
        <w:spacing w:lineRule="auto" w:line="273" w:before="0" w:after="0"/>
        <w:jc w:val="left"/>
        <w:rPr/>
      </w:pPr>
      <w:r>
        <w:rPr/>
        <w:t> </w:t>
      </w:r>
    </w:p>
    <w:p>
      <w:pPr>
        <w:pStyle w:val="TextBody"/>
        <w:spacing w:lineRule="auto" w:line="273" w:before="0" w:after="0"/>
        <w:jc w:val="left"/>
        <w:rPr/>
      </w:pPr>
      <w:r>
        <w:rPr/>
        <w:t> </w:t>
      </w:r>
    </w:p>
    <w:p>
      <w:pPr>
        <w:pStyle w:val="HorizontalLine"/>
        <w:rPr/>
      </w:pPr>
      <w:r>
        <w:rPr/>
      </w:r>
      <w:r>
        <w:br w:type="page"/>
      </w:r>
    </w:p>
    <w:p>
      <w:pPr>
        <w:pStyle w:val="TextBody"/>
        <w:spacing w:lineRule="auto" w:line="273" w:before="120" w:after="120"/>
        <w:jc w:val="right"/>
        <w:rPr>
          <w:rFonts w:ascii="Times New Roman" w:hAnsi="Times New Roman"/>
          <w:b/>
          <w:sz w:val="20"/>
        </w:rPr>
      </w:pPr>
      <w:bookmarkStart w:id="27" w:name="dawn-ex32_2.htm"/>
      <w:bookmarkStart w:id="28" w:name="ksdawnex32_2"/>
      <w:bookmarkEnd w:id="27"/>
      <w:bookmarkEnd w:id="28"/>
      <w:r>
        <w:rPr>
          <w:rFonts w:ascii="Times New Roman" w:hAnsi="Times New Roman"/>
          <w:b/>
          <w:sz w:val="20"/>
        </w:rPr>
        <w:t>Exhibit 32.2</w:t>
      </w:r>
    </w:p>
    <w:p>
      <w:pPr>
        <w:pStyle w:val="TextBody"/>
        <w:spacing w:lineRule="auto" w:line="273" w:before="0" w:after="0"/>
        <w:jc w:val="left"/>
        <w:rPr/>
      </w:pPr>
      <w:r>
        <w:rPr/>
        <w:t> </w:t>
      </w:r>
    </w:p>
    <w:p>
      <w:pPr>
        <w:pStyle w:val="TextBody"/>
        <w:spacing w:lineRule="auto" w:line="273" w:before="0" w:after="0"/>
        <w:jc w:val="center"/>
        <w:rPr>
          <w:rFonts w:ascii="Times New Roman" w:hAnsi="Times New Roman"/>
          <w:b/>
          <w:sz w:val="20"/>
        </w:rPr>
      </w:pPr>
      <w:r>
        <w:rPr>
          <w:rFonts w:ascii="Times New Roman" w:hAnsi="Times New Roman"/>
          <w:b/>
          <w:sz w:val="20"/>
        </w:rPr>
        <w:t>CERTIFICATION PURSUANT TO</w:t>
      </w:r>
    </w:p>
    <w:p>
      <w:pPr>
        <w:pStyle w:val="TextBody"/>
        <w:spacing w:lineRule="auto" w:line="273" w:before="0" w:after="0"/>
        <w:jc w:val="center"/>
        <w:rPr>
          <w:rFonts w:ascii="Times New Roman" w:hAnsi="Times New Roman"/>
          <w:b/>
          <w:sz w:val="20"/>
        </w:rPr>
      </w:pPr>
      <w:r>
        <w:rPr>
          <w:rFonts w:ascii="Times New Roman" w:hAnsi="Times New Roman"/>
          <w:b/>
          <w:sz w:val="20"/>
        </w:rPr>
        <w:t>18 U.S.C. SECTION 1350, AS ADOPTED PURSUANT TO</w:t>
      </w:r>
    </w:p>
    <w:p>
      <w:pPr>
        <w:pStyle w:val="TextBody"/>
        <w:spacing w:lineRule="auto" w:line="273" w:before="0" w:after="200"/>
        <w:jc w:val="center"/>
        <w:rPr>
          <w:rFonts w:ascii="Times New Roman" w:hAnsi="Times New Roman"/>
          <w:b/>
          <w:sz w:val="20"/>
        </w:rPr>
      </w:pPr>
      <w:r>
        <w:rPr>
          <w:rFonts w:ascii="Times New Roman" w:hAnsi="Times New Roman"/>
          <w:b/>
          <w:sz w:val="20"/>
        </w:rPr>
        <w:t>SECTION 906 OF THE SARBANES-OXLEY ACT OF 2002</w:t>
      </w:r>
    </w:p>
    <w:p>
      <w:pPr>
        <w:pStyle w:val="TextBody"/>
        <w:spacing w:lineRule="auto" w:line="273" w:before="0" w:after="200"/>
        <w:jc w:val="left"/>
        <w:rPr>
          <w:rFonts w:ascii="Times New Roman" w:hAnsi="Times New Roman"/>
          <w:sz w:val="20"/>
        </w:rPr>
      </w:pPr>
      <w:r>
        <w:rPr>
          <w:rFonts w:ascii="Times New Roman" w:hAnsi="Times New Roman"/>
          <w:b w:val="false"/>
          <w:sz w:val="20"/>
        </w:rPr>
        <w:t>I, Charles N. York II, Chief</w:t>
      </w:r>
      <w:r>
        <w:rPr>
          <w:rFonts w:ascii="Times New Roman" w:hAnsi="Times New Roman"/>
          <w:sz w:val="20"/>
        </w:rPr>
        <w:t xml:space="preserve"> </w:t>
      </w:r>
      <w:r>
        <w:rPr>
          <w:rFonts w:ascii="Times New Roman" w:hAnsi="Times New Roman"/>
          <w:b w:val="false"/>
          <w:sz w:val="20"/>
        </w:rPr>
        <w:t>Financial Officer of Day One Biopharmaceuticals, Inc. (the “Company”), do hereby certify, pursuant to 18 U.S.C. Section 1350, as adopted pursuant to Section 906 of the Sarbanes-Oxley Act of 2002, that to the best of my knowledge:</w:t>
      </w:r>
    </w:p>
    <w:p>
      <w:pPr>
        <w:pStyle w:val="TextBody"/>
        <w:spacing w:lineRule="auto" w:line="273" w:before="0" w:after="200"/>
        <w:jc w:val="left"/>
        <w:rPr>
          <w:rFonts w:ascii="Times New Roman" w:hAnsi="Times New Roman"/>
          <w:b w:val="false"/>
          <w:sz w:val="20"/>
        </w:rPr>
      </w:pPr>
      <w:r>
        <w:rPr>
          <w:rFonts w:ascii="Times New Roman" w:hAnsi="Times New Roman"/>
          <w:b w:val="false"/>
          <w:sz w:val="20"/>
        </w:rPr>
        <w:t>1. the Quarterly Report on Form 10-Q of the Company for the fiscal quarter ended March 31, 2022 (the “Report”) fully complies with the requirements of Section 13(a) or 15(d) of the Securities Exchange Act of 1934, as amended; and</w:t>
      </w:r>
    </w:p>
    <w:p>
      <w:pPr>
        <w:pStyle w:val="TextBody"/>
        <w:spacing w:lineRule="auto" w:line="273" w:before="0" w:after="200"/>
        <w:jc w:val="left"/>
        <w:rPr>
          <w:rFonts w:ascii="Times New Roman" w:hAnsi="Times New Roman"/>
          <w:b w:val="false"/>
          <w:sz w:val="20"/>
        </w:rPr>
      </w:pPr>
      <w:r>
        <w:rPr>
          <w:rFonts w:ascii="Times New Roman" w:hAnsi="Times New Roman"/>
          <w:b w:val="false"/>
          <w:sz w:val="20"/>
        </w:rPr>
        <w:t>2. the information contained in the Report fairly presents, in all material respects, the financial condition and results of operations of the Company.</w:t>
      </w:r>
    </w:p>
    <w:tbl>
      <w:tblPr>
        <w:tblW w:w="7156" w:type="dxa"/>
        <w:jc w:val="left"/>
        <w:tblInd w:w="0" w:type="dxa"/>
        <w:tblCellMar>
          <w:top w:w="28" w:type="dxa"/>
          <w:left w:w="28" w:type="dxa"/>
          <w:bottom w:w="28" w:type="dxa"/>
          <w:right w:w="28" w:type="dxa"/>
        </w:tblCellMar>
      </w:tblPr>
      <w:tblGrid>
        <w:gridCol w:w="1846"/>
        <w:gridCol w:w="618"/>
        <w:gridCol w:w="4692"/>
      </w:tblGrid>
      <w:tr>
        <w:trPr/>
        <w:tc>
          <w:tcPr>
            <w:tcW w:w="1846" w:type="dxa"/>
            <w:tcBorders/>
            <w:shd w:fill="auto" w:val="clear"/>
            <w:vAlign w:val="center"/>
          </w:tcPr>
          <w:p>
            <w:pPr>
              <w:pStyle w:val="TableContents"/>
              <w:spacing w:before="0" w:after="283"/>
              <w:rPr>
                <w:sz w:val="4"/>
                <w:szCs w:val="4"/>
              </w:rPr>
            </w:pPr>
            <w:r>
              <w:rPr>
                <w:sz w:val="4"/>
                <w:szCs w:val="4"/>
              </w:rPr>
            </w:r>
          </w:p>
        </w:tc>
        <w:tc>
          <w:tcPr>
            <w:tcW w:w="618" w:type="dxa"/>
            <w:tcBorders/>
            <w:shd w:fill="auto" w:val="clear"/>
            <w:vAlign w:val="center"/>
          </w:tcPr>
          <w:p>
            <w:pPr>
              <w:pStyle w:val="TableContents"/>
              <w:spacing w:before="0" w:after="283"/>
              <w:rPr>
                <w:sz w:val="4"/>
                <w:szCs w:val="4"/>
              </w:rPr>
            </w:pPr>
            <w:r>
              <w:rPr>
                <w:sz w:val="4"/>
                <w:szCs w:val="4"/>
              </w:rPr>
            </w:r>
          </w:p>
        </w:tc>
        <w:tc>
          <w:tcPr>
            <w:tcW w:w="4692" w:type="dxa"/>
            <w:tcBorders/>
            <w:shd w:fill="auto" w:val="clear"/>
            <w:vAlign w:val="center"/>
          </w:tcPr>
          <w:p>
            <w:pPr>
              <w:pStyle w:val="TableContents"/>
              <w:spacing w:before="0" w:after="283"/>
              <w:rPr>
                <w:sz w:val="4"/>
                <w:szCs w:val="4"/>
              </w:rPr>
            </w:pPr>
            <w:r>
              <w:rPr>
                <w:sz w:val="4"/>
                <w:szCs w:val="4"/>
              </w:rPr>
            </w:r>
          </w:p>
        </w:tc>
      </w:tr>
      <w:tr>
        <w:trPr/>
        <w:tc>
          <w:tcPr>
            <w:tcW w:w="1846" w:type="dxa"/>
            <w:tcBorders/>
            <w:shd w:fill="auto" w:val="clear"/>
            <w:tcMar>
              <w:top w:w="0" w:type="dxa"/>
              <w:left w:w="0" w:type="dxa"/>
              <w:bottom w:w="0" w:type="dxa"/>
              <w:right w:w="0" w:type="dxa"/>
            </w:tcMar>
            <w:vAlign w:val="center"/>
          </w:tcPr>
          <w:p>
            <w:pPr>
              <w:pStyle w:val="TableContents"/>
              <w:spacing w:lineRule="auto" w:line="252" w:before="0" w:after="0"/>
              <w:ind w:left="0" w:right="0" w:hanging="0"/>
              <w:jc w:val="left"/>
              <w:rPr>
                <w:rFonts w:ascii="Times New Roman" w:hAnsi="Times New Roman"/>
                <w:b w:val="false"/>
                <w:sz w:val="20"/>
              </w:rPr>
            </w:pPr>
            <w:r>
              <w:rPr>
                <w:rFonts w:ascii="Times New Roman" w:hAnsi="Times New Roman"/>
                <w:b w:val="false"/>
                <w:sz w:val="20"/>
              </w:rPr>
              <w:t>Dated: May 12, 2022</w:t>
            </w:r>
          </w:p>
        </w:tc>
        <w:tc>
          <w:tcPr>
            <w:tcW w:w="618" w:type="dxa"/>
            <w:tcBorders/>
            <w:shd w:fill="auto" w:val="clear"/>
            <w:tcMar>
              <w:top w:w="0" w:type="dxa"/>
              <w:left w:w="0" w:type="dxa"/>
              <w:bottom w:w="0" w:type="dxa"/>
              <w:right w:w="0" w:type="dxa"/>
            </w:tcMar>
            <w:vAlign w:val="center"/>
          </w:tcPr>
          <w:p>
            <w:pPr>
              <w:pStyle w:val="TableContents"/>
              <w:spacing w:lineRule="auto" w:line="252" w:before="0" w:after="0"/>
              <w:ind w:left="0" w:right="0" w:hanging="0"/>
              <w:jc w:val="left"/>
              <w:rPr>
                <w:rFonts w:ascii="Times New Roman" w:hAnsi="Times New Roman"/>
                <w:b w:val="false"/>
                <w:sz w:val="20"/>
              </w:rPr>
            </w:pPr>
            <w:r>
              <w:rPr>
                <w:rFonts w:ascii="Times New Roman" w:hAnsi="Times New Roman"/>
                <w:b w:val="false"/>
                <w:sz w:val="20"/>
              </w:rPr>
              <w:t>/s/</w:t>
            </w:r>
          </w:p>
        </w:tc>
        <w:tc>
          <w:tcPr>
            <w:tcW w:w="4692" w:type="dxa"/>
            <w:tcBorders>
              <w:bottom w:val="single" w:sz="6"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rFonts w:ascii="Times New Roman" w:hAnsi="Times New Roman"/>
                <w:b w:val="false"/>
                <w:sz w:val="20"/>
              </w:rPr>
            </w:pPr>
            <w:r>
              <w:rPr>
                <w:rFonts w:ascii="Times New Roman" w:hAnsi="Times New Roman"/>
                <w:b w:val="false"/>
                <w:sz w:val="20"/>
              </w:rPr>
              <w:t>Charles N. York II, M.B.A.</w:t>
            </w:r>
          </w:p>
        </w:tc>
      </w:tr>
      <w:tr>
        <w:trPr/>
        <w:tc>
          <w:tcPr>
            <w:tcW w:w="1846" w:type="dxa"/>
            <w:tcBorders/>
            <w:shd w:fill="auto" w:val="clear"/>
            <w:tcMar>
              <w:top w:w="0" w:type="dxa"/>
              <w:left w:w="0" w:type="dxa"/>
              <w:bottom w:w="0" w:type="dxa"/>
              <w:right w:w="0" w:type="dxa"/>
            </w:tcMar>
            <w:vAlign w:val="center"/>
          </w:tcPr>
          <w:p>
            <w:pPr>
              <w:pStyle w:val="TableContents"/>
              <w:spacing w:lineRule="auto" w:line="252" w:before="0" w:after="0"/>
              <w:ind w:left="0" w:right="0" w:hanging="0"/>
              <w:jc w:val="left"/>
              <w:rPr/>
            </w:pPr>
            <w:r>
              <w:rPr/>
              <w:t> </w:t>
            </w:r>
          </w:p>
        </w:tc>
        <w:tc>
          <w:tcPr>
            <w:tcW w:w="5310" w:type="dxa"/>
            <w:gridSpan w:val="2"/>
            <w:tcBorders/>
            <w:shd w:fill="auto" w:val="clear"/>
            <w:tcMar>
              <w:top w:w="0" w:type="dxa"/>
              <w:left w:w="0" w:type="dxa"/>
              <w:bottom w:w="0" w:type="dxa"/>
              <w:right w:w="0" w:type="dxa"/>
            </w:tcMar>
            <w:vAlign w:val="center"/>
          </w:tcPr>
          <w:p>
            <w:pPr>
              <w:pStyle w:val="TableContents"/>
              <w:spacing w:lineRule="auto" w:line="252" w:before="0" w:after="0"/>
              <w:ind w:left="0" w:right="0" w:hanging="0"/>
              <w:jc w:val="left"/>
              <w:rPr>
                <w:rFonts w:ascii="Times New Roman" w:hAnsi="Times New Roman"/>
                <w:b w:val="false"/>
                <w:sz w:val="20"/>
              </w:rPr>
            </w:pPr>
            <w:r>
              <w:rPr>
                <w:rFonts w:ascii="Times New Roman" w:hAnsi="Times New Roman"/>
                <w:b w:val="false"/>
                <w:sz w:val="20"/>
              </w:rPr>
              <w:t>Charles N. York II, M.B.A.</w:t>
            </w:r>
          </w:p>
        </w:tc>
      </w:tr>
      <w:tr>
        <w:trPr/>
        <w:tc>
          <w:tcPr>
            <w:tcW w:w="1846" w:type="dxa"/>
            <w:tcBorders/>
            <w:shd w:fill="auto" w:val="clear"/>
            <w:tcMar>
              <w:top w:w="0" w:type="dxa"/>
              <w:left w:w="0" w:type="dxa"/>
              <w:bottom w:w="0" w:type="dxa"/>
              <w:right w:w="0" w:type="dxa"/>
            </w:tcMar>
            <w:vAlign w:val="center"/>
          </w:tcPr>
          <w:p>
            <w:pPr>
              <w:pStyle w:val="TableContents"/>
              <w:spacing w:lineRule="auto" w:line="252" w:before="0" w:after="0"/>
              <w:ind w:left="0" w:right="0" w:hanging="0"/>
              <w:jc w:val="left"/>
              <w:rPr/>
            </w:pPr>
            <w:r>
              <w:rPr/>
              <w:t> </w:t>
            </w:r>
          </w:p>
        </w:tc>
        <w:tc>
          <w:tcPr>
            <w:tcW w:w="5310" w:type="dxa"/>
            <w:gridSpan w:val="2"/>
            <w:tcBorders/>
            <w:shd w:fill="auto" w:val="clear"/>
            <w:tcMar>
              <w:top w:w="0" w:type="dxa"/>
              <w:left w:w="0" w:type="dxa"/>
              <w:bottom w:w="0" w:type="dxa"/>
              <w:right w:w="0" w:type="dxa"/>
            </w:tcMar>
            <w:vAlign w:val="center"/>
          </w:tcPr>
          <w:p>
            <w:pPr>
              <w:pStyle w:val="TableContents"/>
              <w:spacing w:lineRule="auto" w:line="252" w:before="0" w:after="0"/>
              <w:ind w:left="0" w:right="0" w:hanging="0"/>
              <w:jc w:val="left"/>
              <w:rPr>
                <w:rFonts w:ascii="Times New Roman" w:hAnsi="Times New Roman"/>
                <w:b w:val="false"/>
                <w:i/>
                <w:sz w:val="20"/>
              </w:rPr>
            </w:pPr>
            <w:r>
              <w:rPr>
                <w:rFonts w:ascii="Times New Roman" w:hAnsi="Times New Roman"/>
                <w:b w:val="false"/>
                <w:i/>
                <w:sz w:val="20"/>
              </w:rPr>
              <w:t>Chief Operating Officer and Chief Financial Officer</w:t>
            </w:r>
          </w:p>
        </w:tc>
      </w:tr>
      <w:tr>
        <w:trPr/>
        <w:tc>
          <w:tcPr>
            <w:tcW w:w="1846" w:type="dxa"/>
            <w:tcBorders/>
            <w:shd w:fill="auto" w:val="clear"/>
            <w:tcMar>
              <w:top w:w="0" w:type="dxa"/>
              <w:left w:w="0" w:type="dxa"/>
              <w:bottom w:w="0" w:type="dxa"/>
              <w:right w:w="0" w:type="dxa"/>
            </w:tcMar>
            <w:vAlign w:val="center"/>
          </w:tcPr>
          <w:p>
            <w:pPr>
              <w:pStyle w:val="TableContents"/>
              <w:spacing w:lineRule="auto" w:line="252" w:before="0" w:after="0"/>
              <w:ind w:left="0" w:right="0" w:hanging="0"/>
              <w:jc w:val="left"/>
              <w:rPr/>
            </w:pPr>
            <w:r>
              <w:rPr/>
              <w:t> </w:t>
            </w:r>
          </w:p>
        </w:tc>
        <w:tc>
          <w:tcPr>
            <w:tcW w:w="5310" w:type="dxa"/>
            <w:gridSpan w:val="2"/>
            <w:tcBorders/>
            <w:shd w:fill="auto" w:val="clear"/>
            <w:tcMar>
              <w:top w:w="0" w:type="dxa"/>
              <w:left w:w="0" w:type="dxa"/>
              <w:bottom w:w="0" w:type="dxa"/>
              <w:right w:w="0" w:type="dxa"/>
            </w:tcMar>
            <w:vAlign w:val="center"/>
          </w:tcPr>
          <w:p>
            <w:pPr>
              <w:pStyle w:val="TableContents"/>
              <w:spacing w:lineRule="auto" w:line="252" w:before="0" w:after="0"/>
              <w:ind w:left="0" w:right="0" w:hanging="0"/>
              <w:jc w:val="left"/>
              <w:rPr>
                <w:rFonts w:ascii="Times New Roman" w:hAnsi="Times New Roman"/>
                <w:b w:val="false"/>
                <w:i/>
                <w:sz w:val="20"/>
              </w:rPr>
            </w:pPr>
            <w:r>
              <w:rPr>
                <w:rFonts w:ascii="Times New Roman" w:hAnsi="Times New Roman"/>
                <w:b w:val="false"/>
                <w:i/>
                <w:sz w:val="20"/>
              </w:rPr>
              <w:t>(Principal Financial Officer and Principal Accounting Officer)</w:t>
            </w:r>
          </w:p>
        </w:tc>
      </w:tr>
      <w:tr>
        <w:trPr/>
        <w:tc>
          <w:tcPr>
            <w:tcW w:w="1846" w:type="dxa"/>
            <w:tcBorders/>
            <w:shd w:fill="auto" w:val="clear"/>
            <w:tcMar>
              <w:top w:w="0" w:type="dxa"/>
              <w:left w:w="0" w:type="dxa"/>
              <w:bottom w:w="0" w:type="dxa"/>
              <w:right w:w="0" w:type="dxa"/>
            </w:tcMar>
            <w:vAlign w:val="center"/>
          </w:tcPr>
          <w:p>
            <w:pPr>
              <w:pStyle w:val="TableContents"/>
              <w:spacing w:lineRule="auto" w:line="252" w:before="0" w:after="0"/>
              <w:ind w:left="0" w:right="0" w:hanging="0"/>
              <w:jc w:val="left"/>
              <w:rPr/>
            </w:pPr>
            <w:r>
              <w:rPr/>
              <w:t> </w:t>
            </w:r>
          </w:p>
        </w:tc>
        <w:tc>
          <w:tcPr>
            <w:tcW w:w="5310" w:type="dxa"/>
            <w:gridSpan w:val="2"/>
            <w:tcBorders/>
            <w:shd w:fill="auto" w:val="clear"/>
            <w:tcMar>
              <w:top w:w="0" w:type="dxa"/>
              <w:left w:w="0" w:type="dxa"/>
              <w:bottom w:w="0" w:type="dxa"/>
              <w:right w:w="0" w:type="dxa"/>
            </w:tcMar>
            <w:vAlign w:val="center"/>
          </w:tcPr>
          <w:p>
            <w:pPr>
              <w:pStyle w:val="TableContents"/>
              <w:spacing w:lineRule="auto" w:line="252" w:before="0" w:after="0"/>
              <w:ind w:left="0" w:right="0" w:hanging="0"/>
              <w:jc w:val="left"/>
              <w:rPr/>
            </w:pPr>
            <w:r>
              <w:rPr/>
              <w:t> </w:t>
            </w:r>
          </w:p>
        </w:tc>
      </w:tr>
    </w:tbl>
    <w:p>
      <w:pPr>
        <w:pStyle w:val="TextBody"/>
        <w:pBdr>
          <w:bottom w:val="single" w:sz="6" w:space="1" w:color="000000"/>
        </w:pBdr>
        <w:spacing w:lineRule="atLeast" w:line="141" w:before="0" w:after="0"/>
        <w:jc w:val="left"/>
        <w:rPr/>
      </w:pPr>
      <w:r>
        <w:rPr/>
        <w:t> </w:t>
      </w:r>
    </w:p>
    <w:p>
      <w:pPr>
        <w:pStyle w:val="TextBody"/>
        <w:spacing w:lineRule="auto" w:line="273" w:before="0" w:after="0"/>
        <w:jc w:val="left"/>
        <w:rPr/>
      </w:pPr>
      <w:r>
        <w:rPr/>
        <w:t> </w:t>
      </w:r>
    </w:p>
    <w:p>
      <w:pPr>
        <w:pStyle w:val="TextBody"/>
        <w:spacing w:lineRule="auto" w:line="273" w:before="0" w:after="0"/>
        <w:jc w:val="left"/>
        <w:rPr/>
      </w:pPr>
      <w:r>
        <w:rPr/>
        <w:t> </w:t>
      </w:r>
    </w:p>
    <w:p>
      <w:pPr>
        <w:pStyle w:val="HorizontalLine"/>
        <w:pBdr>
          <w:bottom w:val="double" w:sz="2" w:space="0" w:color="808080"/>
        </w:pBdr>
        <w:spacing w:before="0" w:after="283"/>
        <w:rPr/>
      </w:pPr>
      <w:r>
        <w:rPr/>
      </w:r>
    </w:p>
    <w:sectPr>
      <w:type w:val="nextPage"/>
      <w:pgSz w:w="11906" w:h="16838"/>
      <w:pgMar w:left="1134" w:right="567" w:header="0" w:top="567" w:footer="0" w:bottom="567" w:gutter="0"/>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0"/>
    <w:family w:val="roman"/>
    <w:pitch w:val="variable"/>
  </w:font>
  <w:font w:name="Liberation Sans Unicode MS">
    <w:charset w:val="00"/>
    <w:family w:val="auto"/>
    <w:pitch w:val="variable"/>
  </w:font>
  <w:font w:name="Liberation Sans">
    <w:altName w:val="Arial"/>
    <w:charset w:val="00"/>
    <w:family w:val="swiss"/>
    <w:pitch w:val="variable"/>
  </w:font>
  <w:font w:name="Times New Roman">
    <w:charset w:val="00"/>
    <w:family w:val="auto"/>
    <w:pitch w:val="default"/>
  </w:font>
</w:fonts>
</file>

<file path=word/settings.xml><?xml version="1.0" encoding="utf-8"?>
<w:settings xmlns:w="http://schemas.openxmlformats.org/wordprocessingml/2006/main">
  <w:zoom w:percent="100"/>
  <w:defaultTabStop w:val="1134"/>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WenQuanYi Zen Hei Sharp" w:cs="DejaVu Sans"/>
        <w:sz w:val="24"/>
        <w:szCs w:val="24"/>
        <w:lang w:val="en-US" w:eastAsia="zh-CN" w:bidi="hi-IN"/>
      </w:rPr>
    </w:rPrDefault>
    <w:pPrDefault>
      <w:pPr/>
    </w:pPrDefault>
  </w:docDefaults>
  <w:style w:type="paragraph" w:styleId="Normal">
    <w:name w:val="Normal"/>
    <w:qFormat/>
    <w:pPr>
      <w:widowControl w:val="false"/>
      <w:kinsoku w:val="true"/>
      <w:overflowPunct w:val="true"/>
      <w:autoSpaceDE w:val="true"/>
      <w:bidi w:val="0"/>
    </w:pPr>
    <w:rPr>
      <w:rFonts w:ascii="Liberation Serif" w:hAnsi="Liberation Serif" w:eastAsia="WenQuanYi Zen Hei Sharp" w:cs="DejaVu Sans"/>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Internet 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DejaVu Sans"/>
    </w:rPr>
  </w:style>
  <w:style w:type="paragraph" w:styleId="Caption">
    <w:name w:val="Caption"/>
    <w:basedOn w:val="Normal"/>
    <w:qFormat/>
    <w:pPr>
      <w:suppressLineNumbers/>
      <w:spacing w:before="120" w:after="120"/>
    </w:pPr>
    <w:rPr>
      <w:rFonts w:cs="DejaVu Sans"/>
      <w:i/>
      <w:iCs/>
      <w:sz w:val="24"/>
      <w:szCs w:val="24"/>
    </w:rPr>
  </w:style>
  <w:style w:type="paragraph" w:styleId="List">
    <w:name w:val="List"/>
    <w:basedOn w:val="TextBody"/>
    <w:pPr/>
    <w:rPr>
      <w:rFonts w:cs="DejaVu Sans"/>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fontTable" Target="fontTable.xml"/><Relationship Id="rId4"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LibreOffice/6.2.2.2$Linux_X86_64 LibreOffice_project/2b840030fec2aae0fd2658d8d4f9548af4e3518d</Application>
  <Pages>12</Pages>
  <Words>65005</Words>
  <CharactersWithSpaces>430040</CharactersWithSpaces>
  <Paragraphs>4035</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