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94615</wp:posOffset>
            </wp:positionV>
            <wp:extent cx="154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60"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105410</wp:posOffset>
            </wp:positionV>
            <wp:extent cx="1543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49" w:lineRule="exact"/>
        <w:rPr>
          <w:sz w:val="24"/>
          <w:szCs w:val="24"/>
          <w:color w:val="auto"/>
        </w:rPr>
      </w:pPr>
    </w:p>
    <w:p>
      <w:pPr>
        <w:ind w:left="366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3678555</wp:posOffset>
            </wp:positionH>
            <wp:positionV relativeFrom="paragraph">
              <wp:posOffset>-4445</wp:posOffset>
            </wp:positionV>
            <wp:extent cx="514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106045</wp:posOffset>
            </wp:positionV>
            <wp:extent cx="1543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DAY ONE BIOPHARMACEUTICALS, INC.</w:t>
      </w:r>
    </w:p>
    <w:p>
      <w:pPr>
        <w:spacing w:after="0" w:line="44" w:lineRule="exact"/>
        <w:rPr>
          <w:sz w:val="24"/>
          <w:szCs w:val="24"/>
          <w:color w:val="auto"/>
        </w:rPr>
      </w:pPr>
    </w:p>
    <w:tbl>
      <w:tblPr>
        <w:tblLayout w:type="fixed"/>
        <w:tblInd w:w="1520" w:type="dxa"/>
        <w:tblCellMar>
          <w:top w:w="0" w:type="dxa"/>
          <w:left w:w="0" w:type="dxa"/>
          <w:bottom w:w="0" w:type="dxa"/>
          <w:right w:w="0" w:type="dxa"/>
        </w:tblCellMar>
      </w:tblPr>
      <w:tr>
        <w:trPr>
          <w:trHeight w:val="210"/>
        </w:trPr>
        <w:tc>
          <w:tcPr>
            <w:tcW w:w="6180" w:type="dxa"/>
            <w:vAlign w:val="bottom"/>
            <w:gridSpan w:val="3"/>
          </w:tcPr>
          <w:p>
            <w:pPr>
              <w:jc w:val="center"/>
              <w:ind w:left="1905"/>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1220" w:type="dxa"/>
            <w:vAlign w:val="bottom"/>
          </w:tcPr>
          <w:p>
            <w:pPr>
              <w:spacing w:after="0"/>
              <w:rPr>
                <w:sz w:val="18"/>
                <w:szCs w:val="18"/>
                <w:color w:val="auto"/>
              </w:rPr>
            </w:pPr>
          </w:p>
        </w:tc>
      </w:tr>
      <w:tr>
        <w:trPr>
          <w:trHeight w:val="123"/>
        </w:trPr>
        <w:tc>
          <w:tcPr>
            <w:tcW w:w="2880" w:type="dxa"/>
            <w:vAlign w:val="bottom"/>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461"/>
        </w:trPr>
        <w:tc>
          <w:tcPr>
            <w:tcW w:w="618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tcPr>
          <w:p>
            <w:pPr>
              <w:jc w:val="right"/>
              <w:ind w:right="30"/>
              <w:spacing w:after="0"/>
              <w:rPr>
                <w:sz w:val="20"/>
                <w:szCs w:val="20"/>
                <w:color w:val="auto"/>
              </w:rPr>
            </w:pPr>
            <w:r>
              <w:rPr>
                <w:rFonts w:ascii="Arial" w:cs="Arial" w:eastAsia="Arial" w:hAnsi="Arial"/>
                <w:sz w:val="16"/>
                <w:szCs w:val="16"/>
                <w:b w:val="1"/>
                <w:bCs w:val="1"/>
                <w:color w:val="auto"/>
              </w:rPr>
              <w:t>83-2415215</w:t>
            </w:r>
          </w:p>
        </w:tc>
      </w:tr>
      <w:tr>
        <w:trPr>
          <w:trHeight w:val="135"/>
        </w:trPr>
        <w:tc>
          <w:tcPr>
            <w:tcW w:w="6180" w:type="dxa"/>
            <w:vAlign w:val="bottom"/>
            <w:gridSpan w:val="3"/>
          </w:tcPr>
          <w:p>
            <w:pPr>
              <w:jc w:val="center"/>
              <w:ind w:right="360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220" w:type="dxa"/>
            <w:vAlign w:val="bottom"/>
          </w:tcPr>
          <w:p>
            <w:pPr>
              <w:jc w:val="center"/>
              <w:ind w:left="17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6180" w:type="dxa"/>
            <w:vAlign w:val="bottom"/>
            <w:gridSpan w:val="3"/>
          </w:tcPr>
          <w:p>
            <w:pPr>
              <w:jc w:val="center"/>
              <w:ind w:right="3580"/>
              <w:spacing w:after="0"/>
              <w:rPr>
                <w:sz w:val="20"/>
                <w:szCs w:val="20"/>
                <w:color w:val="auto"/>
              </w:rPr>
            </w:pPr>
            <w:r>
              <w:rPr>
                <w:rFonts w:ascii="Arial" w:cs="Arial" w:eastAsia="Arial" w:hAnsi="Arial"/>
                <w:sz w:val="13"/>
                <w:szCs w:val="13"/>
                <w:b w:val="1"/>
                <w:bCs w:val="1"/>
                <w:color w:val="auto"/>
                <w:w w:val="88"/>
              </w:rPr>
              <w:t>incorporation or organization)</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89"/>
              </w:rPr>
              <w:t>Identification No.)</w:t>
            </w:r>
          </w:p>
        </w:tc>
      </w:tr>
      <w:tr>
        <w:trPr>
          <w:trHeight w:val="407"/>
        </w:trPr>
        <w:tc>
          <w:tcPr>
            <w:tcW w:w="618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2"/>
              </w:rPr>
              <w:t>2000 Sierra Point Parkway, Suite 501</w:t>
            </w:r>
          </w:p>
        </w:tc>
        <w:tc>
          <w:tcPr>
            <w:tcW w:w="1220" w:type="dxa"/>
            <w:vAlign w:val="bottom"/>
          </w:tcPr>
          <w:p>
            <w:pPr>
              <w:jc w:val="right"/>
              <w:ind w:right="210"/>
              <w:spacing w:after="0"/>
              <w:rPr>
                <w:sz w:val="20"/>
                <w:szCs w:val="20"/>
                <w:color w:val="auto"/>
              </w:rPr>
            </w:pPr>
            <w:r>
              <w:rPr>
                <w:rFonts w:ascii="Arial" w:cs="Arial" w:eastAsia="Arial" w:hAnsi="Arial"/>
                <w:sz w:val="16"/>
                <w:szCs w:val="16"/>
                <w:b w:val="1"/>
                <w:bCs w:val="1"/>
                <w:color w:val="auto"/>
              </w:rPr>
              <w:t>94005</w:t>
            </w:r>
          </w:p>
        </w:tc>
      </w:tr>
      <w:tr>
        <w:trPr>
          <w:trHeight w:val="210"/>
        </w:trPr>
        <w:tc>
          <w:tcPr>
            <w:tcW w:w="618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3"/>
              </w:rPr>
              <w:t>Brisbane, CA</w:t>
            </w:r>
          </w:p>
        </w:tc>
        <w:tc>
          <w:tcPr>
            <w:tcW w:w="1220" w:type="dxa"/>
            <w:vAlign w:val="bottom"/>
          </w:tcPr>
          <w:p>
            <w:pPr>
              <w:spacing w:after="0"/>
              <w:rPr>
                <w:sz w:val="18"/>
                <w:szCs w:val="18"/>
                <w:color w:val="auto"/>
              </w:rPr>
            </w:pPr>
          </w:p>
        </w:tc>
      </w:tr>
      <w:tr>
        <w:trPr>
          <w:trHeight w:val="154"/>
        </w:trPr>
        <w:tc>
          <w:tcPr>
            <w:tcW w:w="6180" w:type="dxa"/>
            <w:vAlign w:val="bottom"/>
            <w:gridSpan w:val="3"/>
          </w:tcPr>
          <w:p>
            <w:pPr>
              <w:jc w:val="center"/>
              <w:ind w:right="358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90"/>
              </w:rPr>
              <w:t>(Zip Code)</w:t>
            </w:r>
          </w:p>
        </w:tc>
      </w:tr>
      <w:tr>
        <w:trPr>
          <w:trHeight w:val="189"/>
        </w:trPr>
        <w:tc>
          <w:tcPr>
            <w:tcW w:w="5320" w:type="dxa"/>
            <w:vAlign w:val="bottom"/>
            <w:gridSpan w:val="2"/>
          </w:tcPr>
          <w:p>
            <w:pPr>
              <w:jc w:val="center"/>
              <w:ind w:left="2825"/>
              <w:spacing w:after="0"/>
              <w:rPr>
                <w:sz w:val="20"/>
                <w:szCs w:val="20"/>
                <w:color w:val="auto"/>
              </w:rPr>
            </w:pPr>
            <w:r>
              <w:rPr>
                <w:rFonts w:ascii="Arial" w:cs="Arial" w:eastAsia="Arial" w:hAnsi="Arial"/>
                <w:sz w:val="16"/>
                <w:szCs w:val="16"/>
                <w:b w:val="1"/>
                <w:bCs w:val="1"/>
                <w:color w:val="auto"/>
                <w:w w:val="93"/>
              </w:rPr>
              <w:t>(650) 484-0899</w:t>
            </w: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6180" w:type="dxa"/>
            <w:vAlign w:val="bottom"/>
            <w:gridSpan w:val="3"/>
          </w:tcPr>
          <w:p>
            <w:pPr>
              <w:jc w:val="center"/>
              <w:ind w:left="1965"/>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220" w:type="dxa"/>
            <w:vAlign w:val="bottom"/>
          </w:tcPr>
          <w:p>
            <w:pPr>
              <w:spacing w:after="0"/>
              <w:rPr>
                <w:sz w:val="18"/>
                <w:szCs w:val="18"/>
                <w:color w:val="auto"/>
              </w:rPr>
            </w:pPr>
          </w:p>
        </w:tc>
      </w:tr>
    </w:tbl>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41"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53975</wp:posOffset>
            </wp:positionV>
            <wp:extent cx="1543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0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0" w:lineRule="exact"/>
        <w:rPr>
          <w:sz w:val="24"/>
          <w:szCs w:val="24"/>
          <w:color w:val="auto"/>
        </w:rPr>
      </w:pPr>
    </w:p>
    <w:p>
      <w:pPr>
        <w:spacing w:after="0" w:line="246" w:lineRule="exact"/>
        <w:rPr>
          <w:sz w:val="24"/>
          <w:szCs w:val="24"/>
          <w:color w:val="auto"/>
        </w:rPr>
      </w:pPr>
    </w:p>
    <w:tbl>
      <w:tblPr>
        <w:tblLayout w:type="fixed"/>
        <w:tblInd w:w="20" w:type="dxa"/>
        <w:tblCellMar>
          <w:top w:w="0" w:type="dxa"/>
          <w:left w:w="0" w:type="dxa"/>
          <w:bottom w:w="0" w:type="dxa"/>
          <w:right w:w="0" w:type="dxa"/>
        </w:tblCellMar>
      </w:tblPr>
      <w:tr>
        <w:trPr>
          <w:trHeight w:val="18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60" w:type="dxa"/>
            <w:vAlign w:val="bottom"/>
          </w:tcPr>
          <w:p>
            <w:pPr>
              <w:spacing w:after="0"/>
              <w:rPr>
                <w:sz w:val="16"/>
                <w:szCs w:val="16"/>
                <w:color w:val="auto"/>
              </w:rPr>
            </w:pPr>
          </w:p>
        </w:tc>
        <w:tc>
          <w:tcPr>
            <w:tcW w:w="358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Trading Symbol</w:t>
            </w:r>
          </w:p>
        </w:tc>
        <w:tc>
          <w:tcPr>
            <w:tcW w:w="160" w:type="dxa"/>
            <w:vAlign w:val="bottom"/>
          </w:tcPr>
          <w:p>
            <w:pPr>
              <w:spacing w:after="0"/>
              <w:rPr>
                <w:sz w:val="16"/>
                <w:szCs w:val="16"/>
                <w:color w:val="auto"/>
              </w:rPr>
            </w:pPr>
          </w:p>
        </w:tc>
        <w:tc>
          <w:tcPr>
            <w:tcW w:w="358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3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$0.0001 per share</w:t>
            </w:r>
          </w:p>
        </w:tc>
        <w:tc>
          <w:tcPr>
            <w:tcW w:w="160" w:type="dxa"/>
            <w:vAlign w:val="bottom"/>
          </w:tcPr>
          <w:p>
            <w:pPr>
              <w:spacing w:after="0"/>
              <w:rPr>
                <w:sz w:val="20"/>
                <w:szCs w:val="20"/>
                <w:color w:val="auto"/>
              </w:rPr>
            </w:pPr>
          </w:p>
        </w:tc>
        <w:tc>
          <w:tcPr>
            <w:tcW w:w="3580" w:type="dxa"/>
            <w:vAlign w:val="bottom"/>
          </w:tcPr>
          <w:p>
            <w:pPr>
              <w:ind w:left="1480"/>
              <w:spacing w:after="0"/>
              <w:rPr>
                <w:sz w:val="20"/>
                <w:szCs w:val="20"/>
                <w:color w:val="auto"/>
              </w:rPr>
            </w:pPr>
            <w:r>
              <w:rPr>
                <w:rFonts w:ascii="Arial" w:cs="Arial" w:eastAsia="Arial" w:hAnsi="Arial"/>
                <w:sz w:val="16"/>
                <w:szCs w:val="16"/>
                <w:b w:val="1"/>
                <w:bCs w:val="1"/>
                <w:color w:val="auto"/>
              </w:rPr>
              <w:t>DAWN</w:t>
            </w:r>
          </w:p>
        </w:tc>
        <w:tc>
          <w:tcPr>
            <w:tcW w:w="160" w:type="dxa"/>
            <w:vAlign w:val="bottom"/>
          </w:tcPr>
          <w:p>
            <w:pPr>
              <w:spacing w:after="0"/>
              <w:rPr>
                <w:sz w:val="20"/>
                <w:szCs w:val="20"/>
                <w:color w:val="auto"/>
              </w:rPr>
            </w:pPr>
          </w:p>
        </w:tc>
        <w:tc>
          <w:tcPr>
            <w:tcW w:w="3580" w:type="dxa"/>
            <w:vAlign w:val="bottom"/>
          </w:tcPr>
          <w:p>
            <w:pPr>
              <w:ind w:left="720"/>
              <w:spacing w:after="0"/>
              <w:rPr>
                <w:sz w:val="20"/>
                <w:szCs w:val="20"/>
                <w:color w:val="auto"/>
              </w:rPr>
            </w:pPr>
            <w:r>
              <w:rPr>
                <w:rFonts w:ascii="Arial" w:cs="Arial" w:eastAsia="Arial" w:hAnsi="Arial"/>
                <w:sz w:val="16"/>
                <w:szCs w:val="16"/>
                <w:b w:val="1"/>
                <w:bCs w:val="1"/>
                <w:color w:val="auto"/>
              </w:rPr>
              <w:t>Nasdaq Global Select Market</w:t>
            </w:r>
          </w:p>
        </w:tc>
      </w:tr>
    </w:tbl>
    <w:p>
      <w:pPr>
        <w:spacing w:after="0" w:line="50"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00" w:type="dxa"/>
            <w:vAlign w:val="bottom"/>
          </w:tcPr>
          <w:p>
            <w:pPr>
              <w:ind w:left="29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660"/>
        <w:spacing w:after="0" w:line="228"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2, 2022, the registrant had 73,549,526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This Quarterly Report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our product candidates, potential therapeutic benefits and economic value of our product candidates, use of net proceeds from our public offerings, our ability to maintain and recognize the benefits of certain designations received by product candidates, the timing and results of nonclinical studies and clinical trials, commercial collaboration with third parties, and our ability to recognize milestone and royalty payments from commercialization agreements, the expected impact of the COVID-19 pandemic and other global events, including the recent war in Ukraine,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6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5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Unless the context indicates otherwise, as used in this Quarterly Report on Form 10-Q, the terms “Day One,” “the Company,” “we,” “us,” and “our” refer to Day One Biopharmaceuticals, Inc., a Delaware corporation, and its consolidated subsidiaries taken as a whole, unless otherwise noted. “Day One” and all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2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1"/>
        </w:trPr>
        <w:tc>
          <w:tcPr>
            <w:tcW w:w="11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1120" w:type="dxa"/>
            <w:vAlign w:val="bottom"/>
            <w:gridSpan w:val="3"/>
            <w:vMerge w:val="continue"/>
          </w:tcPr>
          <w:p>
            <w:pPr>
              <w:spacing w:after="0"/>
              <w:rPr>
                <w:sz w:val="16"/>
                <w:szCs w:val="16"/>
                <w:color w:val="auto"/>
              </w:rPr>
            </w:pPr>
          </w:p>
        </w:tc>
        <w:tc>
          <w:tcPr>
            <w:tcW w:w="8960" w:type="dxa"/>
            <w:vAlign w:val="bottom"/>
            <w:gridSpan w:val="17"/>
          </w:tcPr>
          <w:p>
            <w:pPr>
              <w:spacing w:after="0" w:line="190" w:lineRule="exact"/>
              <w:rPr>
                <w:sz w:val="20"/>
                <w:szCs w:val="20"/>
                <w:color w:val="auto"/>
              </w:rPr>
            </w:pPr>
            <w:r>
              <w:rPr>
                <w:rFonts w:ascii="Arial" w:cs="Arial" w:eastAsia="Arial" w:hAnsi="Arial"/>
                <w:sz w:val="18"/>
                <w:szCs w:val="18"/>
                <w:color w:val="0000FF"/>
              </w:rPr>
              <w:t>FINANCIAL INFORMATION</w:t>
            </w:r>
          </w:p>
        </w:tc>
        <w:tc>
          <w:tcPr>
            <w:tcW w:w="116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960" w:type="dxa"/>
            <w:vAlign w:val="bottom"/>
            <w:gridSpan w:val="17"/>
          </w:tcPr>
          <w:p>
            <w:pPr>
              <w:spacing w:after="0"/>
              <w:rPr>
                <w:sz w:val="20"/>
                <w:szCs w:val="20"/>
                <w:color w:val="auto"/>
              </w:rPr>
            </w:pPr>
            <w:r>
              <w:rPr>
                <w:rFonts w:ascii="Arial" w:cs="Arial" w:eastAsia="Arial" w:hAnsi="Arial"/>
                <w:sz w:val="18"/>
                <w:szCs w:val="18"/>
                <w:color w:val="0000FF"/>
              </w:rPr>
              <w:t>Interim Condensed Consolidated Financial Statements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EE"/>
            </w:tcBorders>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Redeemable Convertible Preferred Shares, Redeemable Noncontrolling Interest and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60" w:type="dxa"/>
            <w:vAlign w:val="bottom"/>
            <w:gridSpan w:val="17"/>
          </w:tcPr>
          <w:p>
            <w:pPr>
              <w:spacing w:after="0" w:line="196" w:lineRule="exact"/>
              <w:rPr>
                <w:sz w:val="20"/>
                <w:szCs w:val="20"/>
                <w:color w:val="auto"/>
              </w:rPr>
            </w:pPr>
            <w:r>
              <w:rPr>
                <w:rFonts w:ascii="Arial" w:cs="Arial" w:eastAsia="Arial" w:hAnsi="Arial"/>
                <w:sz w:val="18"/>
                <w:szCs w:val="18"/>
                <w:color w:val="0000FF"/>
              </w:rPr>
              <w:t>Stockholders’ Equity/ Members’ (Deficit)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96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96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9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96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vMerge w:val="continue"/>
          </w:tcPr>
          <w:p>
            <w:pPr>
              <w:spacing w:after="0"/>
              <w:rPr>
                <w:sz w:val="18"/>
                <w:szCs w:val="18"/>
                <w:color w:val="auto"/>
              </w:rPr>
            </w:pPr>
          </w:p>
        </w:tc>
        <w:tc>
          <w:tcPr>
            <w:tcW w:w="89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9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9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9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96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96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18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9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640" w:type="dxa"/>
            <w:vAlign w:val="bottom"/>
            <w:gridSpan w:val="1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96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112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840" w:type="dxa"/>
            <w:vAlign w:val="bottom"/>
            <w:gridSpan w:val="15"/>
          </w:tcPr>
          <w:p>
            <w:pPr>
              <w:ind w:left="4460"/>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Day One Biopharmaceuticals, Inc.</w:t>
      </w:r>
    </w:p>
    <w:p>
      <w:pPr>
        <w:spacing w:after="0" w:line="1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ind w:left="4180"/>
        <w:spacing w:after="0"/>
        <w:rPr>
          <w:sz w:val="20"/>
          <w:szCs w:val="20"/>
          <w:color w:val="auto"/>
        </w:rPr>
      </w:pPr>
      <w:r>
        <w:rPr>
          <w:rFonts w:ascii="Arial" w:cs="Arial" w:eastAsia="Arial" w:hAnsi="Arial"/>
          <w:sz w:val="18"/>
          <w:szCs w:val="18"/>
          <w:b w:val="1"/>
          <w:bCs w:val="1"/>
          <w:color w:val="auto"/>
        </w:rPr>
        <w:t>(in thousands, except share amounts)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4"/>
        </w:trPr>
        <w:tc>
          <w:tcPr>
            <w:tcW w:w="73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120,864</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284,309</w:t>
            </w:r>
          </w:p>
        </w:tc>
        <w:tc>
          <w:tcPr>
            <w:tcW w:w="100" w:type="dxa"/>
            <w:vAlign w:val="bottom"/>
            <w:shd w:val="clear" w:color="auto" w:fill="CFF0FC"/>
          </w:tcPr>
          <w:p>
            <w:pPr>
              <w:spacing w:after="0"/>
              <w:rPr>
                <w:sz w:val="15"/>
                <w:szCs w:val="15"/>
                <w:color w:val="auto"/>
              </w:rPr>
            </w:pPr>
          </w:p>
        </w:tc>
      </w:tr>
      <w:tr>
        <w:trPr>
          <w:trHeight w:val="176"/>
        </w:trPr>
        <w:tc>
          <w:tcPr>
            <w:tcW w:w="732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253,477</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6,172</w:t>
            </w:r>
          </w:p>
        </w:tc>
        <w:tc>
          <w:tcPr>
            <w:tcW w:w="3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5,059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32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380,513</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289,368</w:t>
            </w:r>
          </w:p>
        </w:tc>
        <w:tc>
          <w:tcPr>
            <w:tcW w:w="100" w:type="dxa"/>
            <w:vAlign w:val="bottom"/>
          </w:tcPr>
          <w:p>
            <w:pPr>
              <w:spacing w:after="0"/>
              <w:rPr>
                <w:sz w:val="14"/>
                <w:szCs w:val="14"/>
                <w:color w:val="auto"/>
              </w:rPr>
            </w:pPr>
          </w:p>
        </w:tc>
      </w:tr>
      <w:tr>
        <w:trPr>
          <w:trHeight w:val="169"/>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4"/>
                <w:szCs w:val="14"/>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4"/>
                <w:szCs w:val="14"/>
                <w:color w:val="auto"/>
              </w:rPr>
              <w:t>Operating lease right-of-use asset</w:t>
            </w: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864</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r>
      <w:tr>
        <w:trPr>
          <w:trHeight w:val="17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Deposits and other long-term assets</w:t>
            </w:r>
          </w:p>
        </w:tc>
        <w:tc>
          <w:tcPr>
            <w:tcW w:w="26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449</w:t>
            </w:r>
          </w:p>
        </w:tc>
        <w:tc>
          <w:tcPr>
            <w:tcW w:w="3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32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381,861</w:t>
            </w:r>
          </w:p>
        </w:tc>
        <w:tc>
          <w:tcPr>
            <w:tcW w:w="3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289,821</w:t>
            </w:r>
          </w:p>
        </w:tc>
        <w:tc>
          <w:tcPr>
            <w:tcW w:w="100" w:type="dxa"/>
            <w:vAlign w:val="bottom"/>
          </w:tcPr>
          <w:p>
            <w:pPr>
              <w:spacing w:after="0"/>
              <w:rPr>
                <w:sz w:val="14"/>
                <w:szCs w:val="14"/>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3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3,973</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1,744</w:t>
            </w:r>
          </w:p>
        </w:tc>
        <w:tc>
          <w:tcPr>
            <w:tcW w:w="100" w:type="dxa"/>
            <w:vAlign w:val="bottom"/>
            <w:shd w:val="clear" w:color="auto" w:fill="CFF0FC"/>
          </w:tcPr>
          <w:p>
            <w:pPr>
              <w:spacing w:after="0"/>
              <w:rPr>
                <w:sz w:val="15"/>
                <w:szCs w:val="15"/>
                <w:color w:val="auto"/>
              </w:rPr>
            </w:pPr>
          </w:p>
        </w:tc>
      </w:tr>
      <w:tr>
        <w:trPr>
          <w:trHeight w:val="176"/>
        </w:trPr>
        <w:tc>
          <w:tcPr>
            <w:tcW w:w="7320" w:type="dxa"/>
            <w:vAlign w:val="bottom"/>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13,836</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6,709</w:t>
            </w:r>
          </w:p>
        </w:tc>
        <w:tc>
          <w:tcPr>
            <w:tcW w:w="100" w:type="dxa"/>
            <w:vAlign w:val="bottom"/>
          </w:tcPr>
          <w:p>
            <w:pPr>
              <w:spacing w:after="0"/>
              <w:rPr>
                <w:sz w:val="15"/>
                <w:szCs w:val="15"/>
                <w:color w:val="auto"/>
              </w:rPr>
            </w:pPr>
          </w:p>
        </w:tc>
      </w:tr>
      <w:tr>
        <w:trPr>
          <w:trHeight w:val="175"/>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Current portion of operating lease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462</w:t>
            </w:r>
          </w:p>
        </w:tc>
        <w:tc>
          <w:tcPr>
            <w:tcW w:w="3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32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18,271</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8,657</w:t>
            </w:r>
          </w:p>
        </w:tc>
        <w:tc>
          <w:tcPr>
            <w:tcW w:w="100" w:type="dxa"/>
            <w:vAlign w:val="bottom"/>
          </w:tcPr>
          <w:p>
            <w:pPr>
              <w:spacing w:after="0"/>
              <w:rPr>
                <w:sz w:val="14"/>
                <w:szCs w:val="14"/>
                <w:color w:val="auto"/>
              </w:rPr>
            </w:pPr>
          </w:p>
        </w:tc>
      </w:tr>
      <w:tr>
        <w:trPr>
          <w:trHeight w:val="169"/>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Long-term portion of lease liabilities</w:t>
            </w:r>
          </w:p>
        </w:tc>
        <w:tc>
          <w:tcPr>
            <w:tcW w:w="26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514</w:t>
            </w:r>
          </w:p>
        </w:tc>
        <w:tc>
          <w:tcPr>
            <w:tcW w:w="3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32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18,785</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8,673</w:t>
            </w:r>
          </w:p>
        </w:tc>
        <w:tc>
          <w:tcPr>
            <w:tcW w:w="100" w:type="dxa"/>
            <w:vAlign w:val="bottom"/>
          </w:tcPr>
          <w:p>
            <w:pPr>
              <w:spacing w:after="0"/>
              <w:rPr>
                <w:sz w:val="14"/>
                <w:szCs w:val="14"/>
                <w:color w:val="auto"/>
              </w:rPr>
            </w:pPr>
          </w:p>
        </w:tc>
      </w:tr>
      <w:tr>
        <w:trPr>
          <w:trHeight w:val="169"/>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6)</w:t>
            </w:r>
          </w:p>
        </w:tc>
        <w:tc>
          <w:tcPr>
            <w:tcW w:w="2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3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3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6"/>
              </w:rPr>
              <w:t>Common stock, $0.0001 par value; 500,000,000 shares authorized as of September 30, 2022 and December 31, 2021;</w:t>
            </w:r>
          </w:p>
        </w:tc>
        <w:tc>
          <w:tcPr>
            <w:tcW w:w="2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73,511,923 and 61,952,292 shares issued and outstanding as of September 30, 2022 and December 31, 2021,</w:t>
            </w:r>
          </w:p>
        </w:tc>
        <w:tc>
          <w:tcPr>
            <w:tcW w:w="2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1"/>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respectively</w:t>
            </w:r>
          </w:p>
        </w:tc>
        <w:tc>
          <w:tcPr>
            <w:tcW w:w="2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5"/>
                <w:szCs w:val="15"/>
                <w:color w:val="auto"/>
              </w:rPr>
            </w:pPr>
          </w:p>
        </w:tc>
      </w:tr>
      <w:tr>
        <w:trPr>
          <w:trHeight w:val="176"/>
        </w:trPr>
        <w:tc>
          <w:tcPr>
            <w:tcW w:w="7320" w:type="dxa"/>
            <w:vAlign w:val="bottom"/>
          </w:tcPr>
          <w:p>
            <w:pPr>
              <w:ind w:left="200"/>
              <w:spacing w:after="0"/>
              <w:rPr>
                <w:sz w:val="20"/>
                <w:szCs w:val="20"/>
                <w:color w:val="auto"/>
              </w:rPr>
            </w:pPr>
            <w:r>
              <w:rPr>
                <w:rFonts w:ascii="Arial" w:cs="Arial" w:eastAsia="Arial" w:hAnsi="Arial"/>
                <w:sz w:val="14"/>
                <w:szCs w:val="14"/>
                <w:color w:val="auto"/>
              </w:rPr>
              <w:t>Additional paid-in-capital</w:t>
            </w: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593,020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408,629</w:t>
            </w:r>
          </w:p>
        </w:tc>
        <w:tc>
          <w:tcPr>
            <w:tcW w:w="100" w:type="dxa"/>
            <w:vAlign w:val="bottom"/>
          </w:tcPr>
          <w:p>
            <w:pPr>
              <w:spacing w:after="0"/>
              <w:rPr>
                <w:sz w:val="15"/>
                <w:szCs w:val="15"/>
                <w:color w:val="auto"/>
              </w:rPr>
            </w:pPr>
          </w:p>
        </w:tc>
      </w:tr>
      <w:tr>
        <w:trPr>
          <w:trHeight w:val="175"/>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(392 )</w:t>
            </w:r>
          </w:p>
        </w:tc>
        <w:tc>
          <w:tcPr>
            <w:tcW w:w="2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32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5"/>
                <w:szCs w:val="15"/>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4"/>
                <w:szCs w:val="14"/>
                <w:color w:val="auto"/>
              </w:rPr>
              <w:t>(229,559 )</w:t>
            </w:r>
          </w:p>
        </w:tc>
        <w:tc>
          <w:tcPr>
            <w:tcW w:w="26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(127,487 )</w:t>
            </w:r>
          </w:p>
        </w:tc>
      </w:tr>
      <w:tr>
        <w:trPr>
          <w:trHeight w:val="169"/>
        </w:trPr>
        <w:tc>
          <w:tcPr>
            <w:tcW w:w="732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363,076</w:t>
            </w:r>
          </w:p>
        </w:tc>
        <w:tc>
          <w:tcPr>
            <w:tcW w:w="3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281,148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320" w:type="dxa"/>
            <w:vAlign w:val="bottom"/>
          </w:tcPr>
          <w:p>
            <w:pPr>
              <w:ind w:left="42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381,861</w:t>
            </w:r>
          </w:p>
        </w:tc>
        <w:tc>
          <w:tcPr>
            <w:tcW w:w="3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289,821</w:t>
            </w:r>
          </w:p>
        </w:tc>
        <w:tc>
          <w:tcPr>
            <w:tcW w:w="100" w:type="dxa"/>
            <w:vAlign w:val="bottom"/>
          </w:tcPr>
          <w:p>
            <w:pPr>
              <w:spacing w:after="0"/>
              <w:rPr>
                <w:sz w:val="14"/>
                <w:szCs w:val="14"/>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-2665095</wp:posOffset>
            </wp:positionV>
            <wp:extent cx="7683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-2202180</wp:posOffset>
            </wp:positionV>
            <wp:extent cx="7683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-1499870</wp:posOffset>
            </wp:positionV>
            <wp:extent cx="7683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-1259205</wp:posOffset>
            </wp:positionV>
            <wp:extent cx="7683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-145415</wp:posOffset>
            </wp:positionV>
            <wp:extent cx="7683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Day One Biopharmaceuticals, Inc.</w:t>
      </w:r>
    </w:p>
    <w:p>
      <w:pPr>
        <w:spacing w:after="0" w:line="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52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22,035</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9,849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59,598</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44,568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104,166</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(39,699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(104,166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(37,795 )</w:t>
            </w:r>
          </w:p>
        </w:tc>
        <w:tc>
          <w:tcPr>
            <w:tcW w:w="3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(19,240 )</w:t>
            </w:r>
          </w:p>
        </w:tc>
        <w:tc>
          <w:tcPr>
            <w:tcW w:w="24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(102,072 )</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(50,816 )</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Net loss attributable to redeemable convertible noncontrolling interest</w:t>
            </w: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5"/>
        </w:trPr>
        <w:tc>
          <w:tcPr>
            <w:tcW w:w="5520" w:type="dxa"/>
            <w:vAlign w:val="bottom"/>
          </w:tcPr>
          <w:p>
            <w:pPr>
              <w:ind w:left="20"/>
              <w:spacing w:after="0" w:line="175" w:lineRule="exact"/>
              <w:rPr>
                <w:sz w:val="20"/>
                <w:szCs w:val="20"/>
                <w:color w:val="auto"/>
              </w:rPr>
            </w:pPr>
            <w:r>
              <w:rPr>
                <w:rFonts w:ascii="Arial" w:cs="Arial" w:eastAsia="Arial" w:hAnsi="Arial"/>
                <w:sz w:val="18"/>
                <w:szCs w:val="18"/>
                <w:color w:val="auto"/>
              </w:rPr>
              <w:t>Exchange of redeemable noncontrolling interest shares – deemed</w:t>
            </w:r>
          </w:p>
        </w:tc>
        <w:tc>
          <w:tcPr>
            <w:tcW w:w="260" w:type="dxa"/>
            <w:vAlign w:val="bottom"/>
          </w:tcPr>
          <w:p>
            <w:pPr>
              <w:spacing w:after="0"/>
              <w:rPr>
                <w:sz w:val="15"/>
                <w:szCs w:val="15"/>
                <w:color w:val="auto"/>
              </w:rPr>
            </w:pPr>
          </w:p>
        </w:tc>
        <w:tc>
          <w:tcPr>
            <w:tcW w:w="124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1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20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(99,994 )</w:t>
            </w:r>
          </w:p>
        </w:tc>
        <w:tc>
          <w:tcPr>
            <w:tcW w:w="0" w:type="dxa"/>
            <w:vAlign w:val="bottom"/>
          </w:tcPr>
          <w:p>
            <w:pPr>
              <w:spacing w:after="0"/>
              <w:rPr>
                <w:sz w:val="1"/>
                <w:szCs w:val="1"/>
                <w:color w:val="auto"/>
              </w:rPr>
            </w:pPr>
          </w:p>
        </w:tc>
      </w:tr>
      <w:tr>
        <w:trPr>
          <w:trHeight w:val="217"/>
        </w:trPr>
        <w:tc>
          <w:tcPr>
            <w:tcW w:w="5520" w:type="dxa"/>
            <w:vAlign w:val="bottom"/>
          </w:tcPr>
          <w:p>
            <w:pPr>
              <w:ind w:left="20"/>
              <w:spacing w:after="0"/>
              <w:rPr>
                <w:sz w:val="20"/>
                <w:szCs w:val="20"/>
                <w:color w:val="auto"/>
              </w:rPr>
            </w:pPr>
            <w:r>
              <w:rPr>
                <w:rFonts w:ascii="Arial" w:cs="Arial" w:eastAsia="Arial" w:hAnsi="Arial"/>
                <w:sz w:val="18"/>
                <w:szCs w:val="18"/>
                <w:color w:val="auto"/>
              </w:rPr>
              <w:t>dividend</w:t>
            </w: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stockholders/members</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(37,795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(102,072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(148,701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52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(0.53 )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(0.33 )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(1.61 )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(4.98 )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2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w w:val="99"/>
              </w:rPr>
              <w:t>Weighted-average number of common shares used in computing net loss</w:t>
            </w:r>
          </w:p>
        </w:tc>
        <w:tc>
          <w:tcPr>
            <w:tcW w:w="26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71,008,993</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57,514,218</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63,522,774</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29,859,883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per share, basic and diluted</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-1705610</wp:posOffset>
            </wp:positionV>
            <wp:extent cx="7683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-1705610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-1705610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-1705610</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-1414145</wp:posOffset>
            </wp:positionV>
            <wp:extent cx="7683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-1414145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-1414145</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-1130935</wp:posOffset>
            </wp:positionV>
            <wp:extent cx="7683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-1130935</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-1130935</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-445135</wp:posOffset>
            </wp:positionV>
            <wp:extent cx="285432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4325" cy="18859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300"/>
        <w:spacing w:after="0"/>
        <w:rPr>
          <w:sz w:val="20"/>
          <w:szCs w:val="20"/>
          <w:color w:val="auto"/>
        </w:rPr>
      </w:pPr>
      <w:r>
        <w:rPr>
          <w:rFonts w:ascii="Arial" w:cs="Arial" w:eastAsia="Arial" w:hAnsi="Arial"/>
          <w:sz w:val="18"/>
          <w:szCs w:val="18"/>
          <w:b w:val="1"/>
          <w:bCs w:val="1"/>
          <w:color w:val="auto"/>
        </w:rPr>
        <w:t>Day One Biopharmaceuticals, Inc.</w:t>
      </w:r>
    </w:p>
    <w:p>
      <w:pPr>
        <w:spacing w:after="0" w:line="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Comprehensive Loss</w:t>
      </w:r>
    </w:p>
    <w:p>
      <w:pPr>
        <w:ind w:left="506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8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8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color w:val="auto"/>
                <w:w w:val="74"/>
              </w:rPr>
              <w:t>)</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(37,795</w:t>
            </w:r>
          </w:p>
        </w:tc>
        <w:tc>
          <w:tcPr>
            <w:tcW w:w="280" w:type="dxa"/>
            <w:vAlign w:val="bottom"/>
            <w:vMerge w:val="continue"/>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(19,240</w:t>
            </w:r>
          </w:p>
        </w:tc>
        <w:tc>
          <w:tcPr>
            <w:tcW w:w="2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(102,072</w:t>
            </w:r>
          </w:p>
        </w:tc>
        <w:tc>
          <w:tcPr>
            <w:tcW w:w="240" w:type="dxa"/>
            <w:vAlign w:val="bottom"/>
            <w:vMerge w:val="continue"/>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(50,816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rPr>
                <w:sz w:val="20"/>
                <w:szCs w:val="20"/>
                <w:color w:val="auto"/>
              </w:rPr>
            </w:pPr>
            <w:r>
              <w:rPr>
                <w:rFonts w:ascii="Arial" w:cs="Arial" w:eastAsia="Arial" w:hAnsi="Arial"/>
                <w:sz w:val="18"/>
                <w:szCs w:val="18"/>
                <w:color w:val="auto"/>
              </w:rPr>
              <w:t>Unrealized loss on available-for-sale securities</w:t>
            </w:r>
          </w:p>
        </w:tc>
        <w:tc>
          <w:tcPr>
            <w:tcW w:w="30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(389 )</w:t>
            </w:r>
          </w:p>
        </w:tc>
        <w:tc>
          <w:tcPr>
            <w:tcW w:w="38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(392 )</w:t>
            </w:r>
          </w:p>
        </w:tc>
        <w:tc>
          <w:tcPr>
            <w:tcW w:w="4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(102,464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Redeemable Convertible Preferred Shares, Redeemable Noncontrolling Interest and Stockholders’ Equity/ Members’ (Deficit) (in thousands, except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1"/>
                <w:szCs w:val="11"/>
                <w:b w:val="1"/>
                <w:bCs w:val="1"/>
                <w:color w:val="auto"/>
                <w:w w:val="89"/>
              </w:rPr>
              <w:t>Common Shares</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4"/>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1"/>
                <w:szCs w:val="11"/>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1"/>
                <w:szCs w:val="11"/>
                <w:b w:val="1"/>
                <w:bCs w:val="1"/>
                <w:color w:val="auto"/>
              </w:rPr>
              <w:t>Accumulated 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jc w:val="right"/>
              <w:ind w:right="366"/>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1"/>
                <w:szCs w:val="11"/>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rPr>
              <w:t>Total Stockholders'</w:t>
            </w: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9"/>
              <w:spacing w:after="0"/>
              <w:rPr>
                <w:sz w:val="20"/>
                <w:szCs w:val="20"/>
                <w:color w:val="auto"/>
              </w:rPr>
            </w:pPr>
            <w:r>
              <w:rPr>
                <w:rFonts w:ascii="Arial" w:cs="Arial" w:eastAsia="Arial" w:hAnsi="Arial"/>
                <w:sz w:val="11"/>
                <w:szCs w:val="11"/>
                <w:b w:val="1"/>
                <w:bCs w:val="1"/>
                <w:color w:val="auto"/>
                <w:w w:val="92"/>
              </w:rPr>
              <w:t>Shares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w w:val="76"/>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right="500"/>
              <w:spacing w:after="0" w:line="121" w:lineRule="exact"/>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1"/>
                <w:szCs w:val="11"/>
                <w:color w:val="auto"/>
              </w:rPr>
            </w:pPr>
          </w:p>
        </w:tc>
        <w:tc>
          <w:tcPr>
            <w:tcW w:w="1080" w:type="dxa"/>
            <w:vAlign w:val="bottom"/>
            <w:gridSpan w:val="4"/>
          </w:tcPr>
          <w:p>
            <w:pPr>
              <w:jc w:val="right"/>
              <w:spacing w:after="0" w:line="121" w:lineRule="exact"/>
              <w:rPr>
                <w:sz w:val="20"/>
                <w:szCs w:val="20"/>
                <w:color w:val="auto"/>
              </w:rPr>
            </w:pPr>
            <w:r>
              <w:rPr>
                <w:rFonts w:ascii="Arial" w:cs="Arial" w:eastAsia="Arial" w:hAnsi="Arial"/>
                <w:sz w:val="11"/>
                <w:szCs w:val="11"/>
                <w:b w:val="1"/>
                <w:bCs w:val="1"/>
                <w:color w:val="auto"/>
                <w:w w:val="95"/>
              </w:rPr>
              <w:t>Comprehensive Loss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28"/>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5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61,952,292</w:t>
            </w:r>
          </w:p>
        </w:tc>
        <w:tc>
          <w:tcPr>
            <w:tcW w:w="240" w:type="dxa"/>
            <w:vAlign w:val="bottom"/>
            <w:tcBorders>
              <w:bottom w:val="single" w:sz="8" w:color="CFF0FC"/>
              <w:right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right w:val="single" w:sz="8" w:color="CFF0FC"/>
            </w:tcBorders>
            <w:shd w:val="clear" w:color="auto" w:fill="CFF0FC"/>
          </w:tcPr>
          <w:p>
            <w:pPr>
              <w:jc w:val="right"/>
              <w:ind w:right="106"/>
              <w:spacing w:after="0"/>
              <w:rPr>
                <w:sz w:val="20"/>
                <w:szCs w:val="20"/>
                <w:color w:val="auto"/>
              </w:rPr>
            </w:pPr>
            <w:r>
              <w:rPr>
                <w:rFonts w:ascii="Arial" w:cs="Arial" w:eastAsia="Arial" w:hAnsi="Arial"/>
                <w:sz w:val="11"/>
                <w:szCs w:val="11"/>
                <w:color w:val="auto"/>
                <w:w w:val="97"/>
              </w:rPr>
              <w:t>$</w:t>
            </w:r>
          </w:p>
        </w:tc>
        <w:tc>
          <w:tcPr>
            <w:tcW w:w="100" w:type="dxa"/>
            <w:vAlign w:val="bottom"/>
            <w:tcBorders>
              <w:top w:val="single" w:sz="8" w:color="auto"/>
              <w:bottom w:val="single" w:sz="8" w:color="auto"/>
              <w:right w:val="single" w:sz="8" w:color="CFF0FC"/>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408,629</w:t>
            </w: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1"/>
                <w:szCs w:val="11"/>
                <w:color w:val="auto"/>
              </w:rPr>
              <w:t>$</w:t>
            </w:r>
          </w:p>
        </w:tc>
        <w:tc>
          <w:tcPr>
            <w:tcW w:w="260" w:type="dxa"/>
            <w:vAlign w:val="bottom"/>
            <w:tcBorders>
              <w:top w:val="single" w:sz="8" w:color="auto"/>
              <w:bottom w:val="single" w:sz="8" w:color="auto"/>
            </w:tcBorders>
            <w:shd w:val="clear" w:color="auto" w:fill="CFF0FC"/>
          </w:tcPr>
          <w:p>
            <w:pPr>
              <w:spacing w:after="0"/>
              <w:rPr>
                <w:sz w:val="11"/>
                <w:szCs w:val="11"/>
                <w:color w:val="auto"/>
              </w:rPr>
            </w:pPr>
          </w:p>
        </w:tc>
        <w:tc>
          <w:tcPr>
            <w:tcW w:w="220" w:type="dxa"/>
            <w:vAlign w:val="bottom"/>
            <w:tcBorders>
              <w:top w:val="single" w:sz="8" w:color="auto"/>
              <w:bottom w:val="single" w:sz="8" w:color="auto"/>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top w:val="single" w:sz="8" w:color="auto"/>
              <w:left w:val="single" w:sz="8" w:color="CFF0FC"/>
              <w:bottom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right w:val="single" w:sz="8" w:color="CFF0FC"/>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w w:val="96"/>
              </w:rPr>
              <w:t>(127,487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jc w:val="right"/>
              <w:ind w:right="74"/>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auto"/>
              <w:bottom w:val="single" w:sz="8" w:color="auto"/>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281,148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11"/>
                <w:szCs w:val="11"/>
                <w:color w:val="auto"/>
              </w:rPr>
              <w:t>Share-based compensation expenses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6,202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gridSpan w:val="2"/>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Unvested common stock forfeiture</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tcBorders>
              <w:right w:val="single" w:sz="8" w:color="CFF0FC"/>
            </w:tcBorders>
            <w:gridSpan w:val="3"/>
            <w:shd w:val="clear" w:color="auto" w:fill="CFF0FC"/>
          </w:tcPr>
          <w:p>
            <w:pPr>
              <w:jc w:val="right"/>
              <w:ind w:right="135"/>
              <w:spacing w:after="0"/>
              <w:rPr>
                <w:sz w:val="20"/>
                <w:szCs w:val="20"/>
                <w:color w:val="auto"/>
              </w:rPr>
            </w:pPr>
            <w:r>
              <w:rPr>
                <w:rFonts w:ascii="Arial" w:cs="Arial" w:eastAsia="Arial" w:hAnsi="Arial"/>
                <w:sz w:val="11"/>
                <w:szCs w:val="11"/>
                <w:color w:val="auto"/>
              </w:rPr>
              <w:t>(40,363 )</w:t>
            </w: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11"/>
                <w:szCs w:val="11"/>
                <w:color w:val="auto"/>
              </w:rPr>
            </w:pPr>
          </w:p>
        </w:tc>
        <w:tc>
          <w:tcPr>
            <w:tcW w:w="24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rPr>
                <w:sz w:val="20"/>
                <w:szCs w:val="20"/>
                <w:color w:val="auto"/>
              </w:rPr>
            </w:pPr>
            <w:r>
              <w:rPr>
                <w:rFonts w:ascii="Arial" w:cs="Arial" w:eastAsia="Arial" w:hAnsi="Arial"/>
                <w:sz w:val="11"/>
                <w:szCs w:val="11"/>
                <w:color w:val="auto"/>
                <w:w w:val="92"/>
              </w:rPr>
              <w:t>Net loss attributable to common stockholders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gridSpan w:val="2"/>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(27,747 )</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(27,747 )</w:t>
            </w:r>
          </w:p>
        </w:tc>
        <w:tc>
          <w:tcPr>
            <w:tcW w:w="0" w:type="dxa"/>
            <w:vAlign w:val="bottom"/>
          </w:tcPr>
          <w:p>
            <w:pPr>
              <w:spacing w:after="0"/>
              <w:rPr>
                <w:sz w:val="1"/>
                <w:szCs w:val="1"/>
                <w:color w:val="auto"/>
              </w:rPr>
            </w:pPr>
          </w:p>
        </w:tc>
      </w:tr>
      <w:tr>
        <w:trPr>
          <w:trHeight w:val="168"/>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March 31, 2022</w:t>
            </w:r>
          </w:p>
        </w:tc>
        <w:tc>
          <w:tcPr>
            <w:tcW w:w="5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61,911,929</w:t>
            </w:r>
          </w:p>
        </w:tc>
        <w:tc>
          <w:tcPr>
            <w:tcW w:w="240" w:type="dxa"/>
            <w:vAlign w:val="bottom"/>
            <w:tcBorders>
              <w:bottom w:val="single" w:sz="8" w:color="CFF0FC"/>
              <w:right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right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right w:val="single" w:sz="8" w:color="CFF0FC"/>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414,831</w:t>
            </w:r>
          </w:p>
        </w:tc>
        <w:tc>
          <w:tcPr>
            <w:tcW w:w="22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left w:val="single" w:sz="8" w:color="CFF0FC"/>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right w:val="single" w:sz="8" w:color="CFF0FC"/>
            </w:tcBorders>
            <w:shd w:val="clear" w:color="auto" w:fill="CFF0FC"/>
          </w:tcPr>
          <w:p>
            <w:pPr>
              <w:spacing w:after="0"/>
              <w:rPr>
                <w:sz w:val="14"/>
                <w:szCs w:val="14"/>
                <w:color w:val="auto"/>
              </w:rPr>
            </w:pPr>
          </w:p>
        </w:tc>
        <w:tc>
          <w:tcPr>
            <w:tcW w:w="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w w:val="96"/>
              </w:rPr>
              <w:t>(155,234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259,603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860" w:type="dxa"/>
            <w:vAlign w:val="bottom"/>
            <w:gridSpan w:val="3"/>
          </w:tcPr>
          <w:p>
            <w:pPr>
              <w:ind w:left="20"/>
              <w:spacing w:after="0" w:line="92" w:lineRule="exact"/>
              <w:rPr>
                <w:sz w:val="20"/>
                <w:szCs w:val="20"/>
                <w:color w:val="auto"/>
              </w:rPr>
            </w:pPr>
            <w:r>
              <w:rPr>
                <w:rFonts w:ascii="Arial" w:cs="Arial" w:eastAsia="Arial" w:hAnsi="Arial"/>
                <w:sz w:val="10"/>
                <w:szCs w:val="10"/>
                <w:color w:val="auto"/>
              </w:rPr>
              <w:t>Issuance of common stock pursuant to follow-on offering, net of</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issuance costs of $10,864</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11,500,000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161,609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161,610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80" w:type="dxa"/>
            <w:vAlign w:val="bottom"/>
            <w:shd w:val="clear" w:color="auto" w:fill="CFF0FC"/>
          </w:tcPr>
          <w:p>
            <w:pPr>
              <w:ind w:left="20"/>
              <w:spacing w:after="0" w:line="116" w:lineRule="exact"/>
              <w:rPr>
                <w:sz w:val="20"/>
                <w:szCs w:val="20"/>
                <w:color w:val="auto"/>
              </w:rPr>
            </w:pPr>
            <w:r>
              <w:rPr>
                <w:rFonts w:ascii="Arial" w:cs="Arial" w:eastAsia="Arial" w:hAnsi="Arial"/>
                <w:sz w:val="11"/>
                <w:szCs w:val="11"/>
                <w:color w:val="auto"/>
              </w:rPr>
              <w:t>Issuance of common stock pursuant to</w:t>
            </w: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Employee Stock Purchase Plan</w:t>
            </w: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49,171</w:t>
            </w:r>
          </w:p>
        </w:tc>
        <w:tc>
          <w:tcPr>
            <w:tcW w:w="240" w:type="dxa"/>
            <w:vAlign w:val="bottom"/>
            <w:tcBorders>
              <w:right w:val="single" w:sz="8" w:color="CFF0FC"/>
            </w:tcBorders>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320</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rPr>
                <w:sz w:val="20"/>
                <w:szCs w:val="20"/>
                <w:color w:val="auto"/>
              </w:rPr>
            </w:pPr>
            <w:r>
              <w:rPr>
                <w:rFonts w:ascii="Arial" w:cs="Arial" w:eastAsia="Arial" w:hAnsi="Arial"/>
                <w:sz w:val="11"/>
                <w:szCs w:val="11"/>
                <w:color w:val="auto"/>
              </w:rPr>
              <w:t>Share-based compensation expenses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5,631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gridSpan w:val="2"/>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FF0FC"/>
          </w:tcPr>
          <w:p>
            <w:pPr>
              <w:ind w:left="20"/>
              <w:spacing w:after="0"/>
              <w:rPr>
                <w:sz w:val="20"/>
                <w:szCs w:val="20"/>
                <w:color w:val="auto"/>
              </w:rPr>
            </w:pPr>
            <w:r>
              <w:rPr>
                <w:rFonts w:ascii="Arial" w:cs="Arial" w:eastAsia="Arial" w:hAnsi="Arial"/>
                <w:sz w:val="11"/>
                <w:szCs w:val="11"/>
                <w:color w:val="auto"/>
                <w:w w:val="89"/>
              </w:rPr>
              <w:t>Unrealized loss on available-for-sale securities</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gridSpan w:val="3"/>
            <w:shd w:val="clear" w:color="auto" w:fill="CFF0FC"/>
          </w:tcPr>
          <w:p>
            <w:pPr>
              <w:jc w:val="right"/>
              <w:ind w:right="2"/>
              <w:spacing w:after="0"/>
              <w:rPr>
                <w:sz w:val="20"/>
                <w:szCs w:val="20"/>
                <w:color w:val="auto"/>
              </w:rPr>
            </w:pPr>
            <w:r>
              <w:rPr>
                <w:rFonts w:ascii="Arial" w:cs="Arial" w:eastAsia="Arial" w:hAnsi="Arial"/>
                <w:sz w:val="11"/>
                <w:szCs w:val="11"/>
                <w:color w:val="auto"/>
              </w:rPr>
              <w:t>(3 )</w:t>
            </w:r>
          </w:p>
        </w:tc>
        <w:tc>
          <w:tcPr>
            <w:tcW w:w="140" w:type="dxa"/>
            <w:vAlign w:val="bottom"/>
            <w:shd w:val="clear" w:color="auto" w:fill="CFF0FC"/>
          </w:tcPr>
          <w:p>
            <w:pPr>
              <w:spacing w:after="0"/>
              <w:rPr>
                <w:sz w:val="11"/>
                <w:szCs w:val="11"/>
                <w:color w:val="auto"/>
              </w:rPr>
            </w:pPr>
          </w:p>
        </w:tc>
        <w:tc>
          <w:tcPr>
            <w:tcW w:w="24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35"/>
        </w:trPr>
        <w:tc>
          <w:tcPr>
            <w:tcW w:w="2860" w:type="dxa"/>
            <w:vAlign w:val="bottom"/>
            <w:gridSpan w:val="3"/>
          </w:tcPr>
          <w:p>
            <w:pPr>
              <w:ind w:left="20"/>
              <w:spacing w:after="0"/>
              <w:rPr>
                <w:sz w:val="20"/>
                <w:szCs w:val="20"/>
                <w:color w:val="auto"/>
              </w:rPr>
            </w:pPr>
            <w:r>
              <w:rPr>
                <w:rFonts w:ascii="Arial" w:cs="Arial" w:eastAsia="Arial" w:hAnsi="Arial"/>
                <w:sz w:val="11"/>
                <w:szCs w:val="11"/>
                <w:color w:val="auto"/>
              </w:rPr>
              <w:t>Net loss attributable to common stockholders/members'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gridSpan w:val="2"/>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(36,530 )</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(36,530 )</w:t>
            </w:r>
          </w:p>
        </w:tc>
        <w:tc>
          <w:tcPr>
            <w:tcW w:w="0" w:type="dxa"/>
            <w:vAlign w:val="bottom"/>
          </w:tcPr>
          <w:p>
            <w:pPr>
              <w:spacing w:after="0"/>
              <w:rPr>
                <w:sz w:val="1"/>
                <w:szCs w:val="1"/>
                <w:color w:val="auto"/>
              </w:rPr>
            </w:pPr>
          </w:p>
        </w:tc>
      </w:tr>
      <w:tr>
        <w:trPr>
          <w:trHeight w:val="168"/>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June 30, 2022</w:t>
            </w:r>
          </w:p>
        </w:tc>
        <w:tc>
          <w:tcPr>
            <w:tcW w:w="5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73,461,100</w:t>
            </w:r>
          </w:p>
        </w:tc>
        <w:tc>
          <w:tcPr>
            <w:tcW w:w="240" w:type="dxa"/>
            <w:vAlign w:val="bottom"/>
            <w:tcBorders>
              <w:bottom w:val="single" w:sz="8" w:color="CFF0FC"/>
              <w:right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right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right w:val="single" w:sz="8" w:color="CFF0FC"/>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582,391</w:t>
            </w:r>
          </w:p>
        </w:tc>
        <w:tc>
          <w:tcPr>
            <w:tcW w:w="22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left w:val="single" w:sz="8" w:color="CFF0FC"/>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right w:val="single" w:sz="8" w:color="CFF0FC"/>
            </w:tcBorders>
            <w:shd w:val="clear" w:color="auto" w:fill="CFF0FC"/>
          </w:tcPr>
          <w:p>
            <w:pPr>
              <w:spacing w:after="0"/>
              <w:rPr>
                <w:sz w:val="14"/>
                <w:szCs w:val="14"/>
                <w:color w:val="auto"/>
              </w:rPr>
            </w:pPr>
          </w:p>
        </w:tc>
        <w:tc>
          <w:tcPr>
            <w:tcW w:w="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w w:val="96"/>
              </w:rPr>
              <w:t>(191,764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390,631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80" w:type="dxa"/>
            <w:vAlign w:val="bottom"/>
          </w:tcPr>
          <w:p>
            <w:pPr>
              <w:ind w:left="20"/>
              <w:spacing w:after="0" w:line="92" w:lineRule="exact"/>
              <w:rPr>
                <w:sz w:val="20"/>
                <w:szCs w:val="20"/>
                <w:color w:val="auto"/>
              </w:rPr>
            </w:pPr>
            <w:r>
              <w:rPr>
                <w:rFonts w:ascii="Arial" w:cs="Arial" w:eastAsia="Arial" w:hAnsi="Arial"/>
                <w:sz w:val="10"/>
                <w:szCs w:val="10"/>
                <w:color w:val="auto"/>
              </w:rPr>
              <w:t>Issuance of common stock upon exercise of</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80" w:type="dxa"/>
            <w:vAlign w:val="bottom"/>
          </w:tcPr>
          <w:p>
            <w:pPr>
              <w:ind w:left="100"/>
              <w:spacing w:after="0"/>
              <w:rPr>
                <w:sz w:val="20"/>
                <w:szCs w:val="20"/>
                <w:color w:val="auto"/>
              </w:rPr>
            </w:pPr>
            <w:r>
              <w:rPr>
                <w:rFonts w:ascii="Arial" w:cs="Arial" w:eastAsia="Arial" w:hAnsi="Arial"/>
                <w:sz w:val="11"/>
                <w:szCs w:val="11"/>
                <w:color w:val="auto"/>
              </w:rPr>
              <w:t>stock options</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130,899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2,053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80" w:type="dxa"/>
            <w:vAlign w:val="bottom"/>
            <w:shd w:val="clear" w:color="auto" w:fill="CFF0FC"/>
          </w:tcPr>
          <w:p>
            <w:pPr>
              <w:ind w:left="20"/>
              <w:spacing w:after="0" w:line="116" w:lineRule="exact"/>
              <w:rPr>
                <w:sz w:val="20"/>
                <w:szCs w:val="20"/>
                <w:color w:val="auto"/>
              </w:rPr>
            </w:pPr>
            <w:r>
              <w:rPr>
                <w:rFonts w:ascii="Arial" w:cs="Arial" w:eastAsia="Arial" w:hAnsi="Arial"/>
                <w:sz w:val="11"/>
                <w:szCs w:val="11"/>
                <w:color w:val="auto"/>
                <w:w w:val="97"/>
              </w:rPr>
              <w:t>Issuance of common stock upon release of</w:t>
            </w: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restricted stock units</w:t>
            </w: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51,030</w:t>
            </w:r>
          </w:p>
        </w:tc>
        <w:tc>
          <w:tcPr>
            <w:tcW w:w="240" w:type="dxa"/>
            <w:vAlign w:val="bottom"/>
            <w:tcBorders>
              <w:right w:val="single" w:sz="8" w:color="CFF0FC"/>
            </w:tcBorders>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rPr>
                <w:sz w:val="20"/>
                <w:szCs w:val="20"/>
                <w:color w:val="auto"/>
              </w:rPr>
            </w:pPr>
            <w:r>
              <w:rPr>
                <w:rFonts w:ascii="Arial" w:cs="Arial" w:eastAsia="Arial" w:hAnsi="Arial"/>
                <w:sz w:val="11"/>
                <w:szCs w:val="11"/>
                <w:color w:val="auto"/>
              </w:rPr>
              <w:t>Unvested common stock forfeiture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ind w:right="135"/>
              <w:spacing w:after="0"/>
              <w:rPr>
                <w:sz w:val="20"/>
                <w:szCs w:val="20"/>
                <w:color w:val="auto"/>
              </w:rPr>
            </w:pPr>
            <w:r>
              <w:rPr>
                <w:rFonts w:ascii="Arial" w:cs="Arial" w:eastAsia="Arial" w:hAnsi="Arial"/>
                <w:sz w:val="11"/>
                <w:szCs w:val="11"/>
                <w:color w:val="auto"/>
              </w:rPr>
              <w:t>(131,106 )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gridSpan w:val="2"/>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Share-based compensation expenses</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8,576</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62"/>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11"/>
                <w:szCs w:val="11"/>
                <w:color w:val="auto"/>
              </w:rPr>
            </w:pPr>
          </w:p>
        </w:tc>
        <w:tc>
          <w:tcPr>
            <w:tcW w:w="24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rPr>
                <w:sz w:val="20"/>
                <w:szCs w:val="20"/>
                <w:color w:val="auto"/>
              </w:rPr>
            </w:pPr>
            <w:r>
              <w:rPr>
                <w:rFonts w:ascii="Arial" w:cs="Arial" w:eastAsia="Arial" w:hAnsi="Arial"/>
                <w:sz w:val="11"/>
                <w:szCs w:val="11"/>
                <w:color w:val="auto"/>
                <w:w w:val="89"/>
              </w:rPr>
              <w:t>Unrealized loss on available-for-sale 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3"/>
          </w:tcPr>
          <w:p>
            <w:pPr>
              <w:jc w:val="right"/>
              <w:ind w:right="2"/>
              <w:spacing w:after="0"/>
              <w:rPr>
                <w:sz w:val="20"/>
                <w:szCs w:val="20"/>
                <w:color w:val="auto"/>
              </w:rPr>
            </w:pPr>
            <w:r>
              <w:rPr>
                <w:rFonts w:ascii="Arial" w:cs="Arial" w:eastAsia="Arial" w:hAnsi="Arial"/>
                <w:sz w:val="11"/>
                <w:szCs w:val="11"/>
                <w:color w:val="auto"/>
                <w:w w:val="83"/>
              </w:rPr>
              <w:t>(389 )</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(389 )</w:t>
            </w:r>
          </w:p>
        </w:tc>
        <w:tc>
          <w:tcPr>
            <w:tcW w:w="0" w:type="dxa"/>
            <w:vAlign w:val="bottom"/>
          </w:tcPr>
          <w:p>
            <w:pPr>
              <w:spacing w:after="0"/>
              <w:rPr>
                <w:sz w:val="1"/>
                <w:szCs w:val="1"/>
                <w:color w:val="auto"/>
              </w:rPr>
            </w:pPr>
          </w:p>
        </w:tc>
      </w:tr>
      <w:tr>
        <w:trPr>
          <w:trHeight w:val="135"/>
        </w:trPr>
        <w:tc>
          <w:tcPr>
            <w:tcW w:w="286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Net loss attributable to common stockholders/members'</w:t>
            </w: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(37,795 )</w:t>
            </w: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(37,795 )</w:t>
            </w:r>
          </w:p>
        </w:tc>
        <w:tc>
          <w:tcPr>
            <w:tcW w:w="0" w:type="dxa"/>
            <w:vAlign w:val="bottom"/>
          </w:tcPr>
          <w:p>
            <w:pPr>
              <w:spacing w:after="0"/>
              <w:rPr>
                <w:sz w:val="1"/>
                <w:szCs w:val="1"/>
                <w:color w:val="auto"/>
              </w:rPr>
            </w:pPr>
          </w:p>
        </w:tc>
      </w:tr>
      <w:tr>
        <w:trPr>
          <w:trHeight w:val="20"/>
        </w:trPr>
        <w:tc>
          <w:tcPr>
            <w:tcW w:w="20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Pr>
          <w:p>
            <w:pPr>
              <w:ind w:left="20"/>
              <w:spacing w:after="0"/>
              <w:rPr>
                <w:sz w:val="20"/>
                <w:szCs w:val="20"/>
                <w:color w:val="auto"/>
              </w:rPr>
            </w:pPr>
            <w:r>
              <w:rPr>
                <w:rFonts w:ascii="Arial" w:cs="Arial" w:eastAsia="Arial" w:hAnsi="Arial"/>
                <w:sz w:val="11"/>
                <w:szCs w:val="11"/>
                <w:b w:val="1"/>
                <w:bCs w:val="1"/>
                <w:color w:val="auto"/>
              </w:rPr>
              <w:t>Balance at September 30, 2022</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73,511,923</w:t>
            </w:r>
          </w:p>
        </w:tc>
        <w:tc>
          <w:tcPr>
            <w:tcW w:w="240" w:type="dxa"/>
            <w:vAlign w:val="bottom"/>
          </w:tcPr>
          <w:p>
            <w:pPr>
              <w:spacing w:after="0"/>
              <w:rPr>
                <w:sz w:val="11"/>
                <w:szCs w:val="11"/>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220" w:type="dxa"/>
            <w:vAlign w:val="bottom"/>
            <w:gridSpan w:val="2"/>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6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593,020</w:t>
            </w:r>
          </w:p>
        </w:tc>
        <w:tc>
          <w:tcPr>
            <w:tcW w:w="22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3"/>
          </w:tcPr>
          <w:p>
            <w:pPr>
              <w:jc w:val="right"/>
              <w:ind w:right="2"/>
              <w:spacing w:after="0"/>
              <w:rPr>
                <w:sz w:val="20"/>
                <w:szCs w:val="20"/>
                <w:color w:val="auto"/>
              </w:rPr>
            </w:pPr>
            <w:r>
              <w:rPr>
                <w:rFonts w:ascii="Arial" w:cs="Arial" w:eastAsia="Arial" w:hAnsi="Arial"/>
                <w:sz w:val="11"/>
                <w:szCs w:val="11"/>
                <w:color w:val="auto"/>
                <w:w w:val="83"/>
              </w:rPr>
              <w:t>(392 )</w:t>
            </w:r>
          </w:p>
        </w:tc>
        <w:tc>
          <w:tcPr>
            <w:tcW w:w="380" w:type="dxa"/>
            <w:vAlign w:val="bottom"/>
            <w:gridSpan w:val="2"/>
          </w:tcPr>
          <w:p>
            <w:pPr>
              <w:jc w:val="right"/>
              <w:ind w:right="13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color w:val="auto"/>
                <w:w w:val="95"/>
              </w:rPr>
              <w:t>(229,559 )</w:t>
            </w:r>
          </w:p>
        </w:tc>
        <w:tc>
          <w:tcPr>
            <w:tcW w:w="340" w:type="dxa"/>
            <w:vAlign w:val="bottom"/>
            <w:gridSpan w:val="2"/>
          </w:tcPr>
          <w:p>
            <w:pPr>
              <w:jc w:val="right"/>
              <w:ind w:right="74"/>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363,076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87"/>
              </w:rPr>
              <w:t>Stockholders'</w:t>
            </w: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1380" w:type="dxa"/>
            <w:vAlign w:val="bottom"/>
            <w:gridSpan w:val="6"/>
          </w:tcPr>
          <w:p>
            <w:pPr>
              <w:jc w:val="right"/>
              <w:ind w:right="280"/>
              <w:spacing w:after="0" w:line="95" w:lineRule="exact"/>
              <w:rPr>
                <w:sz w:val="20"/>
                <w:szCs w:val="20"/>
                <w:color w:val="auto"/>
              </w:rPr>
            </w:pPr>
            <w:r>
              <w:rPr>
                <w:rFonts w:ascii="Arial" w:cs="Arial" w:eastAsia="Arial" w:hAnsi="Arial"/>
                <w:sz w:val="9"/>
                <w:szCs w:val="9"/>
                <w:b w:val="1"/>
                <w:bCs w:val="1"/>
                <w:color w:val="auto"/>
              </w:rPr>
              <w:t>Redeemable Convertible</w:t>
            </w:r>
          </w:p>
        </w:tc>
        <w:tc>
          <w:tcPr>
            <w:tcW w:w="140" w:type="dxa"/>
            <w:vAlign w:val="bottom"/>
          </w:tcPr>
          <w:p>
            <w:pPr>
              <w:spacing w:after="0"/>
              <w:rPr>
                <w:sz w:val="8"/>
                <w:szCs w:val="8"/>
                <w:color w:val="auto"/>
              </w:rPr>
            </w:pPr>
          </w:p>
        </w:tc>
        <w:tc>
          <w:tcPr>
            <w:tcW w:w="1000" w:type="dxa"/>
            <w:vAlign w:val="bottom"/>
            <w:tcBorders>
              <w:right w:val="single" w:sz="8" w:color="auto"/>
            </w:tcBorders>
            <w:gridSpan w:val="3"/>
          </w:tcPr>
          <w:p>
            <w:pPr>
              <w:jc w:val="center"/>
              <w:ind w:right="206"/>
              <w:spacing w:after="0" w:line="95" w:lineRule="exact"/>
              <w:rPr>
                <w:sz w:val="20"/>
                <w:szCs w:val="20"/>
                <w:color w:val="auto"/>
              </w:rPr>
            </w:pPr>
            <w:r>
              <w:rPr>
                <w:rFonts w:ascii="Arial" w:cs="Arial" w:eastAsia="Arial" w:hAnsi="Arial"/>
                <w:sz w:val="9"/>
                <w:szCs w:val="9"/>
                <w:b w:val="1"/>
                <w:bCs w:val="1"/>
                <w:color w:val="auto"/>
                <w:w w:val="86"/>
              </w:rPr>
              <w:t>Redeemable</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ind w:right="74"/>
              <w:spacing w:after="0" w:line="95" w:lineRule="exact"/>
              <w:rPr>
                <w:sz w:val="20"/>
                <w:szCs w:val="20"/>
                <w:color w:val="auto"/>
              </w:rPr>
            </w:pPr>
            <w:r>
              <w:rPr>
                <w:rFonts w:ascii="Arial" w:cs="Arial" w:eastAsia="Arial" w:hAnsi="Arial"/>
                <w:sz w:val="9"/>
                <w:szCs w:val="9"/>
                <w:b w:val="1"/>
                <w:bCs w:val="1"/>
                <w:color w:val="auto"/>
                <w:w w:val="86"/>
              </w:rPr>
              <w:t>Additional</w:t>
            </w: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3"/>
              </w:rPr>
              <w:t>Equity/</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280" w:type="dxa"/>
            <w:vAlign w:val="bottom"/>
            <w:tcBorders>
              <w:bottom w:val="single" w:sz="8" w:color="auto"/>
            </w:tcBorders>
            <w:gridSpan w:val="5"/>
          </w:tcPr>
          <w:p>
            <w:pPr>
              <w:jc w:val="right"/>
              <w:ind w:right="275"/>
              <w:spacing w:after="0"/>
              <w:rPr>
                <w:sz w:val="20"/>
                <w:szCs w:val="20"/>
                <w:color w:val="auto"/>
              </w:rPr>
            </w:pPr>
            <w:r>
              <w:rPr>
                <w:rFonts w:ascii="Arial" w:cs="Arial" w:eastAsia="Arial" w:hAnsi="Arial"/>
                <w:sz w:val="9"/>
                <w:szCs w:val="9"/>
                <w:b w:val="1"/>
                <w:bCs w:val="1"/>
                <w:color w:val="auto"/>
              </w:rPr>
              <w:t>Preferred Shares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right w:val="single" w:sz="8" w:color="auto"/>
            </w:tcBorders>
            <w:gridSpan w:val="3"/>
          </w:tcPr>
          <w:p>
            <w:pPr>
              <w:jc w:val="center"/>
              <w:ind w:right="206"/>
              <w:spacing w:after="0"/>
              <w:rPr>
                <w:sz w:val="20"/>
                <w:szCs w:val="20"/>
                <w:color w:val="auto"/>
              </w:rPr>
            </w:pPr>
            <w:r>
              <w:rPr>
                <w:rFonts w:ascii="Arial" w:cs="Arial" w:eastAsia="Arial" w:hAnsi="Arial"/>
                <w:sz w:val="9"/>
                <w:szCs w:val="9"/>
                <w:b w:val="1"/>
                <w:bCs w:val="1"/>
                <w:color w:val="auto"/>
                <w:w w:val="90"/>
              </w:rPr>
              <w:t>Noncontrolling</w:t>
            </w:r>
          </w:p>
        </w:tc>
        <w:tc>
          <w:tcPr>
            <w:tcW w:w="100" w:type="dxa"/>
            <w:vAlign w:val="bottom"/>
          </w:tcPr>
          <w:p>
            <w:pPr>
              <w:spacing w:after="0"/>
              <w:rPr>
                <w:sz w:val="9"/>
                <w:szCs w:val="9"/>
                <w:color w:val="auto"/>
              </w:rPr>
            </w:pPr>
          </w:p>
        </w:tc>
        <w:tc>
          <w:tcPr>
            <w:tcW w:w="960" w:type="dxa"/>
            <w:vAlign w:val="bottom"/>
            <w:tcBorders>
              <w:bottom w:val="single" w:sz="8" w:color="auto"/>
            </w:tcBorders>
            <w:gridSpan w:val="5"/>
          </w:tcPr>
          <w:p>
            <w:pPr>
              <w:jc w:val="right"/>
              <w:ind w:right="46"/>
              <w:spacing w:after="0"/>
              <w:rPr>
                <w:sz w:val="20"/>
                <w:szCs w:val="20"/>
                <w:color w:val="auto"/>
              </w:rPr>
            </w:pPr>
            <w:r>
              <w:rPr>
                <w:rFonts w:ascii="Arial" w:cs="Arial" w:eastAsia="Arial" w:hAnsi="Arial"/>
                <w:sz w:val="9"/>
                <w:szCs w:val="9"/>
                <w:b w:val="1"/>
                <w:bCs w:val="1"/>
                <w:color w:val="auto"/>
              </w:rPr>
              <w:t>Common Stock</w:t>
            </w:r>
          </w:p>
        </w:tc>
        <w:tc>
          <w:tcPr>
            <w:tcW w:w="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9"/>
                <w:szCs w:val="9"/>
                <w:b w:val="1"/>
                <w:bCs w:val="1"/>
                <w:color w:val="auto"/>
              </w:rPr>
              <w:t>Common Shares</w:t>
            </w:r>
          </w:p>
        </w:tc>
        <w:tc>
          <w:tcPr>
            <w:tcW w:w="220" w:type="dxa"/>
            <w:vAlign w:val="bottom"/>
          </w:tcPr>
          <w:p>
            <w:pPr>
              <w:spacing w:after="0"/>
              <w:rPr>
                <w:sz w:val="9"/>
                <w:szCs w:val="9"/>
                <w:color w:val="auto"/>
              </w:rPr>
            </w:pPr>
          </w:p>
        </w:tc>
        <w:tc>
          <w:tcPr>
            <w:tcW w:w="900" w:type="dxa"/>
            <w:vAlign w:val="bottom"/>
            <w:tcBorders>
              <w:bottom w:val="single" w:sz="8" w:color="auto"/>
            </w:tcBorders>
            <w:gridSpan w:val="5"/>
          </w:tcPr>
          <w:p>
            <w:pPr>
              <w:jc w:val="right"/>
              <w:ind w:right="2"/>
              <w:spacing w:after="0"/>
              <w:rPr>
                <w:sz w:val="20"/>
                <w:szCs w:val="20"/>
                <w:color w:val="auto"/>
              </w:rPr>
            </w:pPr>
            <w:r>
              <w:rPr>
                <w:rFonts w:ascii="Arial" w:cs="Arial" w:eastAsia="Arial" w:hAnsi="Arial"/>
                <w:sz w:val="9"/>
                <w:szCs w:val="9"/>
                <w:b w:val="1"/>
                <w:bCs w:val="1"/>
                <w:color w:val="auto"/>
              </w:rPr>
              <w:t>Incentive Shares</w:t>
            </w:r>
          </w:p>
        </w:tc>
        <w:tc>
          <w:tcPr>
            <w:tcW w:w="1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34"/>
              <w:spacing w:after="0"/>
              <w:rPr>
                <w:sz w:val="20"/>
                <w:szCs w:val="20"/>
                <w:color w:val="auto"/>
              </w:rPr>
            </w:pPr>
            <w:r>
              <w:rPr>
                <w:rFonts w:ascii="Arial" w:cs="Arial" w:eastAsia="Arial" w:hAnsi="Arial"/>
                <w:sz w:val="9"/>
                <w:szCs w:val="9"/>
                <w:b w:val="1"/>
                <w:bCs w:val="1"/>
                <w:color w:val="auto"/>
              </w:rPr>
              <w:t>Paid-In</w:t>
            </w:r>
          </w:p>
        </w:tc>
        <w:tc>
          <w:tcPr>
            <w:tcW w:w="160" w:type="dxa"/>
            <w:vAlign w:val="bottom"/>
          </w:tcPr>
          <w:p>
            <w:pPr>
              <w:spacing w:after="0"/>
              <w:rPr>
                <w:sz w:val="9"/>
                <w:szCs w:val="9"/>
                <w:color w:val="auto"/>
              </w:rPr>
            </w:pPr>
          </w:p>
        </w:tc>
        <w:tc>
          <w:tcPr>
            <w:tcW w:w="920" w:type="dxa"/>
            <w:vAlign w:val="bottom"/>
            <w:gridSpan w:val="5"/>
          </w:tcPr>
          <w:p>
            <w:pPr>
              <w:jc w:val="right"/>
              <w:ind w:right="300"/>
              <w:spacing w:after="0"/>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9"/>
                <w:szCs w:val="9"/>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Members'</w:t>
            </w:r>
          </w:p>
        </w:tc>
        <w:tc>
          <w:tcPr>
            <w:tcW w:w="0" w:type="dxa"/>
            <w:vAlign w:val="bottom"/>
          </w:tcPr>
          <w:p>
            <w:pPr>
              <w:spacing w:after="0"/>
              <w:rPr>
                <w:sz w:val="1"/>
                <w:szCs w:val="1"/>
                <w:color w:val="auto"/>
              </w:rPr>
            </w:pPr>
          </w:p>
        </w:tc>
      </w:tr>
      <w:tr>
        <w:trPr>
          <w:trHeight w:val="114"/>
        </w:trPr>
        <w:tc>
          <w:tcPr>
            <w:tcW w:w="2080" w:type="dxa"/>
            <w:vAlign w:val="bottom"/>
          </w:tcPr>
          <w:p>
            <w:pPr>
              <w:spacing w:after="0"/>
              <w:rPr>
                <w:sz w:val="9"/>
                <w:szCs w:val="9"/>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rPr>
              <w:t>Shares</w:t>
            </w: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auto"/>
            </w:tcBorders>
          </w:tcPr>
          <w:p>
            <w:pPr>
              <w:jc w:val="center"/>
              <w:ind w:left="169"/>
              <w:spacing w:after="0"/>
              <w:rPr>
                <w:sz w:val="20"/>
                <w:szCs w:val="20"/>
                <w:color w:val="auto"/>
              </w:rPr>
            </w:pPr>
            <w:r>
              <w:rPr>
                <w:rFonts w:ascii="Arial" w:cs="Arial" w:eastAsia="Arial" w:hAnsi="Arial"/>
                <w:sz w:val="9"/>
                <w:szCs w:val="9"/>
                <w:b w:val="1"/>
                <w:bCs w:val="1"/>
                <w:color w:val="auto"/>
                <w:w w:val="92"/>
              </w:rPr>
              <w:t>Interest</w:t>
            </w:r>
          </w:p>
        </w:tc>
        <w:tc>
          <w:tcPr>
            <w:tcW w:w="240" w:type="dxa"/>
            <w:vAlign w:val="bottom"/>
            <w:tcBorders>
              <w:bottom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w w:val="99"/>
              </w:rPr>
              <w:t>Amount</w:t>
            </w:r>
          </w:p>
        </w:tc>
        <w:tc>
          <w:tcPr>
            <w:tcW w:w="240" w:type="dxa"/>
            <w:vAlign w:val="bottom"/>
          </w:tcPr>
          <w:p>
            <w:pPr>
              <w:spacing w:after="0"/>
              <w:rPr>
                <w:sz w:val="9"/>
                <w:szCs w:val="9"/>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9"/>
                <w:szCs w:val="9"/>
                <w:b w:val="1"/>
                <w:bCs w:val="1"/>
                <w:color w:val="auto"/>
              </w:rPr>
              <w:t>Shares</w:t>
            </w:r>
          </w:p>
        </w:tc>
        <w:tc>
          <w:tcPr>
            <w:tcW w:w="220" w:type="dxa"/>
            <w:vAlign w:val="bottom"/>
          </w:tcPr>
          <w:p>
            <w:pPr>
              <w:spacing w:after="0"/>
              <w:rPr>
                <w:sz w:val="9"/>
                <w:szCs w:val="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3"/>
              </w:rPr>
              <w:t>Amount</w:t>
            </w:r>
          </w:p>
        </w:tc>
        <w:tc>
          <w:tcPr>
            <w:tcW w:w="220" w:type="dxa"/>
            <w:vAlign w:val="bottom"/>
          </w:tcPr>
          <w:p>
            <w:pPr>
              <w:spacing w:after="0"/>
              <w:rPr>
                <w:sz w:val="9"/>
                <w:szCs w:val="9"/>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w w:val="82"/>
              </w:rPr>
              <w:t>Amount</w:t>
            </w: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9"/>
                <w:szCs w:val="9"/>
                <w:b w:val="1"/>
                <w:bCs w:val="1"/>
                <w:color w:val="auto"/>
              </w:rPr>
              <w:t>Capital</w:t>
            </w:r>
          </w:p>
        </w:tc>
        <w:tc>
          <w:tcPr>
            <w:tcW w:w="160" w:type="dxa"/>
            <w:vAlign w:val="bottom"/>
          </w:tcPr>
          <w:p>
            <w:pPr>
              <w:spacing w:after="0"/>
              <w:rPr>
                <w:sz w:val="9"/>
                <w:szCs w:val="9"/>
                <w:color w:val="auto"/>
              </w:rPr>
            </w:pPr>
          </w:p>
        </w:tc>
        <w:tc>
          <w:tcPr>
            <w:tcW w:w="70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9"/>
                <w:szCs w:val="9"/>
                <w:b w:val="1"/>
                <w:bCs w:val="1"/>
                <w:color w:val="auto"/>
              </w:rPr>
              <w:t>Deficit</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31"/>
              <w:spacing w:after="0"/>
              <w:rPr>
                <w:sz w:val="20"/>
                <w:szCs w:val="20"/>
                <w:color w:val="auto"/>
              </w:rPr>
            </w:pPr>
            <w:r>
              <w:rPr>
                <w:rFonts w:ascii="Arial" w:cs="Arial" w:eastAsia="Arial" w:hAnsi="Arial"/>
                <w:sz w:val="9"/>
                <w:szCs w:val="9"/>
                <w:b w:val="1"/>
                <w:bCs w:val="1"/>
                <w:color w:val="auto"/>
                <w:w w:val="89"/>
              </w:rPr>
              <w:t>(Deficit)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80" w:type="dxa"/>
            <w:vAlign w:val="bottom"/>
            <w:shd w:val="clear" w:color="auto" w:fill="CFF0FC"/>
          </w:tcPr>
          <w:p>
            <w:pPr>
              <w:ind w:left="20"/>
              <w:spacing w:after="0" w:line="89" w:lineRule="exact"/>
              <w:rPr>
                <w:sz w:val="20"/>
                <w:szCs w:val="20"/>
                <w:color w:val="auto"/>
              </w:rPr>
            </w:pPr>
            <w:r>
              <w:rPr>
                <w:rFonts w:ascii="Arial" w:cs="Arial" w:eastAsia="Arial" w:hAnsi="Arial"/>
                <w:sz w:val="9"/>
                <w:szCs w:val="9"/>
                <w:b w:val="1"/>
                <w:bCs w:val="1"/>
                <w:color w:val="auto"/>
              </w:rPr>
              <w:t>Balance at December 31, 2020</w:t>
            </w:r>
          </w:p>
        </w:tc>
        <w:tc>
          <w:tcPr>
            <w:tcW w:w="5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40" w:type="dxa"/>
            <w:vAlign w:val="bottom"/>
            <w:tcBorders>
              <w:right w:val="single" w:sz="8" w:color="CFF0FC"/>
            </w:tcBorders>
            <w:shd w:val="clear" w:color="auto" w:fill="CFF0FC"/>
          </w:tcPr>
          <w:p>
            <w:pPr>
              <w:spacing w:after="0"/>
              <w:rPr>
                <w:sz w:val="7"/>
                <w:szCs w:val="7"/>
                <w:color w:val="auto"/>
              </w:rPr>
            </w:pPr>
          </w:p>
        </w:tc>
        <w:tc>
          <w:tcPr>
            <w:tcW w:w="240" w:type="dxa"/>
            <w:vAlign w:val="bottom"/>
            <w:tcBorders>
              <w:right w:val="single" w:sz="8" w:color="auto"/>
            </w:tcBorders>
            <w:shd w:val="clear" w:color="auto" w:fill="CFF0FC"/>
          </w:tcPr>
          <w:p>
            <w:pPr>
              <w:spacing w:after="0"/>
              <w:rPr>
                <w:sz w:val="7"/>
                <w:szCs w:val="7"/>
                <w:color w:val="auto"/>
              </w:rPr>
            </w:pPr>
          </w:p>
        </w:tc>
        <w:tc>
          <w:tcPr>
            <w:tcW w:w="100" w:type="dxa"/>
            <w:vAlign w:val="bottom"/>
            <w:tcBorders>
              <w:right w:val="single" w:sz="8" w:color="CFF0FC"/>
            </w:tcBorders>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80" w:type="dxa"/>
            <w:vAlign w:val="bottom"/>
            <w:tcBorders>
              <w:right w:val="single" w:sz="8" w:color="CFF0FC"/>
            </w:tcBorders>
            <w:gridSpan w:val="2"/>
            <w:shd w:val="clear" w:color="auto" w:fill="CFF0FC"/>
          </w:tcPr>
          <w:p>
            <w:pPr>
              <w:jc w:val="right"/>
              <w:ind w:right="12"/>
              <w:spacing w:after="0" w:line="89" w:lineRule="exact"/>
              <w:rPr>
                <w:sz w:val="20"/>
                <w:szCs w:val="20"/>
                <w:color w:val="auto"/>
              </w:rPr>
            </w:pPr>
            <w:r>
              <w:rPr>
                <w:rFonts w:ascii="Arial" w:cs="Arial" w:eastAsia="Arial" w:hAnsi="Arial"/>
                <w:sz w:val="9"/>
                <w:szCs w:val="9"/>
                <w:color w:val="auto"/>
              </w:rPr>
              <w:t>6,035,86</w:t>
            </w:r>
          </w:p>
        </w:tc>
        <w:tc>
          <w:tcPr>
            <w:tcW w:w="22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460" w:type="dxa"/>
            <w:vAlign w:val="bottom"/>
            <w:shd w:val="clear" w:color="auto" w:fill="CFF0FC"/>
          </w:tcPr>
          <w:p>
            <w:pPr>
              <w:jc w:val="right"/>
              <w:spacing w:after="0" w:line="89" w:lineRule="exact"/>
              <w:rPr>
                <w:sz w:val="20"/>
                <w:szCs w:val="20"/>
                <w:color w:val="auto"/>
              </w:rPr>
            </w:pPr>
            <w:r>
              <w:rPr>
                <w:rFonts w:ascii="Arial" w:cs="Arial" w:eastAsia="Arial" w:hAnsi="Arial"/>
                <w:sz w:val="9"/>
                <w:szCs w:val="9"/>
                <w:color w:val="auto"/>
              </w:rPr>
              <w:t>4,112,01</w:t>
            </w:r>
          </w:p>
        </w:tc>
        <w:tc>
          <w:tcPr>
            <w:tcW w:w="1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40" w:type="dxa"/>
            <w:vAlign w:val="bottom"/>
            <w:tcBorders>
              <w:lef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20" w:type="dxa"/>
            <w:vAlign w:val="bottom"/>
            <w:tcBorders>
              <w:right w:val="single" w:sz="8" w:color="CFF0FC"/>
            </w:tcBorders>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22,851,257</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91,964</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409"/>
              <w:spacing w:after="0"/>
              <w:rPr>
                <w:sz w:val="20"/>
                <w:szCs w:val="20"/>
                <w:color w:val="auto"/>
              </w:rPr>
            </w:pPr>
            <w:r>
              <w:rPr>
                <w:rFonts w:ascii="Arial" w:cs="Arial" w:eastAsia="Arial" w:hAnsi="Arial"/>
                <w:sz w:val="9"/>
                <w:szCs w:val="9"/>
                <w:color w:val="auto"/>
              </w:rPr>
              <w:t>$</w:t>
            </w: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9"/>
                <w:szCs w:val="9"/>
                <w:color w:val="auto"/>
                <w:w w:val="79"/>
              </w:rPr>
              <w:t>5,702</w:t>
            </w: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620" w:type="dxa"/>
            <w:vAlign w:val="bottom"/>
            <w:gridSpan w:val="2"/>
            <w:shd w:val="clear" w:color="auto" w:fill="CFF0FC"/>
          </w:tcPr>
          <w:p>
            <w:pPr>
              <w:jc w:val="right"/>
              <w:ind w:right="106"/>
              <w:spacing w:after="0"/>
              <w:rPr>
                <w:sz w:val="20"/>
                <w:szCs w:val="20"/>
                <w:color w:val="auto"/>
              </w:rPr>
            </w:pPr>
            <w:r>
              <w:rPr>
                <w:rFonts w:ascii="Arial" w:cs="Arial" w:eastAsia="Arial" w:hAnsi="Arial"/>
                <w:sz w:val="9"/>
                <w:szCs w:val="9"/>
                <w:color w:val="auto"/>
              </w:rPr>
              <w:t>—</w:t>
            </w:r>
          </w:p>
        </w:tc>
        <w:tc>
          <w:tcPr>
            <w:tcW w:w="220" w:type="dxa"/>
            <w:vAlign w:val="bottom"/>
            <w:gridSpan w:val="2"/>
            <w:shd w:val="clear" w:color="auto" w:fill="CFF0FC"/>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780" w:type="dxa"/>
            <w:vAlign w:val="bottom"/>
            <w:tcBorders>
              <w:right w:val="single" w:sz="8" w:color="CFF0FC"/>
            </w:tcBorders>
            <w:gridSpan w:val="2"/>
            <w:shd w:val="clear" w:color="auto" w:fill="CFF0FC"/>
          </w:tcPr>
          <w:p>
            <w:pPr>
              <w:jc w:val="right"/>
              <w:ind w:right="12"/>
              <w:spacing w:after="0"/>
              <w:rPr>
                <w:sz w:val="20"/>
                <w:szCs w:val="20"/>
                <w:color w:val="auto"/>
              </w:rPr>
            </w:pPr>
            <w:r>
              <w:rPr>
                <w:rFonts w:ascii="Arial" w:cs="Arial" w:eastAsia="Arial" w:hAnsi="Arial"/>
                <w:sz w:val="9"/>
                <w:szCs w:val="9"/>
                <w:color w:val="auto"/>
              </w:rPr>
              <w:t>9</w:t>
            </w: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9"/>
                <w:szCs w:val="9"/>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9"/>
                <w:szCs w:val="9"/>
                <w:color w:val="auto"/>
              </w:rPr>
              <w:t>2,000</w:t>
            </w: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9"/>
                <w:szCs w:val="9"/>
                <w:color w:val="auto"/>
              </w:rPr>
              <w:t>2</w:t>
            </w:r>
          </w:p>
        </w:tc>
        <w:tc>
          <w:tcPr>
            <w:tcW w:w="140" w:type="dxa"/>
            <w:vAlign w:val="bottom"/>
            <w:shd w:val="clear" w:color="auto" w:fill="CFF0FC"/>
          </w:tcPr>
          <w:p>
            <w:pPr>
              <w:spacing w:after="0"/>
              <w:rPr>
                <w:sz w:val="10"/>
                <w:szCs w:val="10"/>
                <w:color w:val="auto"/>
              </w:rPr>
            </w:pPr>
          </w:p>
        </w:tc>
        <w:tc>
          <w:tcPr>
            <w:tcW w:w="220" w:type="dxa"/>
            <w:vAlign w:val="bottom"/>
            <w:gridSpan w:val="2"/>
            <w:shd w:val="clear" w:color="auto" w:fill="CFF0FC"/>
          </w:tcPr>
          <w:p>
            <w:pPr>
              <w:jc w:val="right"/>
              <w:ind w:right="27"/>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9"/>
                <w:szCs w:val="9"/>
                <w:color w:val="auto"/>
                <w:w w:val="92"/>
              </w:rPr>
              <w:t>637</w:t>
            </w:r>
          </w:p>
        </w:tc>
        <w:tc>
          <w:tcPr>
            <w:tcW w:w="2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FF0FC"/>
          </w:tcPr>
          <w:p>
            <w:pPr>
              <w:jc w:val="right"/>
              <w:ind w:right="168"/>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560" w:type="dxa"/>
            <w:vAlign w:val="bottom"/>
            <w:gridSpan w:val="3"/>
            <w:shd w:val="clear" w:color="auto" w:fill="CFF0FC"/>
          </w:tcPr>
          <w:p>
            <w:pPr>
              <w:jc w:val="right"/>
              <w:ind w:right="160"/>
              <w:spacing w:after="0"/>
              <w:rPr>
                <w:sz w:val="20"/>
                <w:szCs w:val="20"/>
                <w:color w:val="auto"/>
              </w:rPr>
            </w:pPr>
            <w:r>
              <w:rPr>
                <w:rFonts w:ascii="Arial" w:cs="Arial" w:eastAsia="Arial" w:hAnsi="Arial"/>
                <w:sz w:val="9"/>
                <w:szCs w:val="9"/>
                <w:color w:val="auto"/>
              </w:rPr>
              <w:t>(56,842 )</w:t>
            </w:r>
          </w:p>
        </w:tc>
        <w:tc>
          <w:tcPr>
            <w:tcW w:w="80" w:type="dxa"/>
            <w:vAlign w:val="bottom"/>
            <w:shd w:val="clear" w:color="auto" w:fill="CFF0FC"/>
          </w:tcPr>
          <w:p>
            <w:pPr>
              <w:ind w:left="20"/>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9"/>
                <w:szCs w:val="9"/>
                <w:color w:val="auto"/>
              </w:rPr>
              <w:t>(54,205 )</w:t>
            </w:r>
          </w:p>
        </w:tc>
        <w:tc>
          <w:tcPr>
            <w:tcW w:w="0" w:type="dxa"/>
            <w:vAlign w:val="bottom"/>
          </w:tcPr>
          <w:p>
            <w:pPr>
              <w:spacing w:after="0"/>
              <w:rPr>
                <w:sz w:val="1"/>
                <w:szCs w:val="1"/>
                <w:color w:val="auto"/>
              </w:rPr>
            </w:pPr>
          </w:p>
        </w:tc>
      </w:tr>
      <w:tr>
        <w:trPr>
          <w:trHeight w:val="88"/>
        </w:trPr>
        <w:tc>
          <w:tcPr>
            <w:tcW w:w="2080" w:type="dxa"/>
            <w:vAlign w:val="bottom"/>
            <w:tcBorders>
              <w:top w:val="single" w:sz="8" w:color="CFF0FC"/>
            </w:tcBorders>
          </w:tcPr>
          <w:p>
            <w:pPr>
              <w:ind w:left="20"/>
              <w:spacing w:after="0" w:line="89" w:lineRule="exact"/>
              <w:rPr>
                <w:sz w:val="20"/>
                <w:szCs w:val="20"/>
                <w:color w:val="auto"/>
              </w:rPr>
            </w:pPr>
            <w:r>
              <w:rPr>
                <w:rFonts w:ascii="Arial" w:cs="Arial" w:eastAsia="Arial" w:hAnsi="Arial"/>
                <w:sz w:val="9"/>
                <w:szCs w:val="9"/>
                <w:color w:val="auto"/>
              </w:rPr>
              <w:t>Issuance of Series B redeemable</w:t>
            </w: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40" w:type="dxa"/>
            <w:vAlign w:val="bottom"/>
            <w:tcBorders>
              <w:top w:val="single" w:sz="8" w:color="CFF0FC"/>
              <w:right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tcPr>
          <w:p>
            <w:pPr>
              <w:ind w:left="80"/>
              <w:spacing w:after="0" w:line="88" w:lineRule="exact"/>
              <w:rPr>
                <w:sz w:val="20"/>
                <w:szCs w:val="20"/>
                <w:color w:val="auto"/>
              </w:rPr>
            </w:pPr>
            <w:r>
              <w:rPr>
                <w:rFonts w:ascii="Arial" w:cs="Arial" w:eastAsia="Arial" w:hAnsi="Arial"/>
                <w:sz w:val="9"/>
                <w:szCs w:val="9"/>
                <w:color w:val="auto"/>
              </w:rPr>
              <w:t>convertible preferred shares for</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80"/>
              <w:spacing w:after="0"/>
              <w:rPr>
                <w:sz w:val="20"/>
                <w:szCs w:val="20"/>
                <w:color w:val="auto"/>
              </w:rPr>
            </w:pPr>
            <w:r>
              <w:rPr>
                <w:rFonts w:ascii="Arial" w:cs="Arial" w:eastAsia="Arial" w:hAnsi="Arial"/>
                <w:sz w:val="9"/>
                <w:szCs w:val="9"/>
                <w:color w:val="auto"/>
              </w:rPr>
              <w:t>cash, net of issuance costs of $243</w:t>
            </w:r>
          </w:p>
        </w:tc>
        <w:tc>
          <w:tcPr>
            <w:tcW w:w="540" w:type="dxa"/>
            <w:vAlign w:val="bottom"/>
          </w:tcPr>
          <w:p>
            <w:pPr>
              <w:jc w:val="right"/>
              <w:spacing w:after="0"/>
              <w:rPr>
                <w:sz w:val="20"/>
                <w:szCs w:val="20"/>
                <w:color w:val="auto"/>
              </w:rPr>
            </w:pPr>
            <w:r>
              <w:rPr>
                <w:rFonts w:ascii="Arial" w:cs="Arial" w:eastAsia="Arial" w:hAnsi="Arial"/>
                <w:sz w:val="9"/>
                <w:szCs w:val="9"/>
                <w:color w:val="auto"/>
              </w:rPr>
              <w:t>9,638,141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9"/>
                <w:szCs w:val="9"/>
                <w:color w:val="auto"/>
              </w:rPr>
              <w:t>129,757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226"/>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6"/>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17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2"/>
        </w:trPr>
        <w:tc>
          <w:tcPr>
            <w:tcW w:w="2080" w:type="dxa"/>
            <w:vAlign w:val="bottom"/>
            <w:shd w:val="clear" w:color="auto" w:fill="CFF0FC"/>
          </w:tcPr>
          <w:p>
            <w:pPr>
              <w:ind w:left="20"/>
              <w:spacing w:after="0"/>
              <w:rPr>
                <w:sz w:val="20"/>
                <w:szCs w:val="20"/>
                <w:color w:val="auto"/>
              </w:rPr>
            </w:pPr>
            <w:r>
              <w:rPr>
                <w:rFonts w:ascii="Arial" w:cs="Arial" w:eastAsia="Arial" w:hAnsi="Arial"/>
                <w:sz w:val="9"/>
                <w:szCs w:val="9"/>
                <w:color w:val="auto"/>
              </w:rPr>
              <w:t>Share-based compensation expenses</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226"/>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620" w:type="dxa"/>
            <w:vAlign w:val="bottom"/>
            <w:gridSpan w:val="2"/>
            <w:shd w:val="clear" w:color="auto" w:fill="CFF0FC"/>
          </w:tcPr>
          <w:p>
            <w:pPr>
              <w:jc w:val="right"/>
              <w:ind w:right="106"/>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9"/>
                <w:szCs w:val="9"/>
                <w:color w:val="auto"/>
                <w:w w:val="92"/>
              </w:rPr>
              <w:t>538</w:t>
            </w:r>
          </w:p>
        </w:tc>
        <w:tc>
          <w:tcPr>
            <w:tcW w:w="2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538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Pr>
          <w:p>
            <w:pPr>
              <w:ind w:left="20"/>
              <w:spacing w:after="0"/>
              <w:rPr>
                <w:sz w:val="20"/>
                <w:szCs w:val="20"/>
                <w:color w:val="auto"/>
              </w:rPr>
            </w:pPr>
            <w:r>
              <w:rPr>
                <w:rFonts w:ascii="Arial" w:cs="Arial" w:eastAsia="Arial" w:hAnsi="Arial"/>
                <w:sz w:val="9"/>
                <w:szCs w:val="9"/>
                <w:color w:val="auto"/>
              </w:rPr>
              <w:t>Issuance of incentive shares</w:t>
            </w:r>
          </w:p>
        </w:tc>
        <w:tc>
          <w:tcPr>
            <w:tcW w:w="7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226"/>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06"/>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874,335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17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080" w:type="dxa"/>
            <w:vAlign w:val="bottom"/>
            <w:shd w:val="clear" w:color="auto" w:fill="CFF0FC"/>
          </w:tcPr>
          <w:p>
            <w:pPr>
              <w:ind w:left="20"/>
              <w:spacing w:after="0" w:line="95" w:lineRule="exact"/>
              <w:rPr>
                <w:sz w:val="20"/>
                <w:szCs w:val="20"/>
                <w:color w:val="auto"/>
              </w:rPr>
            </w:pPr>
            <w:r>
              <w:rPr>
                <w:rFonts w:ascii="Arial" w:cs="Arial" w:eastAsia="Arial" w:hAnsi="Arial"/>
                <w:sz w:val="9"/>
                <w:szCs w:val="9"/>
                <w:color w:val="auto"/>
              </w:rPr>
              <w:t>Net loss attributable to redeemable</w:t>
            </w:r>
          </w:p>
        </w:tc>
        <w:tc>
          <w:tcPr>
            <w:tcW w:w="5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40" w:type="dxa"/>
            <w:vAlign w:val="bottom"/>
            <w:tcBorders>
              <w:right w:val="single" w:sz="8" w:color="CFF0FC"/>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40" w:type="dxa"/>
            <w:vAlign w:val="bottom"/>
            <w:tcBorders>
              <w:lef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80" w:type="dxa"/>
            <w:vAlign w:val="bottom"/>
            <w:shd w:val="clear" w:color="auto" w:fill="CFF0FC"/>
          </w:tcPr>
          <w:p>
            <w:pPr>
              <w:ind w:left="80"/>
              <w:spacing w:after="0"/>
              <w:rPr>
                <w:sz w:val="20"/>
                <w:szCs w:val="20"/>
                <w:color w:val="auto"/>
              </w:rPr>
            </w:pPr>
            <w:r>
              <w:rPr>
                <w:rFonts w:ascii="Arial" w:cs="Arial" w:eastAsia="Arial" w:hAnsi="Arial"/>
                <w:sz w:val="9"/>
                <w:szCs w:val="9"/>
                <w:color w:val="auto"/>
              </w:rPr>
              <w:t>noncontrolling interest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6"/>
              <w:spacing w:after="0"/>
              <w:rPr>
                <w:sz w:val="20"/>
                <w:szCs w:val="20"/>
                <w:color w:val="auto"/>
              </w:rPr>
            </w:pPr>
            <w:r>
              <w:rPr>
                <w:rFonts w:ascii="Arial" w:cs="Arial" w:eastAsia="Arial" w:hAnsi="Arial"/>
                <w:sz w:val="9"/>
                <w:szCs w:val="9"/>
                <w:color w:val="auto"/>
              </w:rPr>
              <w:t>(919 )</w:t>
            </w:r>
          </w:p>
        </w:tc>
        <w:tc>
          <w:tcPr>
            <w:tcW w:w="100" w:type="dxa"/>
            <w:vAlign w:val="bottom"/>
            <w:tcBorders>
              <w:right w:val="single" w:sz="8" w:color="CFF0FC"/>
            </w:tcBorders>
            <w:shd w:val="clear" w:color="auto" w:fill="CFF0FC"/>
          </w:tcPr>
          <w:p>
            <w:pPr>
              <w:spacing w:after="0"/>
              <w:rPr>
                <w:sz w:val="10"/>
                <w:szCs w:val="10"/>
                <w:color w:val="auto"/>
              </w:rPr>
            </w:pPr>
          </w:p>
        </w:tc>
        <w:tc>
          <w:tcPr>
            <w:tcW w:w="620" w:type="dxa"/>
            <w:vAlign w:val="bottom"/>
            <w:gridSpan w:val="2"/>
            <w:shd w:val="clear" w:color="auto" w:fill="CFF0FC"/>
          </w:tcPr>
          <w:p>
            <w:pPr>
              <w:jc w:val="right"/>
              <w:ind w:right="106"/>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71"/>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Net loss attributable to Day One</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80" w:type="dxa"/>
            <w:vAlign w:val="bottom"/>
          </w:tcPr>
          <w:p>
            <w:pPr>
              <w:ind w:left="80"/>
              <w:spacing w:after="0" w:line="88" w:lineRule="exact"/>
              <w:rPr>
                <w:sz w:val="20"/>
                <w:szCs w:val="20"/>
                <w:color w:val="auto"/>
              </w:rPr>
            </w:pPr>
            <w:r>
              <w:rPr>
                <w:rFonts w:ascii="Arial" w:cs="Arial" w:eastAsia="Arial" w:hAnsi="Arial"/>
                <w:sz w:val="9"/>
                <w:szCs w:val="9"/>
                <w:color w:val="auto"/>
              </w:rPr>
              <w:t>Biopharmaceuticals Holding</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80" w:type="dxa"/>
            <w:vAlign w:val="bottom"/>
          </w:tcPr>
          <w:p>
            <w:pPr>
              <w:ind w:left="80"/>
              <w:spacing w:after="0"/>
              <w:rPr>
                <w:sz w:val="20"/>
                <w:szCs w:val="20"/>
                <w:color w:val="auto"/>
              </w:rPr>
            </w:pPr>
            <w:r>
              <w:rPr>
                <w:rFonts w:ascii="Arial" w:cs="Arial" w:eastAsia="Arial" w:hAnsi="Arial"/>
                <w:sz w:val="9"/>
                <w:szCs w:val="9"/>
                <w:color w:val="auto"/>
              </w:rPr>
              <w:t>Company, LLC members</w:t>
            </w: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540" w:type="dxa"/>
            <w:vAlign w:val="bottom"/>
          </w:tcPr>
          <w:p>
            <w:pPr>
              <w:jc w:val="right"/>
              <w:ind w:right="12"/>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9"/>
                <w:szCs w:val="9"/>
                <w:color w:val="auto"/>
              </w:rPr>
              <w:t>(15,182 )</w:t>
            </w:r>
          </w:p>
        </w:tc>
        <w:tc>
          <w:tcPr>
            <w:tcW w:w="80" w:type="dxa"/>
            <w:vAlign w:val="bottom"/>
          </w:tcPr>
          <w:p>
            <w:pPr>
              <w:spacing w:after="0"/>
              <w:rPr>
                <w:sz w:val="9"/>
                <w:szCs w:val="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(15,182 )</w:t>
            </w:r>
          </w:p>
        </w:tc>
        <w:tc>
          <w:tcPr>
            <w:tcW w:w="0" w:type="dxa"/>
            <w:vAlign w:val="bottom"/>
          </w:tcPr>
          <w:p>
            <w:pPr>
              <w:spacing w:after="0"/>
              <w:rPr>
                <w:sz w:val="1"/>
                <w:szCs w:val="1"/>
                <w:color w:val="auto"/>
              </w:rPr>
            </w:pPr>
          </w:p>
        </w:tc>
      </w:tr>
      <w:tr>
        <w:trPr>
          <w:trHeight w:val="89"/>
        </w:trPr>
        <w:tc>
          <w:tcPr>
            <w:tcW w:w="2080" w:type="dxa"/>
            <w:vAlign w:val="bottom"/>
            <w:shd w:val="clear" w:color="auto" w:fill="CFF0FC"/>
          </w:tcPr>
          <w:p>
            <w:pPr>
              <w:ind w:left="20"/>
              <w:spacing w:after="0" w:line="89" w:lineRule="exact"/>
              <w:rPr>
                <w:sz w:val="20"/>
                <w:szCs w:val="20"/>
                <w:color w:val="auto"/>
              </w:rPr>
            </w:pPr>
            <w:r>
              <w:rPr>
                <w:rFonts w:ascii="Arial" w:cs="Arial" w:eastAsia="Arial" w:hAnsi="Arial"/>
                <w:sz w:val="9"/>
                <w:szCs w:val="9"/>
                <w:b w:val="1"/>
                <w:bCs w:val="1"/>
                <w:color w:val="auto"/>
              </w:rPr>
              <w:t>Balance at March 31, 2021</w:t>
            </w:r>
          </w:p>
        </w:tc>
        <w:tc>
          <w:tcPr>
            <w:tcW w:w="540" w:type="dxa"/>
            <w:vAlign w:val="bottom"/>
            <w:tcBorders>
              <w:top w:val="single" w:sz="8" w:color="auto"/>
            </w:tcBorders>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20" w:type="dxa"/>
            <w:vAlign w:val="bottom"/>
            <w:tcBorders>
              <w:top w:val="single" w:sz="8" w:color="auto"/>
            </w:tcBorders>
            <w:shd w:val="clear" w:color="auto" w:fill="CFF0FC"/>
          </w:tcPr>
          <w:p>
            <w:pPr>
              <w:spacing w:after="0"/>
              <w:rPr>
                <w:sz w:val="7"/>
                <w:szCs w:val="7"/>
                <w:color w:val="auto"/>
              </w:rPr>
            </w:pPr>
          </w:p>
        </w:tc>
        <w:tc>
          <w:tcPr>
            <w:tcW w:w="240" w:type="dxa"/>
            <w:vAlign w:val="bottom"/>
            <w:tcBorders>
              <w:top w:val="single" w:sz="8" w:color="auto"/>
              <w:right w:val="single" w:sz="8" w:color="CFF0FC"/>
            </w:tcBorders>
            <w:shd w:val="clear" w:color="auto" w:fill="CFF0FC"/>
          </w:tcPr>
          <w:p>
            <w:pPr>
              <w:spacing w:after="0"/>
              <w:rPr>
                <w:sz w:val="7"/>
                <w:szCs w:val="7"/>
                <w:color w:val="auto"/>
              </w:rPr>
            </w:pPr>
          </w:p>
        </w:tc>
        <w:tc>
          <w:tcPr>
            <w:tcW w:w="240" w:type="dxa"/>
            <w:vAlign w:val="bottom"/>
            <w:tcBorders>
              <w:right w:val="single" w:sz="8" w:color="auto"/>
            </w:tcBorders>
            <w:shd w:val="clear" w:color="auto" w:fill="CFF0FC"/>
          </w:tcPr>
          <w:p>
            <w:pPr>
              <w:spacing w:after="0"/>
              <w:rPr>
                <w:sz w:val="7"/>
                <w:szCs w:val="7"/>
                <w:color w:val="auto"/>
              </w:rPr>
            </w:pPr>
          </w:p>
        </w:tc>
        <w:tc>
          <w:tcPr>
            <w:tcW w:w="100" w:type="dxa"/>
            <w:vAlign w:val="bottom"/>
            <w:tcBorders>
              <w:right w:val="single" w:sz="8" w:color="CFF0FC"/>
            </w:tcBorders>
            <w:shd w:val="clear" w:color="auto" w:fill="CFF0FC"/>
          </w:tcPr>
          <w:p>
            <w:pPr>
              <w:spacing w:after="0"/>
              <w:rPr>
                <w:sz w:val="7"/>
                <w:szCs w:val="7"/>
                <w:color w:val="auto"/>
              </w:rPr>
            </w:pPr>
          </w:p>
        </w:tc>
        <w:tc>
          <w:tcPr>
            <w:tcW w:w="480" w:type="dxa"/>
            <w:vAlign w:val="bottom"/>
            <w:tcBorders>
              <w:top w:val="single" w:sz="8" w:color="auto"/>
            </w:tcBorders>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40" w:type="dxa"/>
            <w:vAlign w:val="bottom"/>
            <w:tcBorders>
              <w:top w:val="single" w:sz="8" w:color="auto"/>
              <w:right w:val="single" w:sz="8" w:color="CFF0FC"/>
            </w:tcBorders>
            <w:shd w:val="clear" w:color="auto" w:fill="CFF0FC"/>
          </w:tcPr>
          <w:p>
            <w:pPr>
              <w:jc w:val="right"/>
              <w:ind w:right="12"/>
              <w:spacing w:after="0" w:line="89" w:lineRule="exact"/>
              <w:rPr>
                <w:sz w:val="20"/>
                <w:szCs w:val="20"/>
                <w:color w:val="auto"/>
              </w:rPr>
            </w:pPr>
            <w:r>
              <w:rPr>
                <w:rFonts w:ascii="Arial" w:cs="Arial" w:eastAsia="Arial" w:hAnsi="Arial"/>
                <w:sz w:val="9"/>
                <w:szCs w:val="9"/>
                <w:color w:val="auto"/>
              </w:rPr>
              <w:t>6,035,86</w:t>
            </w:r>
          </w:p>
        </w:tc>
        <w:tc>
          <w:tcPr>
            <w:tcW w:w="220" w:type="dxa"/>
            <w:vAlign w:val="bottom"/>
            <w:tcBorders>
              <w:right w:val="single" w:sz="8" w:color="CFF0FC"/>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460" w:type="dxa"/>
            <w:vAlign w:val="bottom"/>
            <w:tcBorders>
              <w:top w:val="single" w:sz="8" w:color="auto"/>
            </w:tcBorders>
            <w:shd w:val="clear" w:color="auto" w:fill="CFF0FC"/>
          </w:tcPr>
          <w:p>
            <w:pPr>
              <w:jc w:val="right"/>
              <w:spacing w:after="0" w:line="89" w:lineRule="exact"/>
              <w:rPr>
                <w:sz w:val="20"/>
                <w:szCs w:val="20"/>
                <w:color w:val="auto"/>
              </w:rPr>
            </w:pPr>
            <w:r>
              <w:rPr>
                <w:rFonts w:ascii="Arial" w:cs="Arial" w:eastAsia="Arial" w:hAnsi="Arial"/>
                <w:sz w:val="9"/>
                <w:szCs w:val="9"/>
                <w:color w:val="auto"/>
              </w:rPr>
              <w:t>4,986,35</w:t>
            </w:r>
          </w:p>
        </w:tc>
        <w:tc>
          <w:tcPr>
            <w:tcW w:w="1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240" w:type="dxa"/>
            <w:vAlign w:val="bottom"/>
            <w:tcBorders>
              <w:left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520" w:type="dxa"/>
            <w:vAlign w:val="bottom"/>
            <w:tcBorders>
              <w:top w:val="single" w:sz="8" w:color="auto"/>
              <w:right w:val="single" w:sz="8" w:color="CFF0FC"/>
            </w:tcBorders>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8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70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32,489,398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221,721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9"/>
                <w:szCs w:val="9"/>
                <w:color w:val="auto"/>
                <w:w w:val="79"/>
              </w:rPr>
              <w:t>4,783</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106"/>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780" w:type="dxa"/>
            <w:vAlign w:val="bottom"/>
            <w:tcBorders>
              <w:right w:val="single" w:sz="8" w:color="CFF0FC"/>
            </w:tcBorders>
            <w:gridSpan w:val="2"/>
            <w:shd w:val="clear" w:color="auto" w:fill="CFF0FC"/>
          </w:tcPr>
          <w:p>
            <w:pPr>
              <w:jc w:val="right"/>
              <w:ind w:right="12"/>
              <w:spacing w:after="0"/>
              <w:rPr>
                <w:sz w:val="20"/>
                <w:szCs w:val="20"/>
                <w:color w:val="auto"/>
              </w:rPr>
            </w:pPr>
            <w:r>
              <w:rPr>
                <w:rFonts w:ascii="Arial" w:cs="Arial" w:eastAsia="Arial" w:hAnsi="Arial"/>
                <w:sz w:val="9"/>
                <w:szCs w:val="9"/>
                <w:color w:val="auto"/>
              </w:rPr>
              <w:t>9</w:t>
            </w: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9"/>
                <w:szCs w:val="9"/>
                <w:color w:val="auto"/>
              </w:rPr>
              <w:t>2,000</w:t>
            </w: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9"/>
                <w:szCs w:val="9"/>
                <w:color w:val="auto"/>
              </w:rPr>
              <w:t>2</w:t>
            </w:r>
          </w:p>
        </w:tc>
        <w:tc>
          <w:tcPr>
            <w:tcW w:w="140" w:type="dxa"/>
            <w:vAlign w:val="bottom"/>
            <w:shd w:val="clear" w:color="auto" w:fill="CFF0FC"/>
          </w:tcPr>
          <w:p>
            <w:pPr>
              <w:spacing w:after="0"/>
              <w:rPr>
                <w:sz w:val="14"/>
                <w:szCs w:val="14"/>
                <w:color w:val="auto"/>
              </w:rPr>
            </w:pPr>
          </w:p>
        </w:tc>
        <w:tc>
          <w:tcPr>
            <w:tcW w:w="440" w:type="dxa"/>
            <w:vAlign w:val="bottom"/>
            <w:gridSpan w:val="4"/>
            <w:shd w:val="clear" w:color="auto" w:fill="CFF0FC"/>
          </w:tcPr>
          <w:p>
            <w:pPr>
              <w:jc w:val="right"/>
              <w:spacing w:after="0"/>
              <w:rPr>
                <w:sz w:val="20"/>
                <w:szCs w:val="20"/>
                <w:color w:val="auto"/>
              </w:rPr>
            </w:pPr>
            <w:r>
              <w:rPr>
                <w:rFonts w:ascii="Arial" w:cs="Arial" w:eastAsia="Arial" w:hAnsi="Arial"/>
                <w:sz w:val="9"/>
                <w:szCs w:val="9"/>
                <w:color w:val="auto"/>
              </w:rPr>
              <w:t>1,175</w:t>
            </w:r>
          </w:p>
        </w:tc>
        <w:tc>
          <w:tcPr>
            <w:tcW w:w="24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160"/>
              <w:spacing w:after="0"/>
              <w:rPr>
                <w:sz w:val="20"/>
                <w:szCs w:val="20"/>
                <w:color w:val="auto"/>
              </w:rPr>
            </w:pPr>
            <w:r>
              <w:rPr>
                <w:rFonts w:ascii="Arial" w:cs="Arial" w:eastAsia="Arial" w:hAnsi="Arial"/>
                <w:sz w:val="9"/>
                <w:szCs w:val="9"/>
                <w:color w:val="auto"/>
              </w:rPr>
              <w:t>(72,024 )</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9"/>
                <w:szCs w:val="9"/>
                <w:color w:val="auto"/>
              </w:rPr>
              <w:t>(68,849 )</w:t>
            </w:r>
          </w:p>
        </w:tc>
        <w:tc>
          <w:tcPr>
            <w:tcW w:w="0" w:type="dxa"/>
            <w:vAlign w:val="bottom"/>
          </w:tcPr>
          <w:p>
            <w:pPr>
              <w:spacing w:after="0"/>
              <w:rPr>
                <w:sz w:val="1"/>
                <w:szCs w:val="1"/>
                <w:color w:val="auto"/>
              </w:rPr>
            </w:pPr>
          </w:p>
        </w:tc>
      </w:tr>
      <w:tr>
        <w:trPr>
          <w:trHeight w:val="75"/>
        </w:trPr>
        <w:tc>
          <w:tcPr>
            <w:tcW w:w="2080" w:type="dxa"/>
            <w:vAlign w:val="bottom"/>
            <w:tcBorders>
              <w:top w:val="single" w:sz="8" w:color="CFF0FC"/>
            </w:tcBorders>
          </w:tcPr>
          <w:p>
            <w:pPr>
              <w:ind w:left="20"/>
              <w:spacing w:after="0" w:line="76" w:lineRule="exact"/>
              <w:rPr>
                <w:sz w:val="20"/>
                <w:szCs w:val="20"/>
                <w:color w:val="auto"/>
              </w:rPr>
            </w:pPr>
            <w:r>
              <w:rPr>
                <w:rFonts w:ascii="Arial" w:cs="Arial" w:eastAsia="Arial" w:hAnsi="Arial"/>
                <w:sz w:val="8"/>
                <w:szCs w:val="8"/>
                <w:color w:val="auto"/>
              </w:rPr>
              <w:t>Issuance of incentive shares</w:t>
            </w:r>
          </w:p>
        </w:tc>
        <w:tc>
          <w:tcPr>
            <w:tcW w:w="540" w:type="dxa"/>
            <w:vAlign w:val="bottom"/>
            <w:tcBorders>
              <w:top w:val="single" w:sz="8" w:color="auto"/>
            </w:tcBorders>
          </w:tcPr>
          <w:p>
            <w:pPr>
              <w:spacing w:after="0"/>
              <w:rPr>
                <w:sz w:val="6"/>
                <w:szCs w:val="6"/>
                <w:color w:val="auto"/>
              </w:rPr>
            </w:pPr>
          </w:p>
        </w:tc>
        <w:tc>
          <w:tcPr>
            <w:tcW w:w="240" w:type="dxa"/>
            <w:vAlign w:val="bottom"/>
            <w:tcBorders>
              <w:top w:val="single" w:sz="8" w:color="CFF0FC"/>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140" w:type="dxa"/>
            <w:vAlign w:val="bottom"/>
            <w:tcBorders>
              <w:top w:val="single" w:sz="8" w:color="CFF0FC"/>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40" w:type="dxa"/>
            <w:vAlign w:val="bottom"/>
            <w:tcBorders>
              <w:top w:val="single" w:sz="8" w:color="CFF0FC"/>
              <w:right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40" w:type="dxa"/>
            <w:vAlign w:val="bottom"/>
            <w:tcBorders>
              <w:top w:val="single" w:sz="8" w:color="CFF0FC"/>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40" w:type="dxa"/>
            <w:vAlign w:val="bottom"/>
            <w:tcBorders>
              <w:top w:val="single" w:sz="8" w:color="CFF0FC"/>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20" w:type="dxa"/>
            <w:vAlign w:val="bottom"/>
            <w:tcBorders>
              <w:top w:val="single" w:sz="8" w:color="CFF0FC"/>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20" w:type="dxa"/>
            <w:vAlign w:val="bottom"/>
            <w:tcBorders>
              <w:top w:val="single" w:sz="8" w:color="CFF0FC"/>
            </w:tcBorders>
          </w:tcPr>
          <w:p>
            <w:pPr>
              <w:spacing w:after="0"/>
              <w:rPr>
                <w:sz w:val="6"/>
                <w:szCs w:val="6"/>
                <w:color w:val="auto"/>
              </w:rPr>
            </w:pPr>
          </w:p>
        </w:tc>
        <w:tc>
          <w:tcPr>
            <w:tcW w:w="460" w:type="dxa"/>
            <w:vAlign w:val="bottom"/>
            <w:tcBorders>
              <w:top w:val="single" w:sz="8" w:color="auto"/>
            </w:tcBorders>
          </w:tcPr>
          <w:p>
            <w:pPr>
              <w:jc w:val="right"/>
              <w:spacing w:after="0" w:line="76" w:lineRule="exact"/>
              <w:rPr>
                <w:sz w:val="20"/>
                <w:szCs w:val="20"/>
                <w:color w:val="auto"/>
              </w:rPr>
            </w:pPr>
            <w:r>
              <w:rPr>
                <w:rFonts w:ascii="Arial" w:cs="Arial" w:eastAsia="Arial" w:hAnsi="Arial"/>
                <w:sz w:val="8"/>
                <w:szCs w:val="8"/>
                <w:color w:val="auto"/>
              </w:rPr>
              <w:t>2,085,46</w:t>
            </w:r>
          </w:p>
        </w:tc>
        <w:tc>
          <w:tcPr>
            <w:tcW w:w="140" w:type="dxa"/>
            <w:vAlign w:val="bottom"/>
            <w:tcBorders>
              <w:top w:val="single" w:sz="8" w:color="CFF0FC"/>
            </w:tcBorders>
          </w:tcPr>
          <w:p>
            <w:pPr>
              <w:spacing w:after="0"/>
              <w:rPr>
                <w:sz w:val="6"/>
                <w:szCs w:val="6"/>
                <w:color w:val="auto"/>
              </w:rPr>
            </w:pPr>
          </w:p>
        </w:tc>
        <w:tc>
          <w:tcPr>
            <w:tcW w:w="80" w:type="dxa"/>
            <w:vAlign w:val="bottom"/>
            <w:tcBorders>
              <w:top w:val="single" w:sz="8" w:color="CFF0FC"/>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40" w:type="dxa"/>
            <w:vAlign w:val="bottom"/>
            <w:tcBorders>
              <w:top w:val="single" w:sz="8" w:color="CFF0FC"/>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60" w:type="dxa"/>
            <w:vAlign w:val="bottom"/>
            <w:tcBorders>
              <w:top w:val="single" w:sz="8" w:color="CFF0FC"/>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20" w:type="dxa"/>
            <w:vAlign w:val="bottom"/>
            <w:tcBorders>
              <w:top w:val="single" w:sz="8" w:color="CFF0FC"/>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226"/>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06"/>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17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2"/>
        </w:trPr>
        <w:tc>
          <w:tcPr>
            <w:tcW w:w="2080" w:type="dxa"/>
            <w:vAlign w:val="bottom"/>
            <w:shd w:val="clear" w:color="auto" w:fill="CFF0FC"/>
          </w:tcPr>
          <w:p>
            <w:pPr>
              <w:ind w:left="20"/>
              <w:spacing w:after="0"/>
              <w:rPr>
                <w:sz w:val="20"/>
                <w:szCs w:val="20"/>
                <w:color w:val="auto"/>
              </w:rPr>
            </w:pPr>
            <w:r>
              <w:rPr>
                <w:rFonts w:ascii="Arial" w:cs="Arial" w:eastAsia="Arial" w:hAnsi="Arial"/>
                <w:sz w:val="9"/>
                <w:szCs w:val="9"/>
                <w:color w:val="auto"/>
              </w:rPr>
              <w:t>Cancellations of incentive shares</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226"/>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620" w:type="dxa"/>
            <w:vAlign w:val="bottom"/>
            <w:gridSpan w:val="2"/>
            <w:shd w:val="clear" w:color="auto" w:fill="CFF0FC"/>
          </w:tcPr>
          <w:p>
            <w:pPr>
              <w:jc w:val="right"/>
              <w:ind w:right="106"/>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9"/>
                <w:szCs w:val="9"/>
                <w:color w:val="auto"/>
              </w:rPr>
              <w:t>(265,596 )</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71"/>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Net loss attributable to Day One</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80" w:type="dxa"/>
            <w:vAlign w:val="bottom"/>
          </w:tcPr>
          <w:p>
            <w:pPr>
              <w:ind w:left="80"/>
              <w:spacing w:after="0" w:line="88" w:lineRule="exact"/>
              <w:rPr>
                <w:sz w:val="20"/>
                <w:szCs w:val="20"/>
                <w:color w:val="auto"/>
              </w:rPr>
            </w:pPr>
            <w:r>
              <w:rPr>
                <w:rFonts w:ascii="Arial" w:cs="Arial" w:eastAsia="Arial" w:hAnsi="Arial"/>
                <w:sz w:val="9"/>
                <w:szCs w:val="9"/>
                <w:color w:val="auto"/>
              </w:rPr>
              <w:t>Biopharmaceuticals Holding</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80"/>
              <w:spacing w:after="0"/>
              <w:rPr>
                <w:sz w:val="20"/>
                <w:szCs w:val="20"/>
                <w:color w:val="auto"/>
              </w:rPr>
            </w:pPr>
            <w:r>
              <w:rPr>
                <w:rFonts w:ascii="Arial" w:cs="Arial" w:eastAsia="Arial" w:hAnsi="Arial"/>
                <w:sz w:val="9"/>
                <w:szCs w:val="9"/>
                <w:color w:val="auto"/>
              </w:rPr>
              <w:t>Company, LLC members</w:t>
            </w:r>
          </w:p>
        </w:tc>
        <w:tc>
          <w:tcPr>
            <w:tcW w:w="7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140" w:type="dxa"/>
            <w:vAlign w:val="bottom"/>
            <w:tcBorders>
              <w:right w:val="single" w:sz="8" w:color="auto"/>
            </w:tcBorders>
            <w:gridSpan w:val="4"/>
          </w:tcPr>
          <w:p>
            <w:pPr>
              <w:jc w:val="right"/>
              <w:ind w:right="166"/>
              <w:spacing w:after="0"/>
              <w:rPr>
                <w:sz w:val="20"/>
                <w:szCs w:val="20"/>
                <w:color w:val="auto"/>
              </w:rPr>
            </w:pPr>
            <w:r>
              <w:rPr>
                <w:rFonts w:ascii="Arial" w:cs="Arial" w:eastAsia="Arial" w:hAnsi="Arial"/>
                <w:sz w:val="9"/>
                <w:szCs w:val="9"/>
                <w:color w:val="auto"/>
              </w:rPr>
              <w:t>(1,191 )</w:t>
            </w:r>
          </w:p>
        </w:tc>
        <w:tc>
          <w:tcPr>
            <w:tcW w:w="100" w:type="dxa"/>
            <w:vAlign w:val="bottom"/>
          </w:tcPr>
          <w:p>
            <w:pPr>
              <w:spacing w:after="0"/>
              <w:rPr>
                <w:sz w:val="11"/>
                <w:szCs w:val="11"/>
                <w:color w:val="auto"/>
              </w:rPr>
            </w:pPr>
          </w:p>
        </w:tc>
        <w:tc>
          <w:tcPr>
            <w:tcW w:w="620" w:type="dxa"/>
            <w:vAlign w:val="bottom"/>
            <w:gridSpan w:val="2"/>
          </w:tcPr>
          <w:p>
            <w:pPr>
              <w:jc w:val="right"/>
              <w:ind w:right="106"/>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17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080" w:type="dxa"/>
            <w:vAlign w:val="bottom"/>
            <w:shd w:val="clear" w:color="auto" w:fill="CFF0FC"/>
          </w:tcPr>
          <w:p>
            <w:pPr>
              <w:ind w:left="20"/>
              <w:spacing w:after="0" w:line="95" w:lineRule="exact"/>
              <w:rPr>
                <w:sz w:val="20"/>
                <w:szCs w:val="20"/>
                <w:color w:val="auto"/>
              </w:rPr>
            </w:pPr>
            <w:r>
              <w:rPr>
                <w:rFonts w:ascii="Arial" w:cs="Arial" w:eastAsia="Arial" w:hAnsi="Arial"/>
                <w:sz w:val="9"/>
                <w:szCs w:val="9"/>
                <w:color w:val="auto"/>
              </w:rPr>
              <w:t>Conversion of redeemable</w:t>
            </w:r>
          </w:p>
        </w:tc>
        <w:tc>
          <w:tcPr>
            <w:tcW w:w="5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40" w:type="dxa"/>
            <w:vAlign w:val="bottom"/>
            <w:tcBorders>
              <w:right w:val="single" w:sz="8" w:color="CFF0FC"/>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40" w:type="dxa"/>
            <w:vAlign w:val="bottom"/>
            <w:tcBorders>
              <w:lef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80" w:type="dxa"/>
            <w:vAlign w:val="bottom"/>
            <w:shd w:val="clear" w:color="auto" w:fill="CFF0FC"/>
          </w:tcPr>
          <w:p>
            <w:pPr>
              <w:ind w:left="80"/>
              <w:spacing w:after="0" w:line="88" w:lineRule="exact"/>
              <w:rPr>
                <w:sz w:val="20"/>
                <w:szCs w:val="20"/>
                <w:color w:val="auto"/>
              </w:rPr>
            </w:pPr>
            <w:r>
              <w:rPr>
                <w:rFonts w:ascii="Arial" w:cs="Arial" w:eastAsia="Arial" w:hAnsi="Arial"/>
                <w:sz w:val="9"/>
                <w:szCs w:val="9"/>
                <w:color w:val="auto"/>
              </w:rPr>
              <w:t>convertible preferred, common,</w:t>
            </w:r>
          </w:p>
        </w:tc>
        <w:tc>
          <w:tcPr>
            <w:tcW w:w="5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40" w:type="dxa"/>
            <w:vAlign w:val="bottom"/>
            <w:tcBorders>
              <w:right w:val="single" w:sz="8" w:color="CFF0FC"/>
            </w:tcBorders>
            <w:shd w:val="clear" w:color="auto" w:fill="CFF0FC"/>
          </w:tcPr>
          <w:p>
            <w:pPr>
              <w:spacing w:after="0"/>
              <w:rPr>
                <w:sz w:val="7"/>
                <w:szCs w:val="7"/>
                <w:color w:val="auto"/>
              </w:rPr>
            </w:pPr>
          </w:p>
        </w:tc>
        <w:tc>
          <w:tcPr>
            <w:tcW w:w="240" w:type="dxa"/>
            <w:vAlign w:val="bottom"/>
            <w:tcBorders>
              <w:right w:val="single" w:sz="8" w:color="auto"/>
            </w:tcBorders>
            <w:shd w:val="clear" w:color="auto" w:fill="CFF0FC"/>
          </w:tcPr>
          <w:p>
            <w:pPr>
              <w:spacing w:after="0"/>
              <w:rPr>
                <w:sz w:val="7"/>
                <w:szCs w:val="7"/>
                <w:color w:val="auto"/>
              </w:rPr>
            </w:pPr>
          </w:p>
        </w:tc>
        <w:tc>
          <w:tcPr>
            <w:tcW w:w="100" w:type="dxa"/>
            <w:vAlign w:val="bottom"/>
            <w:tcBorders>
              <w:right w:val="single" w:sz="8" w:color="CFF0FC"/>
            </w:tcBorders>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40" w:type="dxa"/>
            <w:vAlign w:val="bottom"/>
            <w:tcBorders>
              <w:right w:val="single" w:sz="8" w:color="CFF0FC"/>
            </w:tcBorders>
            <w:shd w:val="clear" w:color="auto" w:fill="CFF0FC"/>
          </w:tcPr>
          <w:p>
            <w:pPr>
              <w:spacing w:after="0"/>
              <w:rPr>
                <w:sz w:val="7"/>
                <w:szCs w:val="7"/>
                <w:color w:val="auto"/>
              </w:rPr>
            </w:pPr>
          </w:p>
        </w:tc>
        <w:tc>
          <w:tcPr>
            <w:tcW w:w="22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40" w:type="dxa"/>
            <w:vAlign w:val="bottom"/>
            <w:tcBorders>
              <w:lef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20" w:type="dxa"/>
            <w:vAlign w:val="bottom"/>
            <w:tcBorders>
              <w:right w:val="single" w:sz="8" w:color="CFF0FC"/>
            </w:tcBorders>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80" w:type="dxa"/>
            <w:vAlign w:val="bottom"/>
            <w:shd w:val="clear" w:color="auto" w:fill="CFF0FC"/>
          </w:tcPr>
          <w:p>
            <w:pPr>
              <w:ind w:left="80"/>
              <w:spacing w:after="0" w:line="102" w:lineRule="exact"/>
              <w:rPr>
                <w:sz w:val="20"/>
                <w:szCs w:val="20"/>
                <w:color w:val="auto"/>
              </w:rPr>
            </w:pPr>
            <w:r>
              <w:rPr>
                <w:rFonts w:ascii="Arial" w:cs="Arial" w:eastAsia="Arial" w:hAnsi="Arial"/>
                <w:sz w:val="9"/>
                <w:szCs w:val="9"/>
                <w:color w:val="auto"/>
              </w:rPr>
              <w:t>and incentive shares into common</w:t>
            </w: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(32,489,39</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43,958,5</w:t>
            </w: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tcBorders>
              <w:right w:val="single" w:sz="8" w:color="CFF0FC"/>
            </w:tcBorders>
            <w:gridSpan w:val="2"/>
            <w:shd w:val="clear" w:color="auto" w:fill="CFF0FC"/>
          </w:tcPr>
          <w:p>
            <w:pPr>
              <w:jc w:val="right"/>
              <w:ind w:right="12"/>
              <w:spacing w:after="0" w:line="102" w:lineRule="exact"/>
              <w:rPr>
                <w:sz w:val="20"/>
                <w:szCs w:val="20"/>
                <w:color w:val="auto"/>
              </w:rPr>
            </w:pPr>
            <w:r>
              <w:rPr>
                <w:rFonts w:ascii="Arial" w:cs="Arial" w:eastAsia="Arial" w:hAnsi="Arial"/>
                <w:sz w:val="9"/>
                <w:szCs w:val="9"/>
                <w:color w:val="auto"/>
              </w:rPr>
              <w:t>(6,035,8</w:t>
            </w:r>
          </w:p>
        </w:tc>
        <w:tc>
          <w:tcPr>
            <w:tcW w:w="22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(6,806,2</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40" w:type="dxa"/>
            <w:vAlign w:val="bottom"/>
            <w:tcBorders>
              <w:lef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FF0FC"/>
          </w:tcPr>
          <w:p>
            <w:pPr>
              <w:ind w:left="80"/>
              <w:spacing w:after="0"/>
              <w:rPr>
                <w:sz w:val="20"/>
                <w:szCs w:val="20"/>
                <w:color w:val="auto"/>
              </w:rPr>
            </w:pPr>
            <w:r>
              <w:rPr>
                <w:rFonts w:ascii="Arial" w:cs="Arial" w:eastAsia="Arial" w:hAnsi="Arial"/>
                <w:sz w:val="9"/>
                <w:szCs w:val="9"/>
                <w:color w:val="auto"/>
              </w:rPr>
              <w:t>stock</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9"/>
                <w:szCs w:val="9"/>
                <w:color w:val="auto"/>
              </w:rPr>
              <w:t>8 )</w:t>
            </w:r>
          </w:p>
        </w:tc>
        <w:tc>
          <w:tcPr>
            <w:tcW w:w="80" w:type="dxa"/>
            <w:vAlign w:val="bottom"/>
            <w:shd w:val="clear" w:color="auto" w:fill="CFF0FC"/>
          </w:tcPr>
          <w:p>
            <w:pPr>
              <w:spacing w:after="0"/>
              <w:rPr>
                <w:sz w:val="10"/>
                <w:szCs w:val="10"/>
                <w:color w:val="auto"/>
              </w:rPr>
            </w:pPr>
          </w:p>
        </w:tc>
        <w:tc>
          <w:tcPr>
            <w:tcW w:w="520" w:type="dxa"/>
            <w:vAlign w:val="bottom"/>
            <w:gridSpan w:val="3"/>
            <w:shd w:val="clear" w:color="auto" w:fill="CFF0FC"/>
          </w:tcPr>
          <w:p>
            <w:pPr>
              <w:jc w:val="right"/>
              <w:ind w:right="60"/>
              <w:spacing w:after="0"/>
              <w:rPr>
                <w:sz w:val="20"/>
                <w:szCs w:val="20"/>
                <w:color w:val="auto"/>
              </w:rPr>
            </w:pPr>
            <w:r>
              <w:rPr>
                <w:rFonts w:ascii="Arial" w:cs="Arial" w:eastAsia="Arial" w:hAnsi="Arial"/>
                <w:sz w:val="9"/>
                <w:szCs w:val="9"/>
                <w:color w:val="auto"/>
              </w:rPr>
              <w:t>(221,721 )</w:t>
            </w: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226"/>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57</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4</w:t>
            </w:r>
          </w:p>
        </w:tc>
        <w:tc>
          <w:tcPr>
            <w:tcW w:w="10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9"/>
                <w:szCs w:val="9"/>
                <w:color w:val="auto"/>
              </w:rPr>
              <w:t>69 )</w:t>
            </w:r>
          </w:p>
        </w:tc>
        <w:tc>
          <w:tcPr>
            <w:tcW w:w="10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9"/>
                <w:szCs w:val="9"/>
                <w:color w:val="auto"/>
                <w:w w:val="96"/>
              </w:rPr>
              <w:t>(2,000 )</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9"/>
                <w:szCs w:val="9"/>
                <w:color w:val="auto"/>
              </w:rPr>
              <w:t>16 )</w:t>
            </w:r>
          </w:p>
        </w:tc>
        <w:tc>
          <w:tcPr>
            <w:tcW w:w="680" w:type="dxa"/>
            <w:vAlign w:val="bottom"/>
            <w:gridSpan w:val="5"/>
            <w:shd w:val="clear" w:color="auto" w:fill="CFF0FC"/>
          </w:tcPr>
          <w:p>
            <w:pPr>
              <w:jc w:val="right"/>
              <w:ind w:right="111"/>
              <w:spacing w:after="0"/>
              <w:rPr>
                <w:sz w:val="20"/>
                <w:szCs w:val="20"/>
                <w:color w:val="auto"/>
              </w:rPr>
            </w:pPr>
            <w:r>
              <w:rPr>
                <w:rFonts w:ascii="Arial" w:cs="Arial" w:eastAsia="Arial" w:hAnsi="Arial"/>
                <w:sz w:val="9"/>
                <w:szCs w:val="9"/>
                <w:color w:val="auto"/>
              </w:rPr>
              <w:t>(1,175 )</w:t>
            </w:r>
          </w:p>
        </w:tc>
        <w:tc>
          <w:tcPr>
            <w:tcW w:w="8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9"/>
                <w:szCs w:val="9"/>
                <w:color w:val="auto"/>
              </w:rPr>
              <w:t>224,892</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221,721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Conversion of redeemable</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80"/>
              <w:spacing w:after="0" w:line="95" w:lineRule="exact"/>
              <w:rPr>
                <w:sz w:val="20"/>
                <w:szCs w:val="20"/>
                <w:color w:val="auto"/>
              </w:rPr>
            </w:pPr>
            <w:r>
              <w:rPr>
                <w:rFonts w:ascii="Arial" w:cs="Arial" w:eastAsia="Arial" w:hAnsi="Arial"/>
                <w:sz w:val="9"/>
                <w:szCs w:val="9"/>
                <w:color w:val="auto"/>
              </w:rPr>
              <w:t>noncontrolling interest to common</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Arial" w:cs="Arial" w:eastAsia="Arial" w:hAnsi="Arial"/>
                <w:sz w:val="9"/>
                <w:szCs w:val="9"/>
                <w:color w:val="auto"/>
              </w:rPr>
              <w:t>6,470,38</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80" w:type="dxa"/>
            <w:vAlign w:val="bottom"/>
          </w:tcPr>
          <w:p>
            <w:pPr>
              <w:ind w:left="80"/>
              <w:spacing w:after="0"/>
              <w:rPr>
                <w:sz w:val="20"/>
                <w:szCs w:val="20"/>
                <w:color w:val="auto"/>
              </w:rPr>
            </w:pPr>
            <w:r>
              <w:rPr>
                <w:rFonts w:ascii="Arial" w:cs="Arial" w:eastAsia="Arial" w:hAnsi="Arial"/>
                <w:sz w:val="9"/>
                <w:szCs w:val="9"/>
                <w:color w:val="auto"/>
              </w:rPr>
              <w:t>stock</w:t>
            </w:r>
          </w:p>
        </w:tc>
        <w:tc>
          <w:tcPr>
            <w:tcW w:w="7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140" w:type="dxa"/>
            <w:vAlign w:val="bottom"/>
            <w:tcBorders>
              <w:right w:val="single" w:sz="8" w:color="auto"/>
            </w:tcBorders>
            <w:gridSpan w:val="4"/>
          </w:tcPr>
          <w:p>
            <w:pPr>
              <w:jc w:val="right"/>
              <w:ind w:right="166"/>
              <w:spacing w:after="0"/>
              <w:rPr>
                <w:sz w:val="20"/>
                <w:szCs w:val="20"/>
                <w:color w:val="auto"/>
              </w:rPr>
            </w:pPr>
            <w:r>
              <w:rPr>
                <w:rFonts w:ascii="Arial" w:cs="Arial" w:eastAsia="Arial" w:hAnsi="Arial"/>
                <w:sz w:val="9"/>
                <w:szCs w:val="9"/>
                <w:color w:val="auto"/>
              </w:rPr>
              <w:t>(3,592 )</w:t>
            </w: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1</w:t>
            </w:r>
          </w:p>
        </w:tc>
        <w:tc>
          <w:tcPr>
            <w:tcW w:w="240" w:type="dxa"/>
            <w:vAlign w:val="bottom"/>
          </w:tcPr>
          <w:p>
            <w:pPr>
              <w:spacing w:after="0"/>
              <w:rPr>
                <w:sz w:val="10"/>
                <w:szCs w:val="1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17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tcPr>
          <w:p>
            <w:pPr>
              <w:jc w:val="right"/>
              <w:ind w:right="14"/>
              <w:spacing w:after="0"/>
              <w:rPr>
                <w:sz w:val="20"/>
                <w:szCs w:val="20"/>
                <w:color w:val="auto"/>
              </w:rPr>
            </w:pPr>
            <w:r>
              <w:rPr>
                <w:rFonts w:ascii="Arial" w:cs="Arial" w:eastAsia="Arial" w:hAnsi="Arial"/>
                <w:sz w:val="9"/>
                <w:szCs w:val="9"/>
                <w:color w:val="auto"/>
              </w:rPr>
              <w:t>3,592</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3,592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shd w:val="clear" w:color="auto" w:fill="CFF0FC"/>
          </w:tcPr>
          <w:p>
            <w:pPr>
              <w:ind w:left="20"/>
              <w:spacing w:after="0" w:line="95" w:lineRule="exact"/>
              <w:rPr>
                <w:sz w:val="20"/>
                <w:szCs w:val="20"/>
                <w:color w:val="auto"/>
              </w:rPr>
            </w:pPr>
            <w:r>
              <w:rPr>
                <w:rFonts w:ascii="Arial" w:cs="Arial" w:eastAsia="Arial" w:hAnsi="Arial"/>
                <w:sz w:val="9"/>
                <w:szCs w:val="9"/>
                <w:color w:val="auto"/>
              </w:rPr>
              <w:t>Common stock issued in IPO, net of</w:t>
            </w:r>
          </w:p>
        </w:tc>
        <w:tc>
          <w:tcPr>
            <w:tcW w:w="5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80" w:type="dxa"/>
            <w:vAlign w:val="bottom"/>
            <w:shd w:val="clear" w:color="auto" w:fill="CFF0FC"/>
          </w:tcPr>
          <w:p>
            <w:pPr>
              <w:jc w:val="right"/>
              <w:spacing w:after="0" w:line="95" w:lineRule="exact"/>
              <w:rPr>
                <w:sz w:val="20"/>
                <w:szCs w:val="20"/>
                <w:color w:val="auto"/>
              </w:rPr>
            </w:pPr>
            <w:r>
              <w:rPr>
                <w:rFonts w:ascii="Arial" w:cs="Arial" w:eastAsia="Arial" w:hAnsi="Arial"/>
                <w:sz w:val="9"/>
                <w:szCs w:val="9"/>
                <w:color w:val="auto"/>
              </w:rPr>
              <w:t>11,500,0</w:t>
            </w: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40" w:type="dxa"/>
            <w:vAlign w:val="bottom"/>
            <w:tcBorders>
              <w:right w:val="single" w:sz="8" w:color="CFF0FC"/>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40" w:type="dxa"/>
            <w:vAlign w:val="bottom"/>
            <w:tcBorders>
              <w:lef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FF0FC"/>
          </w:tcPr>
          <w:p>
            <w:pPr>
              <w:ind w:left="80"/>
              <w:spacing w:after="0"/>
              <w:rPr>
                <w:sz w:val="20"/>
                <w:szCs w:val="20"/>
                <w:color w:val="auto"/>
              </w:rPr>
            </w:pPr>
            <w:r>
              <w:rPr>
                <w:rFonts w:ascii="Arial" w:cs="Arial" w:eastAsia="Arial" w:hAnsi="Arial"/>
                <w:sz w:val="9"/>
                <w:szCs w:val="9"/>
                <w:color w:val="auto"/>
              </w:rPr>
              <w:t>issuance costs of $16,995</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226"/>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00</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1</w:t>
            </w:r>
          </w:p>
        </w:tc>
        <w:tc>
          <w:tcPr>
            <w:tcW w:w="24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71"/>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9"/>
                <w:szCs w:val="9"/>
                <w:color w:val="auto"/>
              </w:rPr>
              <w:t>167,044</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167,045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Pr>
          <w:p>
            <w:pPr>
              <w:ind w:left="20"/>
              <w:spacing w:after="0"/>
              <w:rPr>
                <w:sz w:val="20"/>
                <w:szCs w:val="20"/>
                <w:color w:val="auto"/>
              </w:rPr>
            </w:pPr>
            <w:r>
              <w:rPr>
                <w:rFonts w:ascii="Arial" w:cs="Arial" w:eastAsia="Arial" w:hAnsi="Arial"/>
                <w:sz w:val="9"/>
                <w:szCs w:val="9"/>
                <w:color w:val="auto"/>
              </w:rPr>
              <w:t>Share-based compensation expenses</w:t>
            </w:r>
          </w:p>
        </w:tc>
        <w:tc>
          <w:tcPr>
            <w:tcW w:w="7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226"/>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06"/>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17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tcPr>
          <w:p>
            <w:pPr>
              <w:jc w:val="right"/>
              <w:ind w:right="14"/>
              <w:spacing w:after="0"/>
              <w:rPr>
                <w:sz w:val="20"/>
                <w:szCs w:val="20"/>
                <w:color w:val="auto"/>
              </w:rPr>
            </w:pPr>
            <w:r>
              <w:rPr>
                <w:rFonts w:ascii="Arial" w:cs="Arial" w:eastAsia="Arial" w:hAnsi="Arial"/>
                <w:sz w:val="9"/>
                <w:szCs w:val="9"/>
                <w:color w:val="auto"/>
              </w:rPr>
              <w:t>2,537</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2,537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shd w:val="clear" w:color="auto" w:fill="CFF0FC"/>
          </w:tcPr>
          <w:p>
            <w:pPr>
              <w:ind w:left="20"/>
              <w:spacing w:after="0" w:line="95" w:lineRule="exact"/>
              <w:rPr>
                <w:sz w:val="20"/>
                <w:szCs w:val="20"/>
                <w:color w:val="auto"/>
              </w:rPr>
            </w:pPr>
            <w:r>
              <w:rPr>
                <w:rFonts w:ascii="Arial" w:cs="Arial" w:eastAsia="Arial" w:hAnsi="Arial"/>
                <w:sz w:val="9"/>
                <w:szCs w:val="9"/>
                <w:color w:val="auto"/>
              </w:rPr>
              <w:t>Net loss attributable to common</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vMerge w:val="restart"/>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vMerge w:val="restart"/>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140" w:type="dxa"/>
            <w:vAlign w:val="bottom"/>
            <w:vMerge w:val="restart"/>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FF0FC"/>
          </w:tcPr>
          <w:p>
            <w:pPr>
              <w:spacing w:after="0"/>
              <w:rPr>
                <w:sz w:val="8"/>
                <w:szCs w:val="8"/>
                <w:color w:val="auto"/>
              </w:rPr>
            </w:pPr>
          </w:p>
        </w:tc>
        <w:tc>
          <w:tcPr>
            <w:tcW w:w="540" w:type="dxa"/>
            <w:vAlign w:val="bottom"/>
            <w:tcBorders>
              <w:right w:val="single" w:sz="8" w:color="CFF0FC"/>
            </w:tcBorders>
            <w:vMerge w:val="restart"/>
            <w:shd w:val="clear" w:color="auto" w:fill="CFF0FC"/>
          </w:tcPr>
          <w:p>
            <w:pPr>
              <w:jc w:val="right"/>
              <w:ind w:right="12"/>
              <w:spacing w:after="0"/>
              <w:rPr>
                <w:sz w:val="20"/>
                <w:szCs w:val="20"/>
                <w:color w:val="auto"/>
              </w:rPr>
            </w:pPr>
            <w:r>
              <w:rPr>
                <w:rFonts w:ascii="Arial" w:cs="Arial" w:eastAsia="Arial" w:hAnsi="Arial"/>
                <w:sz w:val="9"/>
                <w:szCs w:val="9"/>
                <w:color w:val="auto"/>
              </w:rPr>
              <w:t>—</w:t>
            </w:r>
          </w:p>
        </w:tc>
        <w:tc>
          <w:tcPr>
            <w:tcW w:w="220" w:type="dxa"/>
            <w:vAlign w:val="bottom"/>
            <w:tcBorders>
              <w:right w:val="single" w:sz="8" w:color="CFF0FC"/>
            </w:tcBorders>
            <w:vMerge w:val="restart"/>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20" w:type="dxa"/>
            <w:vAlign w:val="bottom"/>
            <w:vMerge w:val="restart"/>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140" w:type="dxa"/>
            <w:vAlign w:val="bottom"/>
            <w:vMerge w:val="restart"/>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tcBorders>
              <w:left w:val="single" w:sz="8" w:color="CFF0FC"/>
            </w:tcBorders>
            <w:vMerge w:val="restart"/>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tcBorders>
              <w:right w:val="single" w:sz="8" w:color="CFF0FC"/>
            </w:tcBorders>
            <w:vMerge w:val="restart"/>
            <w:shd w:val="clear" w:color="auto" w:fill="CFF0FC"/>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6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9"/>
                <w:szCs w:val="9"/>
                <w:color w:val="auto"/>
              </w:rPr>
              <w:t>(14,284 )</w:t>
            </w:r>
          </w:p>
        </w:tc>
        <w:tc>
          <w:tcPr>
            <w:tcW w:w="80" w:type="dxa"/>
            <w:vAlign w:val="bottom"/>
            <w:shd w:val="clear" w:color="auto" w:fill="CFF0FC"/>
          </w:tcPr>
          <w:p>
            <w:pPr>
              <w:spacing w:after="0"/>
              <w:rPr>
                <w:sz w:val="8"/>
                <w:szCs w:val="8"/>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9"/>
                <w:szCs w:val="9"/>
                <w:color w:val="auto"/>
              </w:rPr>
              <w:t>(14,284 )</w:t>
            </w:r>
          </w:p>
        </w:tc>
        <w:tc>
          <w:tcPr>
            <w:tcW w:w="0" w:type="dxa"/>
            <w:vAlign w:val="bottom"/>
          </w:tcPr>
          <w:p>
            <w:pPr>
              <w:spacing w:after="0"/>
              <w:rPr>
                <w:sz w:val="1"/>
                <w:szCs w:val="1"/>
                <w:color w:val="auto"/>
              </w:rPr>
            </w:pPr>
          </w:p>
        </w:tc>
      </w:tr>
      <w:tr>
        <w:trPr>
          <w:trHeight w:val="108"/>
        </w:trPr>
        <w:tc>
          <w:tcPr>
            <w:tcW w:w="2080" w:type="dxa"/>
            <w:vAlign w:val="bottom"/>
            <w:shd w:val="clear" w:color="auto" w:fill="CFF0FC"/>
          </w:tcPr>
          <w:p>
            <w:pPr>
              <w:ind w:left="20"/>
              <w:spacing w:after="0"/>
              <w:rPr>
                <w:sz w:val="20"/>
                <w:szCs w:val="20"/>
                <w:color w:val="auto"/>
              </w:rPr>
            </w:pPr>
            <w:r>
              <w:rPr>
                <w:rFonts w:ascii="Arial" w:cs="Arial" w:eastAsia="Arial" w:hAnsi="Arial"/>
                <w:sz w:val="9"/>
                <w:szCs w:val="9"/>
                <w:color w:val="auto"/>
              </w:rPr>
              <w:t>members/stockholders</w:t>
            </w:r>
          </w:p>
        </w:tc>
        <w:tc>
          <w:tcPr>
            <w:tcW w:w="540" w:type="dxa"/>
            <w:vAlign w:val="bottom"/>
            <w:vMerge w:val="continue"/>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60" w:type="dxa"/>
            <w:vAlign w:val="bottom"/>
            <w:vMerge w:val="continue"/>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40" w:type="dxa"/>
            <w:vAlign w:val="bottom"/>
            <w:tcBorders>
              <w:right w:val="single" w:sz="8" w:color="CFF0FC"/>
            </w:tcBorders>
            <w:vMerge w:val="continue"/>
            <w:shd w:val="clear" w:color="auto" w:fill="CFF0FC"/>
          </w:tcPr>
          <w:p>
            <w:pPr>
              <w:spacing w:after="0"/>
              <w:rPr>
                <w:sz w:val="9"/>
                <w:szCs w:val="9"/>
                <w:color w:val="auto"/>
              </w:rPr>
            </w:pPr>
          </w:p>
        </w:tc>
        <w:tc>
          <w:tcPr>
            <w:tcW w:w="240" w:type="dxa"/>
            <w:vAlign w:val="bottom"/>
            <w:tcBorders>
              <w:right w:val="single" w:sz="8" w:color="auto"/>
            </w:tcBorders>
            <w:vMerge w:val="continue"/>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480" w:type="dxa"/>
            <w:vAlign w:val="bottom"/>
            <w:vMerge w:val="continue"/>
            <w:shd w:val="clear" w:color="auto" w:fill="CFF0FC"/>
          </w:tcPr>
          <w:p>
            <w:pPr>
              <w:spacing w:after="0"/>
              <w:rPr>
                <w:sz w:val="9"/>
                <w:szCs w:val="9"/>
                <w:color w:val="auto"/>
              </w:rPr>
            </w:pPr>
          </w:p>
        </w:tc>
        <w:tc>
          <w:tcPr>
            <w:tcW w:w="1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40" w:type="dxa"/>
            <w:vAlign w:val="bottom"/>
            <w:tcBorders>
              <w:right w:val="single" w:sz="8" w:color="CFF0FC"/>
            </w:tcBorders>
            <w:vMerge w:val="continue"/>
            <w:shd w:val="clear" w:color="auto" w:fill="CFF0FC"/>
          </w:tcPr>
          <w:p>
            <w:pPr>
              <w:spacing w:after="0"/>
              <w:rPr>
                <w:sz w:val="9"/>
                <w:szCs w:val="9"/>
                <w:color w:val="auto"/>
              </w:rPr>
            </w:pPr>
          </w:p>
        </w:tc>
        <w:tc>
          <w:tcPr>
            <w:tcW w:w="220" w:type="dxa"/>
            <w:vAlign w:val="bottom"/>
            <w:tcBorders>
              <w:right w:val="single" w:sz="8" w:color="CFF0FC"/>
            </w:tcBorders>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60" w:type="dxa"/>
            <w:vAlign w:val="bottom"/>
            <w:vMerge w:val="continue"/>
            <w:shd w:val="clear" w:color="auto" w:fill="CFF0FC"/>
          </w:tcPr>
          <w:p>
            <w:pPr>
              <w:spacing w:after="0"/>
              <w:rPr>
                <w:sz w:val="9"/>
                <w:szCs w:val="9"/>
                <w:color w:val="auto"/>
              </w:rPr>
            </w:pPr>
          </w:p>
        </w:tc>
        <w:tc>
          <w:tcPr>
            <w:tcW w:w="220" w:type="dxa"/>
            <w:vAlign w:val="bottom"/>
            <w:vMerge w:val="continue"/>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14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vMerge w:val="continue"/>
            <w:shd w:val="clear" w:color="auto" w:fill="CFF0FC"/>
          </w:tcPr>
          <w:p>
            <w:pPr>
              <w:spacing w:after="0"/>
              <w:rPr>
                <w:sz w:val="9"/>
                <w:szCs w:val="9"/>
                <w:color w:val="auto"/>
              </w:rPr>
            </w:pPr>
          </w:p>
        </w:tc>
        <w:tc>
          <w:tcPr>
            <w:tcW w:w="240" w:type="dxa"/>
            <w:vAlign w:val="bottom"/>
            <w:tcBorders>
              <w:left w:val="single" w:sz="8" w:color="CFF0FC"/>
            </w:tcBorders>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tcBorders>
              <w:right w:val="single" w:sz="8" w:color="CFF0FC"/>
            </w:tcBorders>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gridSpan w:val="3"/>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CFF0FC"/>
            </w:tcBorders>
          </w:tcPr>
          <w:p>
            <w:pPr>
              <w:ind w:left="20"/>
              <w:spacing w:after="0" w:line="88" w:lineRule="exact"/>
              <w:rPr>
                <w:sz w:val="20"/>
                <w:szCs w:val="20"/>
                <w:color w:val="auto"/>
              </w:rPr>
            </w:pPr>
            <w:r>
              <w:rPr>
                <w:rFonts w:ascii="Arial" w:cs="Arial" w:eastAsia="Arial" w:hAnsi="Arial"/>
                <w:sz w:val="9"/>
                <w:szCs w:val="9"/>
                <w:b w:val="1"/>
                <w:bCs w:val="1"/>
                <w:color w:val="auto"/>
              </w:rPr>
              <w:t>Balance at June 30, 2021</w:t>
            </w: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40" w:type="dxa"/>
            <w:vAlign w:val="bottom"/>
            <w:tcBorders>
              <w:top w:val="single" w:sz="8" w:color="CFF0FC"/>
              <w:right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4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61,928,9</w:t>
            </w:r>
          </w:p>
        </w:tc>
        <w:tc>
          <w:tcPr>
            <w:tcW w:w="14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6</w:t>
            </w:r>
          </w:p>
        </w:tc>
        <w:tc>
          <w:tcPr>
            <w:tcW w:w="240" w:type="dxa"/>
            <w:vAlign w:val="bottom"/>
          </w:tcPr>
          <w:p>
            <w:pPr>
              <w:spacing w:after="0"/>
              <w:rPr>
                <w:sz w:val="10"/>
                <w:szCs w:val="10"/>
                <w:color w:val="auto"/>
              </w:rPr>
            </w:pPr>
          </w:p>
        </w:tc>
        <w:tc>
          <w:tcPr>
            <w:tcW w:w="540" w:type="dxa"/>
            <w:vAlign w:val="bottom"/>
          </w:tcPr>
          <w:p>
            <w:pPr>
              <w:jc w:val="right"/>
              <w:ind w:right="12"/>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4"/>
              <w:spacing w:after="0"/>
              <w:rPr>
                <w:sz w:val="20"/>
                <w:szCs w:val="20"/>
                <w:color w:val="auto"/>
              </w:rPr>
            </w:pPr>
            <w:r>
              <w:rPr>
                <w:rFonts w:ascii="Arial" w:cs="Arial" w:eastAsia="Arial" w:hAnsi="Arial"/>
                <w:sz w:val="9"/>
                <w:szCs w:val="9"/>
                <w:color w:val="auto"/>
              </w:rPr>
              <w:t>398,065</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9"/>
                <w:szCs w:val="9"/>
                <w:color w:val="auto"/>
              </w:rPr>
              <w:t>(86,308 )</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311,763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80" w:type="dxa"/>
            <w:vAlign w:val="bottom"/>
            <w:shd w:val="clear" w:color="auto" w:fill="CFF0FC"/>
          </w:tcPr>
          <w:p>
            <w:pPr>
              <w:ind w:left="20"/>
              <w:spacing w:after="0"/>
              <w:rPr>
                <w:sz w:val="20"/>
                <w:szCs w:val="20"/>
                <w:color w:val="auto"/>
              </w:rPr>
            </w:pPr>
            <w:r>
              <w:rPr>
                <w:rFonts w:ascii="Arial" w:cs="Arial" w:eastAsia="Arial" w:hAnsi="Arial"/>
                <w:sz w:val="9"/>
                <w:szCs w:val="9"/>
                <w:color w:val="auto"/>
              </w:rPr>
              <w:t>Share-based compensation expenses</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480" w:type="dxa"/>
            <w:vAlign w:val="bottom"/>
            <w:tcBorders>
              <w:right w:val="single" w:sz="8" w:color="auto"/>
            </w:tcBorders>
            <w:gridSpan w:val="2"/>
            <w:shd w:val="clear" w:color="auto" w:fill="CFF0FC"/>
          </w:tcPr>
          <w:p>
            <w:pPr>
              <w:jc w:val="right"/>
              <w:ind w:right="226"/>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FF0FC"/>
            </w:tcBorders>
            <w:shd w:val="clear" w:color="auto" w:fill="CFF0FC"/>
          </w:tcPr>
          <w:p>
            <w:pPr>
              <w:spacing w:after="0"/>
              <w:rPr>
                <w:sz w:val="8"/>
                <w:szCs w:val="8"/>
                <w:color w:val="auto"/>
              </w:rPr>
            </w:pPr>
          </w:p>
        </w:tc>
        <w:tc>
          <w:tcPr>
            <w:tcW w:w="620" w:type="dxa"/>
            <w:vAlign w:val="bottom"/>
            <w:gridSpan w:val="2"/>
            <w:shd w:val="clear" w:color="auto" w:fill="CFF0FC"/>
          </w:tcPr>
          <w:p>
            <w:pPr>
              <w:jc w:val="right"/>
              <w:ind w:right="106"/>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FF0FC"/>
          </w:tcPr>
          <w:p>
            <w:pPr>
              <w:spacing w:after="0"/>
              <w:rPr>
                <w:sz w:val="8"/>
                <w:szCs w:val="8"/>
                <w:color w:val="auto"/>
              </w:rPr>
            </w:pPr>
          </w:p>
        </w:tc>
        <w:tc>
          <w:tcPr>
            <w:tcW w:w="7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gridSpan w:val="2"/>
            <w:shd w:val="clear" w:color="auto" w:fill="CFF0FC"/>
          </w:tcPr>
          <w:p>
            <w:pPr>
              <w:jc w:val="right"/>
              <w:ind w:right="171"/>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5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9"/>
                <w:szCs w:val="9"/>
                <w:color w:val="auto"/>
              </w:rPr>
              <w:t>5,149</w:t>
            </w: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5,149</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Net loss attributable to common</w:t>
            </w: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4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vMerge w:val="restart"/>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4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9"/>
                <w:szCs w:val="9"/>
                <w:color w:val="auto"/>
              </w:rPr>
              <w:t>—</w:t>
            </w:r>
          </w:p>
        </w:tc>
        <w:tc>
          <w:tcPr>
            <w:tcW w:w="2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vMerge w:val="restart"/>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4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4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14"/>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rPr>
              <w:t>(19,240 )</w:t>
            </w:r>
          </w:p>
        </w:tc>
        <w:tc>
          <w:tcPr>
            <w:tcW w:w="80" w:type="dxa"/>
            <w:vAlign w:val="bottom"/>
          </w:tcPr>
          <w:p>
            <w:pPr>
              <w:spacing w:after="0"/>
              <w:rPr>
                <w:sz w:val="8"/>
                <w:szCs w:val="8"/>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(19,240 )</w:t>
            </w:r>
          </w:p>
        </w:tc>
        <w:tc>
          <w:tcPr>
            <w:tcW w:w="0" w:type="dxa"/>
            <w:vAlign w:val="bottom"/>
          </w:tcPr>
          <w:p>
            <w:pPr>
              <w:spacing w:after="0"/>
              <w:rPr>
                <w:sz w:val="1"/>
                <w:szCs w:val="1"/>
                <w:color w:val="auto"/>
              </w:rPr>
            </w:pPr>
          </w:p>
        </w:tc>
      </w:tr>
      <w:tr>
        <w:trPr>
          <w:trHeight w:val="108"/>
        </w:trPr>
        <w:tc>
          <w:tcPr>
            <w:tcW w:w="2080" w:type="dxa"/>
            <w:vAlign w:val="bottom"/>
          </w:tcPr>
          <w:p>
            <w:pPr>
              <w:ind w:left="20"/>
              <w:spacing w:after="0"/>
              <w:rPr>
                <w:sz w:val="20"/>
                <w:szCs w:val="20"/>
                <w:color w:val="auto"/>
              </w:rPr>
            </w:pPr>
            <w:r>
              <w:rPr>
                <w:rFonts w:ascii="Arial" w:cs="Arial" w:eastAsia="Arial" w:hAnsi="Arial"/>
                <w:sz w:val="9"/>
                <w:szCs w:val="9"/>
                <w:color w:val="auto"/>
              </w:rPr>
              <w:t>members/stockholders</w:t>
            </w:r>
          </w:p>
        </w:tc>
        <w:tc>
          <w:tcPr>
            <w:tcW w:w="5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24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80" w:type="dxa"/>
            <w:vAlign w:val="bottom"/>
            <w:shd w:val="clear" w:color="auto" w:fill="CFF0FC"/>
          </w:tcPr>
          <w:p>
            <w:pPr>
              <w:ind w:left="20"/>
              <w:spacing w:after="0" w:line="88" w:lineRule="exact"/>
              <w:rPr>
                <w:sz w:val="20"/>
                <w:szCs w:val="20"/>
                <w:color w:val="auto"/>
              </w:rPr>
            </w:pPr>
            <w:r>
              <w:rPr>
                <w:rFonts w:ascii="Arial" w:cs="Arial" w:eastAsia="Arial" w:hAnsi="Arial"/>
                <w:sz w:val="9"/>
                <w:szCs w:val="9"/>
                <w:b w:val="1"/>
                <w:bCs w:val="1"/>
                <w:color w:val="auto"/>
              </w:rPr>
              <w:t>Balance at September 30, 2021</w:t>
            </w:r>
          </w:p>
        </w:tc>
        <w:tc>
          <w:tcPr>
            <w:tcW w:w="540" w:type="dxa"/>
            <w:vAlign w:val="bottom"/>
            <w:tcBorders>
              <w:top w:val="single" w:sz="8" w:color="auto"/>
            </w:tcBorders>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20" w:type="dxa"/>
            <w:vAlign w:val="bottom"/>
            <w:tcBorders>
              <w:top w:val="single" w:sz="8" w:color="auto"/>
            </w:tcBorders>
            <w:shd w:val="clear" w:color="auto" w:fill="CFF0FC"/>
          </w:tcPr>
          <w:p>
            <w:pPr>
              <w:spacing w:after="0"/>
              <w:rPr>
                <w:sz w:val="7"/>
                <w:szCs w:val="7"/>
                <w:color w:val="auto"/>
              </w:rPr>
            </w:pPr>
          </w:p>
        </w:tc>
        <w:tc>
          <w:tcPr>
            <w:tcW w:w="240" w:type="dxa"/>
            <w:vAlign w:val="bottom"/>
            <w:tcBorders>
              <w:top w:val="single" w:sz="8" w:color="auto"/>
              <w:right w:val="single" w:sz="8" w:color="CFF0FC"/>
            </w:tcBorders>
            <w:shd w:val="clear" w:color="auto" w:fill="CFF0FC"/>
          </w:tcPr>
          <w:p>
            <w:pPr>
              <w:spacing w:after="0"/>
              <w:rPr>
                <w:sz w:val="7"/>
                <w:szCs w:val="7"/>
                <w:color w:val="auto"/>
              </w:rPr>
            </w:pPr>
          </w:p>
        </w:tc>
        <w:tc>
          <w:tcPr>
            <w:tcW w:w="240" w:type="dxa"/>
            <w:vAlign w:val="bottom"/>
            <w:tcBorders>
              <w:right w:val="single" w:sz="8" w:color="auto"/>
            </w:tcBorders>
            <w:shd w:val="clear" w:color="auto" w:fill="CFF0FC"/>
          </w:tcPr>
          <w:p>
            <w:pPr>
              <w:spacing w:after="0"/>
              <w:rPr>
                <w:sz w:val="7"/>
                <w:szCs w:val="7"/>
                <w:color w:val="auto"/>
              </w:rPr>
            </w:pPr>
          </w:p>
        </w:tc>
        <w:tc>
          <w:tcPr>
            <w:tcW w:w="100" w:type="dxa"/>
            <w:vAlign w:val="bottom"/>
            <w:tcBorders>
              <w:right w:val="single" w:sz="8" w:color="CFF0FC"/>
            </w:tcBorders>
            <w:shd w:val="clear" w:color="auto" w:fill="CFF0FC"/>
          </w:tcPr>
          <w:p>
            <w:pPr>
              <w:spacing w:after="0"/>
              <w:rPr>
                <w:sz w:val="7"/>
                <w:szCs w:val="7"/>
                <w:color w:val="auto"/>
              </w:rPr>
            </w:pPr>
          </w:p>
        </w:tc>
        <w:tc>
          <w:tcPr>
            <w:tcW w:w="480" w:type="dxa"/>
            <w:vAlign w:val="bottom"/>
            <w:tcBorders>
              <w:top w:val="single" w:sz="8" w:color="auto"/>
            </w:tcBorders>
            <w:shd w:val="clear" w:color="auto" w:fill="CFF0FC"/>
          </w:tcPr>
          <w:p>
            <w:pPr>
              <w:jc w:val="right"/>
              <w:spacing w:after="0" w:line="88" w:lineRule="exact"/>
              <w:rPr>
                <w:sz w:val="20"/>
                <w:szCs w:val="20"/>
                <w:color w:val="auto"/>
              </w:rPr>
            </w:pPr>
            <w:r>
              <w:rPr>
                <w:rFonts w:ascii="Arial" w:cs="Arial" w:eastAsia="Arial" w:hAnsi="Arial"/>
                <w:sz w:val="9"/>
                <w:szCs w:val="9"/>
                <w:color w:val="auto"/>
              </w:rPr>
              <w:t>61,928,9</w:t>
            </w:r>
          </w:p>
        </w:tc>
        <w:tc>
          <w:tcPr>
            <w:tcW w:w="1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40" w:type="dxa"/>
            <w:vAlign w:val="bottom"/>
            <w:tcBorders>
              <w:top w:val="single" w:sz="8" w:color="auto"/>
              <w:right w:val="single" w:sz="8" w:color="CFF0FC"/>
            </w:tcBorders>
            <w:shd w:val="clear" w:color="auto" w:fill="CFF0FC"/>
          </w:tcPr>
          <w:p>
            <w:pPr>
              <w:spacing w:after="0"/>
              <w:rPr>
                <w:sz w:val="7"/>
                <w:szCs w:val="7"/>
                <w:color w:val="auto"/>
              </w:rPr>
            </w:pPr>
          </w:p>
        </w:tc>
        <w:tc>
          <w:tcPr>
            <w:tcW w:w="220" w:type="dxa"/>
            <w:vAlign w:val="bottom"/>
            <w:tcBorders>
              <w:right w:val="single" w:sz="8" w:color="CFF0FC"/>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460" w:type="dxa"/>
            <w:vAlign w:val="bottom"/>
            <w:tcBorders>
              <w:top w:val="single" w:sz="8" w:color="auto"/>
            </w:tcBorders>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240" w:type="dxa"/>
            <w:vAlign w:val="bottom"/>
            <w:tcBorders>
              <w:left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520" w:type="dxa"/>
            <w:vAlign w:val="bottom"/>
            <w:tcBorders>
              <w:top w:val="single" w:sz="8" w:color="auto"/>
              <w:right w:val="single" w:sz="8" w:color="CFF0FC"/>
            </w:tcBorders>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8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70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09"/>
              <w:spacing w:after="0"/>
              <w:rPr>
                <w:sz w:val="20"/>
                <w:szCs w:val="20"/>
                <w:color w:val="auto"/>
              </w:rPr>
            </w:pPr>
            <w:r>
              <w:rPr>
                <w:rFonts w:ascii="Arial" w:cs="Arial" w:eastAsia="Arial" w:hAnsi="Arial"/>
                <w:sz w:val="9"/>
                <w:szCs w:val="9"/>
                <w:color w:val="auto"/>
                <w:w w:val="78"/>
              </w:rPr>
              <w:t>$</w:t>
            </w: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39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w w:val="78"/>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6</w:t>
            </w:r>
          </w:p>
        </w:tc>
        <w:tc>
          <w:tcPr>
            <w:tcW w:w="240" w:type="dxa"/>
            <w:vAlign w:val="bottom"/>
            <w:shd w:val="clear" w:color="auto" w:fill="CFF0FC"/>
          </w:tcPr>
          <w:p>
            <w:pPr>
              <w:spacing w:after="0"/>
              <w:rPr>
                <w:sz w:val="12"/>
                <w:szCs w:val="12"/>
                <w:color w:val="auto"/>
              </w:rPr>
            </w:pPr>
          </w:p>
        </w:tc>
        <w:tc>
          <w:tcPr>
            <w:tcW w:w="540" w:type="dxa"/>
            <w:vAlign w:val="bottom"/>
            <w:tcBorders>
              <w:right w:val="single" w:sz="8" w:color="CFF0FC"/>
            </w:tcBorders>
            <w:shd w:val="clear" w:color="auto" w:fill="CFF0FC"/>
          </w:tcPr>
          <w:p>
            <w:pPr>
              <w:jc w:val="right"/>
              <w:ind w:right="12"/>
              <w:spacing w:after="0"/>
              <w:rPr>
                <w:sz w:val="20"/>
                <w:szCs w:val="20"/>
                <w:color w:val="auto"/>
              </w:rPr>
            </w:pPr>
            <w:r>
              <w:rPr>
                <w:rFonts w:ascii="Arial" w:cs="Arial" w:eastAsia="Arial" w:hAnsi="Arial"/>
                <w:sz w:val="9"/>
                <w:szCs w:val="9"/>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9"/>
                <w:szCs w:val="9"/>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9"/>
                <w:szCs w:val="9"/>
                <w:color w:val="auto"/>
                <w:w w:val="78"/>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9"/>
                <w:szCs w:val="9"/>
                <w:color w:val="auto"/>
              </w:rPr>
              <w:t>403,214</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68"/>
              <w:spacing w:after="0"/>
              <w:rPr>
                <w:sz w:val="20"/>
                <w:szCs w:val="20"/>
                <w:color w:val="auto"/>
              </w:rPr>
            </w:pPr>
            <w:r>
              <w:rPr>
                <w:rFonts w:ascii="Arial" w:cs="Arial" w:eastAsia="Arial" w:hAnsi="Arial"/>
                <w:sz w:val="9"/>
                <w:szCs w:val="9"/>
                <w:color w:val="auto"/>
                <w:w w:val="78"/>
              </w:rPr>
              <w:t>$</w:t>
            </w:r>
          </w:p>
        </w:tc>
        <w:tc>
          <w:tcPr>
            <w:tcW w:w="80" w:type="dxa"/>
            <w:vAlign w:val="bottom"/>
            <w:shd w:val="clear" w:color="auto" w:fill="CFF0FC"/>
          </w:tcPr>
          <w:p>
            <w:pPr>
              <w:spacing w:after="0"/>
              <w:rPr>
                <w:sz w:val="12"/>
                <w:szCs w:val="12"/>
                <w:color w:val="auto"/>
              </w:rPr>
            </w:pPr>
          </w:p>
        </w:tc>
        <w:tc>
          <w:tcPr>
            <w:tcW w:w="560" w:type="dxa"/>
            <w:vAlign w:val="bottom"/>
            <w:gridSpan w:val="3"/>
            <w:shd w:val="clear" w:color="auto" w:fill="CFF0FC"/>
          </w:tcPr>
          <w:p>
            <w:pPr>
              <w:jc w:val="right"/>
              <w:ind w:right="160"/>
              <w:spacing w:after="0"/>
              <w:rPr>
                <w:sz w:val="20"/>
                <w:szCs w:val="20"/>
                <w:color w:val="auto"/>
              </w:rPr>
            </w:pPr>
            <w:r>
              <w:rPr>
                <w:rFonts w:ascii="Arial" w:cs="Arial" w:eastAsia="Arial" w:hAnsi="Arial"/>
                <w:sz w:val="9"/>
                <w:szCs w:val="9"/>
                <w:color w:val="auto"/>
                <w:w w:val="92"/>
              </w:rPr>
              <w:t>(105,548 )</w:t>
            </w:r>
          </w:p>
        </w:tc>
        <w:tc>
          <w:tcPr>
            <w:tcW w:w="80" w:type="dxa"/>
            <w:vAlign w:val="bottom"/>
            <w:shd w:val="clear" w:color="auto" w:fill="CFF0FC"/>
          </w:tcPr>
          <w:p>
            <w:pPr>
              <w:ind w:left="20"/>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297,672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-5048250</wp:posOffset>
            </wp:positionV>
            <wp:extent cx="76835" cy="93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-5048250</wp:posOffset>
            </wp:positionV>
            <wp:extent cx="77470" cy="93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-5048250</wp:posOffset>
            </wp:positionV>
            <wp:extent cx="68580" cy="93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-5048250</wp:posOffset>
            </wp:positionV>
            <wp:extent cx="68580" cy="93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-5048250</wp:posOffset>
            </wp:positionV>
            <wp:extent cx="68580" cy="93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-5048250</wp:posOffset>
            </wp:positionV>
            <wp:extent cx="68580" cy="93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-4688205</wp:posOffset>
            </wp:positionV>
            <wp:extent cx="451739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17390" cy="18859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-3985895</wp:posOffset>
            </wp:positionV>
            <wp:extent cx="451739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17390" cy="18859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-3291205</wp:posOffset>
            </wp:positionV>
            <wp:extent cx="76835"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-3291205</wp:posOffset>
            </wp:positionV>
            <wp:extent cx="7747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-3291205</wp:posOffset>
            </wp:positionV>
            <wp:extent cx="6858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-3291205</wp:posOffset>
            </wp:positionV>
            <wp:extent cx="6858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-3291205</wp:posOffset>
            </wp:positionV>
            <wp:extent cx="6858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-2614295</wp:posOffset>
            </wp:positionV>
            <wp:extent cx="7683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-2614295</wp:posOffset>
            </wp:positionV>
            <wp:extent cx="7747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-2614295</wp:posOffset>
            </wp:positionV>
            <wp:extent cx="7683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-2614295</wp:posOffset>
            </wp:positionV>
            <wp:extent cx="7747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-2614295</wp:posOffset>
            </wp:positionV>
            <wp:extent cx="7747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-2614295</wp:posOffset>
            </wp:positionV>
            <wp:extent cx="7747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-2614295</wp:posOffset>
            </wp:positionV>
            <wp:extent cx="68580"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-2614295</wp:posOffset>
            </wp:positionV>
            <wp:extent cx="68580"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-2614295</wp:posOffset>
            </wp:positionV>
            <wp:extent cx="68580"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-2614295</wp:posOffset>
            </wp:positionV>
            <wp:extent cx="68580"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-2614295</wp:posOffset>
            </wp:positionV>
            <wp:extent cx="6858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-1782445</wp:posOffset>
            </wp:positionV>
            <wp:extent cx="546925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69255" cy="16256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-548005</wp:posOffset>
            </wp:positionV>
            <wp:extent cx="7683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-548005</wp:posOffset>
            </wp:positionV>
            <wp:extent cx="7747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-548005</wp:posOffset>
            </wp:positionV>
            <wp:extent cx="7683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-548005</wp:posOffset>
            </wp:positionV>
            <wp:extent cx="7747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-548005</wp:posOffset>
            </wp:positionV>
            <wp:extent cx="7747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-548005</wp:posOffset>
            </wp:positionV>
            <wp:extent cx="7747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-548005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-548005</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-548005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-548005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-548005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-25400</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-8255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-25400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-8255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-25400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-8255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-25400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-8255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300"/>
        <w:spacing w:after="0"/>
        <w:rPr>
          <w:sz w:val="20"/>
          <w:szCs w:val="20"/>
          <w:color w:val="auto"/>
        </w:rPr>
      </w:pPr>
      <w:r>
        <w:rPr>
          <w:rFonts w:ascii="Arial" w:cs="Arial" w:eastAsia="Arial" w:hAnsi="Arial"/>
          <w:sz w:val="18"/>
          <w:szCs w:val="18"/>
          <w:b w:val="1"/>
          <w:bCs w:val="1"/>
          <w:color w:val="auto"/>
        </w:rPr>
        <w:t>Day One Biopharmaceuticals, Inc.</w:t>
      </w:r>
    </w:p>
    <w:p>
      <w:pPr>
        <w:spacing w:after="0" w:line="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06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(102,072 )</w:t>
            </w: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(50,816 )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 assets</w:t>
            </w:r>
          </w:p>
        </w:tc>
        <w:tc>
          <w:tcPr>
            <w:tcW w:w="38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 expense</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Accretion of discounts on short-term investments</w:t>
            </w: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(1,031 )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Amortization of operating right-of-use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interest expense</w:t>
            </w:r>
          </w:p>
        </w:tc>
        <w:tc>
          <w:tcPr>
            <w:tcW w:w="3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(1,113 )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(4,808 )</w:t>
            </w: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Deposits and other long-term assets</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(280 )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(154 )</w:t>
            </w: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(74,564 )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(35,370 )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Cash paid for acquired in-process research and development assets</w:t>
            </w:r>
          </w:p>
        </w:tc>
        <w:tc>
          <w:tcPr>
            <w:tcW w:w="38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(8,000 )</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purchase of short-term investments</w:t>
            </w: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(272,838 )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maturity of short-term investments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purchase of property and equipment</w:t>
            </w: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(252,864 )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(8,000 )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740" w:type="dxa"/>
            <w:vAlign w:val="bottom"/>
          </w:tcPr>
          <w:p>
            <w:pPr>
              <w:ind w:left="200"/>
              <w:spacing w:after="0" w:line="175" w:lineRule="exact"/>
              <w:rPr>
                <w:sz w:val="20"/>
                <w:szCs w:val="20"/>
                <w:color w:val="auto"/>
              </w:rPr>
            </w:pPr>
            <w:r>
              <w:rPr>
                <w:rFonts w:ascii="Arial" w:cs="Arial" w:eastAsia="Arial" w:hAnsi="Arial"/>
                <w:sz w:val="18"/>
                <w:szCs w:val="18"/>
                <w:color w:val="auto"/>
              </w:rPr>
              <w:t>Proceeds from issuance of Series B redeemable convertible</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40" w:type="dxa"/>
            <w:vAlign w:val="bottom"/>
          </w:tcPr>
          <w:p>
            <w:pPr>
              <w:ind w:left="340"/>
              <w:spacing w:after="0"/>
              <w:rPr>
                <w:sz w:val="20"/>
                <w:szCs w:val="20"/>
                <w:color w:val="auto"/>
              </w:rPr>
            </w:pPr>
            <w:r>
              <w:rPr>
                <w:rFonts w:ascii="Arial" w:cs="Arial" w:eastAsia="Arial" w:hAnsi="Arial"/>
                <w:sz w:val="18"/>
                <w:szCs w:val="18"/>
                <w:color w:val="auto"/>
              </w:rPr>
              <w:t>preferred shares, net of issuance costs</w:t>
            </w:r>
          </w:p>
        </w:tc>
        <w:tc>
          <w:tcPr>
            <w:tcW w:w="38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129,757</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161,610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167,045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upon stock option exercises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upon ESPP purchase</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7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Cash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163,983</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296,802</w:t>
            </w:r>
          </w:p>
        </w:tc>
        <w:tc>
          <w:tcPr>
            <w:tcW w:w="100" w:type="dxa"/>
            <w:vAlign w:val="bottom"/>
            <w:tcBorders>
              <w:top w:val="single" w:sz="8" w:color="CFF0FC"/>
            </w:tcBorders>
          </w:tcPr>
          <w:p>
            <w:pPr>
              <w:spacing w:after="0"/>
              <w:rPr>
                <w:sz w:val="18"/>
                <w:szCs w:val="18"/>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(163,445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253,432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43,728</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120,864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noncash activities: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Lease liability obtained in exchange for right-of-use asset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7740" w:type="dxa"/>
            <w:vAlign w:val="bottom"/>
          </w:tcPr>
          <w:p>
            <w:pPr>
              <w:ind w:left="200"/>
              <w:spacing w:after="0" w:line="175" w:lineRule="exact"/>
              <w:rPr>
                <w:sz w:val="20"/>
                <w:szCs w:val="20"/>
                <w:color w:val="auto"/>
              </w:rPr>
            </w:pPr>
            <w:r>
              <w:rPr>
                <w:rFonts w:ascii="Arial" w:cs="Arial" w:eastAsia="Arial" w:hAnsi="Arial"/>
                <w:sz w:val="18"/>
                <w:szCs w:val="18"/>
                <w:color w:val="auto"/>
                <w:w w:val="93"/>
              </w:rPr>
              <w:t>Exchange of 45,331,483 preferred, common, and incentive shares in connection with the Conversion</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40" w:type="dxa"/>
            <w:vAlign w:val="bottom"/>
          </w:tcPr>
          <w:p>
            <w:pPr>
              <w:ind w:left="200"/>
              <w:spacing w:after="0"/>
              <w:rPr>
                <w:sz w:val="20"/>
                <w:szCs w:val="20"/>
                <w:color w:val="auto"/>
              </w:rPr>
            </w:pPr>
            <w:r>
              <w:rPr>
                <w:rFonts w:ascii="Arial" w:cs="Arial" w:eastAsia="Arial" w:hAnsi="Arial"/>
                <w:sz w:val="18"/>
                <w:szCs w:val="18"/>
                <w:color w:val="auto"/>
              </w:rPr>
              <w:t>(Note 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224,892</w:t>
            </w:r>
          </w:p>
        </w:tc>
        <w:tc>
          <w:tcPr>
            <w:tcW w:w="100" w:type="dxa"/>
            <w:vAlign w:val="bottom"/>
          </w:tcPr>
          <w:p>
            <w:pPr>
              <w:spacing w:after="0"/>
              <w:rPr>
                <w:sz w:val="20"/>
                <w:szCs w:val="20"/>
                <w:color w:val="auto"/>
              </w:rPr>
            </w:pPr>
          </w:p>
        </w:tc>
      </w:tr>
      <w:tr>
        <w:trPr>
          <w:trHeight w:val="175"/>
        </w:trPr>
        <w:tc>
          <w:tcPr>
            <w:tcW w:w="77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6"/>
              </w:rPr>
              <w:t>Exchange of redeemable convertible noncontrolling interest to 6,470,382 shares of common stock</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 11)</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-3171190</wp:posOffset>
            </wp:positionV>
            <wp:extent cx="6858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-2339340</wp:posOffset>
            </wp:positionV>
            <wp:extent cx="6858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-1388110</wp:posOffset>
            </wp:positionV>
            <wp:extent cx="6858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-814070</wp:posOffset>
            </wp:positionV>
            <wp:extent cx="123444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34440" cy="16319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93" w:lineRule="exact"/>
        <w:rPr>
          <w:sz w:val="20"/>
          <w:szCs w:val="20"/>
          <w:color w:val="auto"/>
        </w:rPr>
      </w:pPr>
    </w:p>
    <w:p>
      <w:pPr>
        <w:ind w:left="520" w:right="7540" w:hanging="512"/>
        <w:spacing w:after="0" w:line="416" w:lineRule="auto"/>
        <w:tabs>
          <w:tab w:leader="none" w:pos="5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Description of Business and Organization </w:t>
      </w:r>
      <w:r>
        <w:rPr>
          <w:rFonts w:ascii="Arial" w:cs="Arial" w:eastAsia="Arial" w:hAnsi="Arial"/>
          <w:sz w:val="16"/>
          <w:szCs w:val="16"/>
          <w:b w:val="1"/>
          <w:bCs w:val="1"/>
          <w:i w:val="1"/>
          <w:iCs w:val="1"/>
          <w:color w:val="auto"/>
        </w:rPr>
        <w:t>Organization and Business</w:t>
      </w:r>
    </w:p>
    <w:p>
      <w:pPr>
        <w:spacing w:after="0" w:line="1" w:lineRule="exact"/>
        <w:rPr>
          <w:sz w:val="20"/>
          <w:szCs w:val="20"/>
          <w:color w:val="auto"/>
        </w:rPr>
      </w:pPr>
    </w:p>
    <w:p>
      <w:pPr>
        <w:ind w:left="520" w:firstLine="509"/>
        <w:spacing w:after="0" w:line="245" w:lineRule="auto"/>
        <w:rPr>
          <w:sz w:val="20"/>
          <w:szCs w:val="20"/>
          <w:color w:val="auto"/>
        </w:rPr>
      </w:pPr>
      <w:r>
        <w:rPr>
          <w:rFonts w:ascii="Arial" w:cs="Arial" w:eastAsia="Arial" w:hAnsi="Arial"/>
          <w:sz w:val="18"/>
          <w:szCs w:val="18"/>
          <w:color w:val="auto"/>
        </w:rPr>
        <w:t>Day One Biopharmaceuticals, Inc., or the Company, is a clinical-stage biopharmaceutical company dedicated to developing and commercializing targeted therapies for patients of all ages with life-threatening diseases. The Company was formed as a limited liability company under the laws of the State of Delaware in November 2018, under the name Hero Therapeutics Holding Company, LLC. Subsequently, the Company changed its name to Day One Therapeutics Holding Company, LLC in December 2018 and to Day One Biopharmaceuticals Holding Company, LLC, or Day One Holding LLC, in March 2020.</w:t>
      </w:r>
    </w:p>
    <w:p>
      <w:pPr>
        <w:spacing w:after="0" w:line="78" w:lineRule="exact"/>
        <w:rPr>
          <w:sz w:val="20"/>
          <w:szCs w:val="20"/>
          <w:color w:val="auto"/>
        </w:rPr>
      </w:pPr>
    </w:p>
    <w:p>
      <w:pPr>
        <w:ind w:left="520" w:right="140" w:firstLine="509"/>
        <w:spacing w:after="0" w:line="245" w:lineRule="auto"/>
        <w:rPr>
          <w:sz w:val="20"/>
          <w:szCs w:val="20"/>
          <w:color w:val="auto"/>
        </w:rPr>
      </w:pPr>
      <w:r>
        <w:rPr>
          <w:rFonts w:ascii="Arial" w:cs="Arial" w:eastAsia="Arial" w:hAnsi="Arial"/>
          <w:sz w:val="18"/>
          <w:szCs w:val="18"/>
          <w:color w:val="auto"/>
        </w:rPr>
        <w:t>On May 26, 2021, the Company completed a conversion by filing a certificate of conversion with the Secretary of State of the State of Delaware and changed its name to Day One Biopharmaceuticals, Inc. Prior to December 31, 2021, the Company had two subsidiaries: DOT Therapeutics-2, Inc. (formerly Hero Therapeutics Inc. and Day One Biopharmaceuticals, Inc.), or DOT-2, incorporated in Delaware in November 2018, and DOT Therapeutics-1, Inc., or DOT-1, incorporated in Delaware in December 2019. DOT-2 and DOT-1 are collectively referred to herein as the Subsidiaries.</w:t>
      </w:r>
    </w:p>
    <w:p>
      <w:pPr>
        <w:spacing w:after="0" w:line="294" w:lineRule="exact"/>
        <w:rPr>
          <w:sz w:val="20"/>
          <w:szCs w:val="20"/>
          <w:color w:val="auto"/>
        </w:rPr>
      </w:pPr>
    </w:p>
    <w:p>
      <w:pPr>
        <w:jc w:val="both"/>
        <w:ind w:left="520" w:right="320" w:firstLine="509"/>
        <w:spacing w:after="0" w:line="256" w:lineRule="auto"/>
        <w:rPr>
          <w:sz w:val="20"/>
          <w:szCs w:val="20"/>
          <w:color w:val="auto"/>
        </w:rPr>
      </w:pPr>
      <w:r>
        <w:rPr>
          <w:rFonts w:ascii="Arial" w:cs="Arial" w:eastAsia="Arial" w:hAnsi="Arial"/>
          <w:sz w:val="18"/>
          <w:szCs w:val="18"/>
          <w:color w:val="auto"/>
        </w:rPr>
        <w:t>In December 2021, the Company’s board of directors approved the merger, or the Merger, of the Subsidiaries with and into the Company, with the Company being the surviving corporation, effective December 31, 2021. For more information on the financial statement impact of the Merger, refer to the section titled “Basis of Presentation.”</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 Corporate Conversion and Exchange of Takeda’s shares</w:t>
      </w:r>
    </w:p>
    <w:p>
      <w:pPr>
        <w:spacing w:after="0" w:line="104" w:lineRule="exact"/>
        <w:rPr>
          <w:sz w:val="20"/>
          <w:szCs w:val="20"/>
          <w:color w:val="auto"/>
        </w:rPr>
      </w:pPr>
    </w:p>
    <w:p>
      <w:pPr>
        <w:ind w:left="520" w:right="20" w:firstLine="509"/>
        <w:spacing w:after="0" w:line="249" w:lineRule="auto"/>
        <w:rPr>
          <w:sz w:val="20"/>
          <w:szCs w:val="20"/>
          <w:color w:val="auto"/>
        </w:rPr>
      </w:pPr>
      <w:r>
        <w:rPr>
          <w:rFonts w:ascii="Arial" w:cs="Arial" w:eastAsia="Arial" w:hAnsi="Arial"/>
          <w:sz w:val="18"/>
          <w:szCs w:val="18"/>
          <w:color w:val="auto"/>
        </w:rPr>
        <w:t>On June 1, 2021, the Company closed its initial public offering, or the IPO, in which it sold an aggregate of 11,500,000 shares of common stock at a price to the public of $16.00 per share, which included 1,500,000 shares issued upon the full exercise by the underwriters of their option to purchase additional shares of common stock. The Company received aggregate net proceeds from the IPO of $167.0 million, after deducting underwriting discounts and commissions and offering costs, of $17.0 million. The common stock began trading on the Nasdaq Global Select Market on May 27, 2021, under the symbol “DAWN.”</w:t>
      </w:r>
    </w:p>
    <w:p>
      <w:pPr>
        <w:spacing w:after="0" w:line="74" w:lineRule="exact"/>
        <w:rPr>
          <w:sz w:val="20"/>
          <w:szCs w:val="20"/>
          <w:color w:val="auto"/>
        </w:rPr>
      </w:pPr>
    </w:p>
    <w:p>
      <w:pPr>
        <w:ind w:left="520" w:right="380" w:firstLine="509"/>
        <w:spacing w:after="0" w:line="294" w:lineRule="auto"/>
        <w:rPr>
          <w:sz w:val="20"/>
          <w:szCs w:val="20"/>
          <w:color w:val="auto"/>
        </w:rPr>
      </w:pPr>
      <w:r>
        <w:rPr>
          <w:rFonts w:ascii="Arial" w:cs="Arial" w:eastAsia="Arial" w:hAnsi="Arial"/>
          <w:sz w:val="16"/>
          <w:szCs w:val="16"/>
          <w:color w:val="auto"/>
        </w:rPr>
        <w:t>In contemplation of the IPO, on May 26, 2021, the Company completed a legal entity conversion, or the Conversion, which included the following: Day One Holding LLC (i) converted from a Delaware limited liability company to a Delaware corporation by filing a certificate of conversion with the Secretary of State of the State of Delaware and (ii) changed its name to Day One Biopharmaceuticals, Inc.</w:t>
      </w:r>
    </w:p>
    <w:p>
      <w:pPr>
        <w:spacing w:after="0" w:line="5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part of the Conversion:</w:t>
      </w:r>
    </w:p>
    <w:p>
      <w:pPr>
        <w:spacing w:after="0" w:line="104" w:lineRule="exact"/>
        <w:rPr>
          <w:sz w:val="20"/>
          <w:szCs w:val="20"/>
          <w:color w:val="auto"/>
        </w:rPr>
      </w:pPr>
    </w:p>
    <w:p>
      <w:pPr>
        <w:ind w:left="1540" w:right="280" w:hanging="514"/>
        <w:spacing w:after="0" w:line="256"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Series A redeemable convertible preferred shares of Day One Holding LLC received one share of Series A redeemable convertible preferred stock of the Company for each Series A redeemable convertible preferred share held immediately prior to the Conversion;</w:t>
      </w:r>
    </w:p>
    <w:p>
      <w:pPr>
        <w:spacing w:after="0" w:line="66" w:lineRule="exact"/>
        <w:rPr>
          <w:rFonts w:ascii="Arial" w:cs="Arial" w:eastAsia="Arial" w:hAnsi="Arial"/>
          <w:sz w:val="18"/>
          <w:szCs w:val="18"/>
          <w:color w:val="auto"/>
        </w:rPr>
      </w:pPr>
    </w:p>
    <w:p>
      <w:pPr>
        <w:ind w:left="1540" w:right="280" w:hanging="514"/>
        <w:spacing w:after="0" w:line="256"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Series B redeemable convertible preferred shares of Day One Holding LLC received one share of Series B redeemable convertible preferred stock of the Company for each Series B redeemable convertible preferred share held immediately prior to the Conversion;</w:t>
      </w:r>
    </w:p>
    <w:p>
      <w:pPr>
        <w:spacing w:after="0" w:line="66" w:lineRule="exact"/>
        <w:rPr>
          <w:rFonts w:ascii="Arial" w:cs="Arial" w:eastAsia="Arial" w:hAnsi="Arial"/>
          <w:sz w:val="18"/>
          <w:szCs w:val="18"/>
          <w:color w:val="auto"/>
        </w:rPr>
      </w:pPr>
    </w:p>
    <w:p>
      <w:pPr>
        <w:ind w:left="1540" w:right="300" w:hanging="514"/>
        <w:spacing w:after="0" w:line="261"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common shares of Day One Holding LLC received one share of common stock of the Company for each common share held immediately prior to the Conversion;</w:t>
      </w:r>
    </w:p>
    <w:p>
      <w:pPr>
        <w:spacing w:after="0" w:line="76" w:lineRule="exact"/>
        <w:rPr>
          <w:rFonts w:ascii="Arial" w:cs="Arial" w:eastAsia="Arial" w:hAnsi="Arial"/>
          <w:sz w:val="18"/>
          <w:szCs w:val="18"/>
          <w:color w:val="auto"/>
        </w:rPr>
      </w:pPr>
    </w:p>
    <w:p>
      <w:pPr>
        <w:ind w:left="1540" w:right="20" w:hanging="514"/>
        <w:spacing w:after="0" w:line="245"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outstanding incentive share in Day One Holding LLC converted into a number of shares of common stock of the Company based upon a conversion price determined by the board of directors. The conversion price was determined as a difference between the IPO price of $16.00 per share and the participating threshold for each incentive share. The Company issued 5,433,290 common stock shares upon the conversion of incentive shares of Day One Holding LLC, of which 4,719,605 common stock shares continue to vest as per the original vesting terms of the incentive shares awards.</w:t>
      </w:r>
    </w:p>
    <w:p>
      <w:pPr>
        <w:spacing w:after="0" w:line="78" w:lineRule="exact"/>
        <w:rPr>
          <w:sz w:val="20"/>
          <w:szCs w:val="20"/>
          <w:color w:val="auto"/>
        </w:rPr>
      </w:pPr>
    </w:p>
    <w:p>
      <w:pPr>
        <w:ind w:left="520" w:right="40" w:firstLine="509"/>
        <w:spacing w:after="0" w:line="276" w:lineRule="auto"/>
        <w:rPr>
          <w:sz w:val="20"/>
          <w:szCs w:val="20"/>
          <w:color w:val="auto"/>
        </w:rPr>
      </w:pPr>
      <w:r>
        <w:rPr>
          <w:rFonts w:ascii="Arial" w:cs="Arial" w:eastAsia="Arial" w:hAnsi="Arial"/>
          <w:sz w:val="16"/>
          <w:szCs w:val="16"/>
          <w:color w:val="auto"/>
        </w:rPr>
        <w:t>In connection with the IPO and the Conversion, pursuant to the terms of the Millennium Stock Exchange Agreement, or the Millennium Stock Exchange Agreement, and the Conversion, Millennium Pharmaceuticals, Inc. exchanged 9,857,143 shares of Series A redeemable convertible preferred stock of DOT-1, a subsidiary of Day One Holding LLC, for 6,470,382 shares of common stock of the Company, or the Exchange.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ind w:right="-1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8" w:lineRule="exact"/>
        <w:rPr>
          <w:sz w:val="20"/>
          <w:szCs w:val="20"/>
          <w:color w:val="auto"/>
        </w:rPr>
      </w:pPr>
    </w:p>
    <w:p>
      <w:pPr>
        <w:ind w:left="512" w:right="20" w:firstLine="509"/>
        <w:spacing w:after="0" w:line="249" w:lineRule="auto"/>
        <w:rPr>
          <w:sz w:val="20"/>
          <w:szCs w:val="20"/>
          <w:color w:val="auto"/>
        </w:rPr>
      </w:pPr>
      <w:r>
        <w:rPr>
          <w:rFonts w:ascii="Arial" w:cs="Arial" w:eastAsia="Arial" w:hAnsi="Arial"/>
          <w:sz w:val="18"/>
          <w:szCs w:val="18"/>
          <w:color w:val="auto"/>
        </w:rPr>
        <w:t>The Company holds all property and assets of Day One Holding LLC and assumed all of the debts and obligations of Day One Holding LLC. Effective on the date of the Conversion, each member of the board of directors and officers of Day One Holding LLC became a member of the board of directors and officers of the Company. The Conversion was a tax-free reorganization, that included authorization to issue capital stock consisting of 500,000,000 shares of common stock, $0.0001 par value per share, and 10,000,000 shares of undesignated preferred stock, $0.0001 par value per share.</w:t>
      </w:r>
    </w:p>
    <w:p>
      <w:pPr>
        <w:spacing w:after="0" w:line="74" w:lineRule="exact"/>
        <w:rPr>
          <w:sz w:val="20"/>
          <w:szCs w:val="20"/>
          <w:color w:val="auto"/>
        </w:rPr>
      </w:pPr>
    </w:p>
    <w:p>
      <w:pPr>
        <w:ind w:left="512" w:right="240" w:firstLine="509"/>
        <w:spacing w:after="0" w:line="256" w:lineRule="auto"/>
        <w:rPr>
          <w:sz w:val="20"/>
          <w:szCs w:val="20"/>
          <w:color w:val="auto"/>
        </w:rPr>
      </w:pPr>
      <w:r>
        <w:rPr>
          <w:rFonts w:ascii="Arial" w:cs="Arial" w:eastAsia="Arial" w:hAnsi="Arial"/>
          <w:sz w:val="18"/>
          <w:szCs w:val="18"/>
          <w:color w:val="auto"/>
        </w:rPr>
        <w:t>Upon the closing of the IPO, 32,489,398 shares of redeemable convertible preferred stock issued by the Company in the Conversion converted into an equal number of shares of common stock. The Company also granted options for 4,418,874 common stock shares at $16.00 per share upon the IPO date.</w:t>
      </w:r>
    </w:p>
    <w:p>
      <w:pPr>
        <w:spacing w:after="0" w:line="283"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Shares Split</w:t>
      </w:r>
    </w:p>
    <w:p>
      <w:pPr>
        <w:spacing w:after="0" w:line="104" w:lineRule="exact"/>
        <w:rPr>
          <w:sz w:val="20"/>
          <w:szCs w:val="20"/>
          <w:color w:val="auto"/>
        </w:rPr>
      </w:pPr>
    </w:p>
    <w:p>
      <w:pPr>
        <w:jc w:val="both"/>
        <w:ind w:left="512" w:right="240" w:firstLine="509"/>
        <w:spacing w:after="0" w:line="245" w:lineRule="auto"/>
        <w:rPr>
          <w:sz w:val="20"/>
          <w:szCs w:val="20"/>
          <w:color w:val="auto"/>
        </w:rPr>
      </w:pPr>
      <w:r>
        <w:rPr>
          <w:rFonts w:ascii="Arial" w:cs="Arial" w:eastAsia="Arial" w:hAnsi="Arial"/>
          <w:sz w:val="18"/>
          <w:szCs w:val="18"/>
          <w:color w:val="auto"/>
        </w:rPr>
        <w:t>On May 23, 2021, the board of directors of Day One Holding LLC approved an amendment to its operating agreement to effect a forward split of the Company’s shares at a 2.325-for-1 ratio, or the Stock Split. The Stock Split became effective on May 23, 2021, upon approval by the members and execution of the amended LLC operating agreement. All issued and outstanding common shares, redeemable convertible preferred shares, incentive shares and per share amounts contained in these condensed consolidated financial statements have been retroactively adjusted to reflect this Stock Split for all periods presented.</w:t>
      </w:r>
    </w:p>
    <w:p>
      <w:pPr>
        <w:spacing w:after="0" w:line="303" w:lineRule="exact"/>
        <w:rPr>
          <w:sz w:val="20"/>
          <w:szCs w:val="20"/>
          <w:color w:val="auto"/>
        </w:rPr>
      </w:pPr>
    </w:p>
    <w:p>
      <w:pPr>
        <w:ind w:left="512" w:hanging="512"/>
        <w:spacing w:after="0"/>
        <w:tabs>
          <w:tab w:leader="none" w:pos="5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24"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512" w:firstLine="509"/>
        <w:spacing w:after="0" w:line="25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GAAP for interim financial information and with the instructions to Form 10-Q and Article 10 of Regulation S-X. Accordingly, they do not include all of the information and footnotes required by U.S. GAAP for complete financial statements. These accounting principles were applied on a basis consistent with those of the consolidated financial statements contained in the Company's Annual Report on Form 10-K for the year ended December 31, 2021. In the opinion of the Company, the accompanying unaudited condensed consolidated financial statements include all adjustments, consisting of only normal recurring adjustments, necessary for a fair statement of our financial statements for interim periods presented in accordance with U.S. GAAP. The condensed consolidated balance sheet as of December 31, 2021 was derived from audited annual financial statements but does not include all disclosures required by U.S. GAAP. These interim financial statements should be read in conjunction with the audited financial statements for the year ended December 31, 2021 included in the Annual Report on Form 10-K for the year ended December 31, 2021. The results of operations for the three and nine months ended September 30, 2022 are not necessarily indicative of the results to be expected for the full year or any other future periods.</w:t>
      </w:r>
    </w:p>
    <w:p>
      <w:pPr>
        <w:spacing w:after="0" w:line="87" w:lineRule="exact"/>
        <w:rPr>
          <w:sz w:val="20"/>
          <w:szCs w:val="20"/>
          <w:color w:val="auto"/>
        </w:rPr>
      </w:pPr>
    </w:p>
    <w:p>
      <w:pPr>
        <w:ind w:left="512" w:right="240" w:firstLine="509"/>
        <w:spacing w:after="0" w:line="248" w:lineRule="auto"/>
        <w:rPr>
          <w:sz w:val="20"/>
          <w:szCs w:val="20"/>
          <w:color w:val="auto"/>
        </w:rPr>
      </w:pPr>
      <w:r>
        <w:rPr>
          <w:rFonts w:ascii="Arial" w:cs="Arial" w:eastAsia="Arial" w:hAnsi="Arial"/>
          <w:sz w:val="18"/>
          <w:szCs w:val="18"/>
          <w:color w:val="auto"/>
        </w:rPr>
        <w:t>The Company's significant accounting policies are described in Note 2 of the notes to the consolidated financial statements included in the Company's Annual Report on Form 10-K for the year ended December 31, 2021. Updates to its accounting policies, including impacts from the adoption of new accounting standards, are discussed below in this Note 2.</w:t>
      </w:r>
    </w:p>
    <w:p>
      <w:pPr>
        <w:spacing w:after="0" w:line="87" w:lineRule="exact"/>
        <w:rPr>
          <w:sz w:val="20"/>
          <w:szCs w:val="20"/>
          <w:color w:val="auto"/>
        </w:rPr>
      </w:pPr>
    </w:p>
    <w:p>
      <w:pPr>
        <w:ind w:left="512" w:right="20" w:firstLine="509"/>
        <w:spacing w:after="0" w:line="249" w:lineRule="auto"/>
        <w:rPr>
          <w:sz w:val="20"/>
          <w:szCs w:val="20"/>
          <w:color w:val="auto"/>
        </w:rPr>
      </w:pPr>
      <w:r>
        <w:rPr>
          <w:rFonts w:ascii="Arial" w:cs="Arial" w:eastAsia="Arial" w:hAnsi="Arial"/>
          <w:sz w:val="18"/>
          <w:szCs w:val="18"/>
          <w:color w:val="auto"/>
        </w:rPr>
        <w:t xml:space="preserve">Because the Merger (refer to the section “Organization and Business”) did not constitute a change in the reporting entity, as defined in ASC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the Company has reported the assets and liabilities transferred from its Subsidiaries at historical carrying value, effective December 31, 2021. For further information, refer to the consolidated financial statements and footnotes thereto included in the Company's Annual Report on Form 10-K for the year ended December 31, 2021.</w:t>
      </w:r>
    </w:p>
    <w:p>
      <w:pPr>
        <w:spacing w:after="0" w:line="73" w:lineRule="exact"/>
        <w:rPr>
          <w:sz w:val="20"/>
          <w:szCs w:val="20"/>
          <w:color w:val="auto"/>
        </w:rPr>
      </w:pPr>
    </w:p>
    <w:p>
      <w:pPr>
        <w:ind w:left="512" w:right="60" w:firstLine="509"/>
        <w:spacing w:after="0" w:line="256" w:lineRule="auto"/>
        <w:rPr>
          <w:sz w:val="20"/>
          <w:szCs w:val="20"/>
          <w:color w:val="auto"/>
        </w:rPr>
      </w:pPr>
      <w:r>
        <w:rPr>
          <w:rFonts w:ascii="Arial" w:cs="Arial" w:eastAsia="Arial" w:hAnsi="Arial"/>
          <w:sz w:val="18"/>
          <w:szCs w:val="18"/>
          <w:color w:val="auto"/>
        </w:rPr>
        <w:t>Any reference in these notes to applicable guidance is meant to refer to the authoritative generally accepted accounting principles as found in the Accounting Standards Codification, or ASC, and Accounting Standards Updates, or ASU, of the Financial Accounting Standards Board, or FASB.</w:t>
      </w:r>
    </w:p>
    <w:p>
      <w:pPr>
        <w:spacing w:after="0" w:line="283"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512" w:right="20" w:firstLine="509"/>
        <w:spacing w:after="0" w:line="273"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liabilities and disclosure of contingent assets and liabilities at the date of the condensed consolidated financial statements, and the reported amounts of expenses during the reporting period. Significant estimates and assumptions made in the accompanying condensed consolidated financial statements include, but are not limited to,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0" w:name="page11"/>
    <w:bookmarkEnd w:id="10"/>
    <w:p>
      <w:pPr>
        <w:ind w:left="28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260" w:firstLine="509"/>
        <w:spacing w:after="0" w:line="245" w:lineRule="auto"/>
        <w:rPr>
          <w:sz w:val="20"/>
          <w:szCs w:val="20"/>
          <w:color w:val="auto"/>
        </w:rPr>
      </w:pPr>
      <w:r>
        <w:rPr>
          <w:rFonts w:ascii="Arial" w:cs="Arial" w:eastAsia="Arial" w:hAnsi="Arial"/>
          <w:sz w:val="18"/>
          <w:szCs w:val="18"/>
          <w:color w:val="auto"/>
        </w:rPr>
        <w:t>Financial instruments that subject the Company to significant concentrations of credit risk consist primarily of cash, cash equivalents, and short-term investments. The Company’s cash, cash equivalents, and short-term investments are held in more than one financial institution in the United States. Amounts on deposit may at times exceed federally insured limits. Management believes that the financial institutions that the Company's cash, cash equivalents, and short-term investments are held at are financially sound and, accordingly, minimal credit risk exists with respect to the financial institutions.</w:t>
      </w:r>
    </w:p>
    <w:p>
      <w:pPr>
        <w:spacing w:after="0" w:line="294" w:lineRule="exact"/>
        <w:rPr>
          <w:sz w:val="20"/>
          <w:szCs w:val="20"/>
          <w:color w:val="auto"/>
        </w:rPr>
      </w:pPr>
    </w:p>
    <w:p>
      <w:pPr>
        <w:ind w:right="180" w:firstLine="509"/>
        <w:spacing w:after="0" w:line="260" w:lineRule="auto"/>
        <w:rPr>
          <w:sz w:val="20"/>
          <w:szCs w:val="20"/>
          <w:color w:val="auto"/>
        </w:rPr>
      </w:pPr>
      <w:r>
        <w:rPr>
          <w:rFonts w:ascii="Arial" w:cs="Arial" w:eastAsia="Arial" w:hAnsi="Arial"/>
          <w:sz w:val="17"/>
          <w:szCs w:val="17"/>
          <w:color w:val="auto"/>
        </w:rPr>
        <w:t>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w:t>
      </w:r>
    </w:p>
    <w:p>
      <w:pPr>
        <w:spacing w:after="0" w:line="282"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320"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 The Company’s cash equivalents consist of investments in money market funds and U.S. government agency securities. Cash equivalents are recognized at amortized cost, which approximates fair value.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306"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Company’s investments are comprised of U.S. government agency securities and U.S. treasury securities. Investments are classified at the time of purchase, based on management’s intent, as held-to-maturity, available-for-sale, or trading. All of the Company’s investments are classified as available-for-sale. Available-for-sale securities are carried at estimated fair value with unrealized holdings gains and losses (net of tax effects) on such investments reported in other comprehensive (loss) income as a separate component on the condensed consolidated statements of comprehensive loss. Fair value is determined based on quoted market rates when observable or by utilizing data points that are observable, such as quoted prices, interest rates, and yield curves.</w:t>
      </w:r>
    </w:p>
    <w:p>
      <w:pPr>
        <w:spacing w:after="0" w:line="293" w:lineRule="exact"/>
        <w:rPr>
          <w:sz w:val="20"/>
          <w:szCs w:val="20"/>
          <w:color w:val="auto"/>
        </w:rPr>
      </w:pPr>
    </w:p>
    <w:p>
      <w:pPr>
        <w:ind w:right="60" w:firstLine="509"/>
        <w:spacing w:after="0" w:line="256" w:lineRule="auto"/>
        <w:rPr>
          <w:sz w:val="20"/>
          <w:szCs w:val="20"/>
          <w:color w:val="auto"/>
        </w:rPr>
      </w:pPr>
      <w:r>
        <w:rPr>
          <w:rFonts w:ascii="Arial" w:cs="Arial" w:eastAsia="Arial" w:hAnsi="Arial"/>
          <w:sz w:val="17"/>
          <w:szCs w:val="17"/>
          <w:color w:val="auto"/>
        </w:rPr>
        <w:t>For available-for-sale securities, the Company determines if any impairment is related to credit loss or non-credit loss. In making the assessment of whether a loss is from credit or other factors, management considers the extent to which fair value is less than amortized cost, any changes to the rating of the security by a rating agency and adverse conditions related to the security, among other factors. If this assessment indicates that a credit loss exists, the present value of cash flows expected to be collected from the security are compared to the amortized cost basis of the security. If the present value of cash flows is less than the amortized cost basis, a credit loss exists and an allowance is created, limited by the amount that the fair value is less than amortized cost basis. Subsequent activity related to the credit loss component in the form of write-offs or recoveries is recognized as part of the allowance for credit losses on available-for-sale securities.</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43180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21" w:right="359" w:bottom="1440" w:gutter="0" w:footer="0" w:header="0"/>
        </w:sectPr>
      </w:pPr>
    </w:p>
    <w:bookmarkStart w:id="11" w:name="page12"/>
    <w:bookmarkEnd w:id="11"/>
    <w:p>
      <w:pPr>
        <w:ind w:left="28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2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1—Observable inputs such as unadjusted, quoted prices in active markets for identical assets or liabilities at the measurement date;</w:t>
      </w:r>
    </w:p>
    <w:p>
      <w:pPr>
        <w:spacing w:after="0" w:line="329"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283" w:lineRule="exact"/>
        <w:rPr>
          <w:sz w:val="20"/>
          <w:szCs w:val="20"/>
          <w:color w:val="auto"/>
        </w:rPr>
      </w:pPr>
    </w:p>
    <w:p>
      <w:pPr>
        <w:ind w:left="500" w:right="540"/>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79"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75"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The carrying amounts reflected in the accompanying condensed consolidated balance sheets for cash equivalents, prepaid expenses and other current assets, accounts payable and accrued expenses and other current liabilities approximate their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64"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The JOBS Act does not preclude an emerging growth company from adopting a new or revised accounting standard earlier than the time that such standard applies to private companies. The Company expects to use the extended transition period for any other new or revised accounting standards during the period in which it remains an emerging growth company.</w:t>
      </w:r>
    </w:p>
    <w:p>
      <w:pPr>
        <w:spacing w:after="0" w:line="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43180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520" w:right="40" w:firstLine="509"/>
        <w:spacing w:after="0" w:line="260"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or ASU 2019-12, which eliminates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standard is effective for fiscal years, and interim periods within those fiscal years, beginning after December 15, 2020, with early adoption permitted. The Company adopted ASU 2019-12 on January 1, 2022, and this adoption had no material impact on the Company’s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Recurring Fair Value Measurements</w:t>
      </w:r>
    </w:p>
    <w:p>
      <w:pPr>
        <w:spacing w:after="0" w:line="108" w:lineRule="exact"/>
        <w:rPr>
          <w:sz w:val="20"/>
          <w:szCs w:val="20"/>
          <w:color w:val="auto"/>
        </w:rPr>
      </w:pPr>
    </w:p>
    <w:p>
      <w:pPr>
        <w:ind w:left="520" w:right="60" w:firstLine="509"/>
        <w:spacing w:after="0" w:line="261" w:lineRule="auto"/>
        <w:rPr>
          <w:sz w:val="20"/>
          <w:szCs w:val="20"/>
          <w:color w:val="auto"/>
        </w:rPr>
      </w:pPr>
      <w:r>
        <w:rPr>
          <w:rFonts w:ascii="Arial" w:cs="Arial" w:eastAsia="Arial" w:hAnsi="Arial"/>
          <w:sz w:val="18"/>
          <w:szCs w:val="18"/>
          <w:color w:val="auto"/>
        </w:rPr>
        <w:t>The following table sets forth the Company’s financial instruments as of September 30, 2022 and December 31, 2021, which are measured at fair value on a recurring basis by level within the fair value hierarchy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September 30, 2022</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34,081</w:t>
            </w:r>
          </w:p>
        </w:tc>
        <w:tc>
          <w:tcPr>
            <w:tcW w:w="6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228,440</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97,359</w:t>
            </w:r>
          </w:p>
        </w:tc>
        <w:tc>
          <w:tcPr>
            <w:tcW w:w="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34,081</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325,799</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4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Financial assets: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111,221</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111,221</w:t>
            </w:r>
          </w:p>
        </w:tc>
        <w:tc>
          <w:tcPr>
            <w:tcW w:w="6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-839470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-822325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-839470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-822325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-839470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-822325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-170815</wp:posOffset>
            </wp:positionV>
            <wp:extent cx="7747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98" w:lineRule="exact"/>
        <w:rPr>
          <w:sz w:val="20"/>
          <w:szCs w:val="20"/>
          <w:color w:val="auto"/>
        </w:rPr>
      </w:pPr>
    </w:p>
    <w:p>
      <w:pPr>
        <w:ind w:left="520" w:right="340" w:firstLine="509"/>
        <w:spacing w:after="0" w:line="261" w:lineRule="auto"/>
        <w:rPr>
          <w:sz w:val="20"/>
          <w:szCs w:val="20"/>
          <w:color w:val="auto"/>
        </w:rPr>
      </w:pPr>
      <w:r>
        <w:rPr>
          <w:rFonts w:ascii="Arial" w:cs="Arial" w:eastAsia="Arial" w:hAnsi="Arial"/>
          <w:sz w:val="18"/>
          <w:szCs w:val="18"/>
          <w:color w:val="auto"/>
        </w:rPr>
        <w:t>The Company's money market funds are classified as Level 1 because they are measured using observable inputs from active markets for identical assets.</w:t>
      </w:r>
    </w:p>
    <w:p>
      <w:pPr>
        <w:spacing w:after="0" w:line="63" w:lineRule="exact"/>
        <w:rPr>
          <w:sz w:val="20"/>
          <w:szCs w:val="20"/>
          <w:color w:val="auto"/>
        </w:rPr>
      </w:pPr>
    </w:p>
    <w:p>
      <w:pPr>
        <w:ind w:left="520" w:right="60" w:firstLine="509"/>
        <w:spacing w:after="0" w:line="256" w:lineRule="auto"/>
        <w:rPr>
          <w:sz w:val="20"/>
          <w:szCs w:val="20"/>
          <w:color w:val="auto"/>
        </w:rPr>
      </w:pPr>
      <w:r>
        <w:rPr>
          <w:rFonts w:ascii="Arial" w:cs="Arial" w:eastAsia="Arial" w:hAnsi="Arial"/>
          <w:sz w:val="18"/>
          <w:szCs w:val="18"/>
          <w:color w:val="auto"/>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assets or liabilities classified as Level 3 as of September 30, 2022 and December 31, 2021.</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transfers between Level 1, Level 2 or Level 3 categories during the periods presented.</w:t>
      </w:r>
    </w:p>
    <w:p>
      <w:pPr>
        <w:spacing w:after="0" w:line="104" w:lineRule="exact"/>
        <w:rPr>
          <w:sz w:val="20"/>
          <w:szCs w:val="20"/>
          <w:color w:val="auto"/>
        </w:rPr>
      </w:pPr>
    </w:p>
    <w:p>
      <w:pPr>
        <w:ind w:left="520" w:right="180" w:firstLine="509"/>
        <w:spacing w:after="0" w:line="261" w:lineRule="auto"/>
        <w:rPr>
          <w:sz w:val="20"/>
          <w:szCs w:val="20"/>
          <w:color w:val="auto"/>
        </w:rPr>
      </w:pPr>
      <w:r>
        <w:rPr>
          <w:rFonts w:ascii="Arial" w:cs="Arial" w:eastAsia="Arial" w:hAnsi="Arial"/>
          <w:sz w:val="18"/>
          <w:szCs w:val="18"/>
          <w:color w:val="auto"/>
        </w:rPr>
        <w:t>The following tables summarize the estimated fair value of the Company's cash equivalents, available-for-sale securities classified as short-term investments, and associated unrealized gains and losses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Amortized Cost</w:t>
            </w:r>
          </w:p>
        </w:tc>
        <w:tc>
          <w:tcPr>
            <w:tcW w:w="200" w:type="dxa"/>
            <w:vAlign w:val="bottom"/>
          </w:tcPr>
          <w:p>
            <w:pPr>
              <w:spacing w:after="0"/>
              <w:rPr>
                <w:sz w:val="14"/>
                <w:szCs w:val="14"/>
                <w:color w:val="auto"/>
              </w:rPr>
            </w:pPr>
          </w:p>
        </w:tc>
        <w:tc>
          <w:tcPr>
            <w:tcW w:w="1440" w:type="dxa"/>
            <w:vAlign w:val="bottom"/>
          </w:tcPr>
          <w:p>
            <w:pPr>
              <w:jc w:val="right"/>
              <w:ind w:right="195"/>
              <w:spacing w:after="0"/>
              <w:rPr>
                <w:sz w:val="20"/>
                <w:szCs w:val="20"/>
                <w:color w:val="auto"/>
              </w:rPr>
            </w:pPr>
            <w:r>
              <w:rPr>
                <w:rFonts w:ascii="Arial" w:cs="Arial" w:eastAsia="Arial" w:hAnsi="Arial"/>
                <w:sz w:val="14"/>
                <w:szCs w:val="14"/>
                <w:b w:val="1"/>
                <w:bCs w:val="1"/>
                <w:color w:val="auto"/>
              </w:rPr>
              <w:t>Unrealized Gains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Unrealized Losses</w:t>
            </w:r>
          </w:p>
        </w:tc>
        <w:tc>
          <w:tcPr>
            <w:tcW w:w="100" w:type="dxa"/>
            <w:vAlign w:val="bottom"/>
          </w:tcPr>
          <w:p>
            <w:pPr>
              <w:spacing w:after="0"/>
              <w:rPr>
                <w:sz w:val="14"/>
                <w:szCs w:val="14"/>
                <w:color w:val="auto"/>
              </w:rPr>
            </w:pPr>
          </w:p>
        </w:tc>
        <w:tc>
          <w:tcPr>
            <w:tcW w:w="142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Estimated Fair Value</w:t>
            </w:r>
          </w:p>
        </w:tc>
        <w:tc>
          <w:tcPr>
            <w:tcW w:w="100" w:type="dxa"/>
            <w:vAlign w:val="bottom"/>
          </w:tcPr>
          <w:p>
            <w:pPr>
              <w:spacing w:after="0"/>
              <w:rPr>
                <w:sz w:val="14"/>
                <w:szCs w:val="14"/>
                <w:color w:val="auto"/>
              </w:rPr>
            </w:pPr>
          </w:p>
        </w:tc>
      </w:tr>
      <w:tr>
        <w:trPr>
          <w:trHeight w:val="210"/>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34,081</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34,081</w:t>
            </w:r>
          </w:p>
        </w:tc>
        <w:tc>
          <w:tcPr>
            <w:tcW w:w="10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72,322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Total cash equivalents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106,403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106,403</w:t>
            </w:r>
          </w:p>
        </w:tc>
        <w:tc>
          <w:tcPr>
            <w:tcW w:w="100" w:type="dxa"/>
            <w:vAlign w:val="bottom"/>
          </w:tcPr>
          <w:p>
            <w:pPr>
              <w:spacing w:after="0"/>
              <w:rPr>
                <w:sz w:val="18"/>
                <w:szCs w:val="18"/>
                <w:color w:val="auto"/>
              </w:rPr>
            </w:pPr>
          </w:p>
        </w:tc>
      </w:tr>
      <w:tr>
        <w:trPr>
          <w:trHeight w:val="210"/>
        </w:trPr>
        <w:tc>
          <w:tcPr>
            <w:tcW w:w="4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228,802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(363 )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228,440</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25,037</w:t>
            </w:r>
          </w:p>
        </w:tc>
        <w:tc>
          <w:tcPr>
            <w:tcW w:w="100" w:type="dxa"/>
            <w:vAlign w:val="bottom"/>
            <w:shd w:val="clear" w:color="auto" w:fill="CFF0FC"/>
          </w:tcPr>
          <w:p>
            <w:pPr>
              <w:spacing w:after="0"/>
              <w:rPr>
                <w:sz w:val="18"/>
                <w:szCs w:val="18"/>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253,869</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(393 )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253,477</w:t>
            </w:r>
          </w:p>
        </w:tc>
        <w:tc>
          <w:tcPr>
            <w:tcW w:w="10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-1207770</wp:posOffset>
            </wp:positionV>
            <wp:extent cx="76835" cy="291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-1207770</wp:posOffset>
            </wp:positionV>
            <wp:extent cx="76835" cy="291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-1207770</wp:posOffset>
            </wp:positionV>
            <wp:extent cx="68580" cy="291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-504825</wp:posOffset>
            </wp:positionV>
            <wp:extent cx="7683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-504825</wp:posOffset>
            </wp:positionV>
            <wp:extent cx="7683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-504825</wp:posOffset>
            </wp:positionV>
            <wp:extent cx="685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8"/>
              </w:rPr>
              <w:t>Amortized Cost</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Unrealized Gains</w:t>
            </w:r>
          </w:p>
        </w:tc>
        <w:tc>
          <w:tcPr>
            <w:tcW w:w="24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Estimated Fair Value</w:t>
            </w:r>
          </w:p>
        </w:tc>
        <w:tc>
          <w:tcPr>
            <w:tcW w:w="100" w:type="dxa"/>
            <w:vAlign w:val="bottom"/>
          </w:tcPr>
          <w:p>
            <w:pPr>
              <w:spacing w:after="0"/>
              <w:rPr>
                <w:sz w:val="14"/>
                <w:szCs w:val="14"/>
                <w:color w:val="auto"/>
              </w:rPr>
            </w:pPr>
          </w:p>
        </w:tc>
      </w:tr>
      <w:tr>
        <w:trPr>
          <w:trHeight w:val="21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111,221</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1199"/>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111,221</w:t>
            </w:r>
          </w:p>
        </w:tc>
        <w:tc>
          <w:tcPr>
            <w:tcW w:w="100" w:type="dxa"/>
            <w:vAlign w:val="bottom"/>
          </w:tcPr>
          <w:p>
            <w:pPr>
              <w:spacing w:after="0"/>
              <w:rPr>
                <w:sz w:val="18"/>
                <w:szCs w:val="18"/>
                <w:color w:val="auto"/>
              </w:rPr>
            </w:pPr>
          </w:p>
        </w:tc>
      </w:tr>
      <w:tr>
        <w:trPr>
          <w:trHeight w:val="249"/>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ind w:left="12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ind w:right="11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-25400</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left="520" w:right="700" w:firstLine="509"/>
        <w:spacing w:after="0" w:line="261" w:lineRule="auto"/>
        <w:rPr>
          <w:sz w:val="20"/>
          <w:szCs w:val="20"/>
          <w:color w:val="auto"/>
        </w:rPr>
      </w:pPr>
      <w:r>
        <w:rPr>
          <w:rFonts w:ascii="Arial" w:cs="Arial" w:eastAsia="Arial" w:hAnsi="Arial"/>
          <w:sz w:val="18"/>
          <w:szCs w:val="18"/>
          <w:color w:val="auto"/>
        </w:rPr>
        <w:t>The following table summarizes the maturities of our cash equivalents and available-for-sale securities as of September 30, 2022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Mature in one year or less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Amortized Cost</w:t>
            </w:r>
          </w:p>
        </w:tc>
        <w:tc>
          <w:tcPr>
            <w:tcW w:w="6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680" w:type="dxa"/>
            <w:vAlign w:val="bottom"/>
            <w:tcBorders>
              <w:bottom w:val="single" w:sz="8" w:color="auto"/>
            </w:tcBorders>
          </w:tcPr>
          <w:p>
            <w:pPr>
              <w:jc w:val="right"/>
              <w:ind w:right="14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360,272</w:t>
            </w:r>
          </w:p>
        </w:tc>
        <w:tc>
          <w:tcPr>
            <w:tcW w:w="3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FF0FC"/>
          </w:tcPr>
          <w:p>
            <w:pPr>
              <w:jc w:val="right"/>
              <w:ind w:right="14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360,272</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right="140" w:firstLine="509"/>
        <w:spacing w:after="0" w:line="261" w:lineRule="auto"/>
        <w:rPr>
          <w:sz w:val="20"/>
          <w:szCs w:val="20"/>
          <w:color w:val="auto"/>
        </w:rPr>
      </w:pPr>
      <w:r>
        <w:rPr>
          <w:rFonts w:ascii="Arial" w:cs="Arial" w:eastAsia="Arial" w:hAnsi="Arial"/>
          <w:sz w:val="18"/>
          <w:szCs w:val="18"/>
          <w:color w:val="auto"/>
        </w:rPr>
        <w:t>The following table presents the breakdown of the Company's available-for-sale securities with gross unrealized losses and the duration that those losses had been unrealized as September 30, 2022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September 30, 2022</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5"/>
          </w:tcPr>
          <w:p>
            <w:pPr>
              <w:jc w:val="right"/>
              <w:ind w:right="430"/>
              <w:spacing w:after="0" w:line="133" w:lineRule="exact"/>
              <w:rPr>
                <w:sz w:val="20"/>
                <w:szCs w:val="20"/>
                <w:color w:val="auto"/>
              </w:rPr>
            </w:pPr>
            <w:r>
              <w:rPr>
                <w:rFonts w:ascii="Arial" w:cs="Arial" w:eastAsia="Arial" w:hAnsi="Arial"/>
                <w:sz w:val="14"/>
                <w:szCs w:val="14"/>
                <w:b w:val="1"/>
                <w:bCs w:val="1"/>
                <w:color w:val="auto"/>
                <w:w w:val="93"/>
              </w:rPr>
              <w:t>Unrealized Losses Less Than 12</w:t>
            </w:r>
          </w:p>
        </w:tc>
        <w:tc>
          <w:tcPr>
            <w:tcW w:w="25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2"/>
              </w:rPr>
              <w:t>Unrealized Losses 12 Months or Greater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Months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20" w:type="dxa"/>
            <w:vAlign w:val="bottom"/>
            <w:vMerge w:val="restart"/>
          </w:tcPr>
          <w:p>
            <w:pPr>
              <w:ind w:left="20"/>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16"/>
                <w:szCs w:val="16"/>
                <w:color w:val="auto"/>
              </w:rPr>
            </w:pPr>
          </w:p>
        </w:tc>
        <w:tc>
          <w:tcPr>
            <w:tcW w:w="90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4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w w:val="91"/>
              </w:rPr>
              <w:t>Unrealized Losses</w:t>
            </w:r>
          </w:p>
        </w:tc>
        <w:tc>
          <w:tcPr>
            <w:tcW w:w="160" w:type="dxa"/>
            <w:vAlign w:val="bottom"/>
          </w:tcPr>
          <w:p>
            <w:pPr>
              <w:spacing w:after="0"/>
              <w:rPr>
                <w:sz w:val="16"/>
                <w:szCs w:val="16"/>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32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92"/>
              </w:rPr>
              <w:t>Unrealized Losses</w:t>
            </w:r>
          </w:p>
        </w:tc>
        <w:tc>
          <w:tcPr>
            <w:tcW w:w="0" w:type="dxa"/>
            <w:vAlign w:val="bottom"/>
          </w:tcPr>
          <w:p>
            <w:pPr>
              <w:spacing w:after="0"/>
              <w:rPr>
                <w:sz w:val="1"/>
                <w:szCs w:val="1"/>
                <w:color w:val="auto"/>
              </w:rPr>
            </w:pPr>
          </w:p>
        </w:tc>
      </w:tr>
      <w:tr>
        <w:trPr>
          <w:trHeight w:val="209"/>
        </w:trPr>
        <w:tc>
          <w:tcPr>
            <w:tcW w:w="32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218,452</w:t>
            </w:r>
          </w:p>
        </w:tc>
        <w:tc>
          <w:tcPr>
            <w:tcW w:w="760" w:type="dxa"/>
            <w:vAlign w:val="bottom"/>
            <w:gridSpan w:val="2"/>
            <w:shd w:val="clear" w:color="auto" w:fill="CFF0FC"/>
          </w:tcPr>
          <w:p>
            <w:pPr>
              <w:jc w:val="right"/>
              <w:ind w:right="33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(363 )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218,452</w:t>
            </w:r>
          </w:p>
        </w:tc>
        <w:tc>
          <w:tcPr>
            <w:tcW w:w="720" w:type="dxa"/>
            <w:vAlign w:val="bottom"/>
            <w:gridSpan w:val="2"/>
            <w:shd w:val="clear" w:color="auto" w:fill="CFF0FC"/>
          </w:tcPr>
          <w:p>
            <w:pPr>
              <w:jc w:val="right"/>
              <w:ind w:right="31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(363 )</w:t>
            </w: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25,037</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(30 )</w:t>
            </w:r>
          </w:p>
        </w:tc>
        <w:tc>
          <w:tcPr>
            <w:tcW w:w="16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25,037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9"/>
        </w:trPr>
        <w:tc>
          <w:tcPr>
            <w:tcW w:w="3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243,489</w:t>
            </w:r>
          </w:p>
        </w:tc>
        <w:tc>
          <w:tcPr>
            <w:tcW w:w="2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-25400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-25400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Company did not have available-for-sale securities with gross unrealized losses as of December 31, 2021.</w:t>
      </w:r>
    </w:p>
    <w:p>
      <w:pPr>
        <w:spacing w:after="0" w:line="104" w:lineRule="exact"/>
        <w:rPr>
          <w:sz w:val="20"/>
          <w:szCs w:val="20"/>
          <w:color w:val="auto"/>
        </w:rPr>
      </w:pPr>
    </w:p>
    <w:p>
      <w:pPr>
        <w:ind w:left="520" w:firstLine="509"/>
        <w:spacing w:after="0" w:line="280" w:lineRule="auto"/>
        <w:rPr>
          <w:sz w:val="20"/>
          <w:szCs w:val="20"/>
          <w:color w:val="auto"/>
        </w:rPr>
      </w:pPr>
      <w:r>
        <w:rPr>
          <w:rFonts w:ascii="Arial" w:cs="Arial" w:eastAsia="Arial" w:hAnsi="Arial"/>
          <w:sz w:val="16"/>
          <w:szCs w:val="16"/>
          <w:color w:val="auto"/>
        </w:rPr>
        <w:t>The Company regularly reviews the changes to the rating of its securities and monitors the surrounding economic conditions to assess the risk of expected credit losses. As of September 30, 2022 and December 31, 2021, there were no securities that were in an unrealized loss position for more than 12 months. As of September 30, 2022, the unrealized losses on the Company’s investments in U.S. treasury securities and U.S. government securities were caused by interest rate increases. The current credit ratings are all within the guidelines of the investment policy of the Company and the Company does not expect the issuers to settle any security at a price less than the amortized cost basis of the investment with the contractual cash flows of these investments guaranteed by the issuer. No allowance for credit losses has been recorded since it is not more likely than not that the Company will be required to sell the investments before recovery of their amortized cost basis.</w:t>
      </w:r>
    </w:p>
    <w:p>
      <w:pPr>
        <w:spacing w:after="0" w:line="26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Items</w:t>
      </w:r>
    </w:p>
    <w:p>
      <w:pPr>
        <w:spacing w:after="0" w:line="33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Prepaid Expenses and Other Current Assets</w:t>
      </w:r>
    </w:p>
    <w:p>
      <w:pPr>
        <w:spacing w:after="0" w:line="103"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Prepaid and other current assets consisted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80" w:type="dxa"/>
            <w:vAlign w:val="bottom"/>
            <w:shd w:val="clear" w:color="auto" w:fill="CFF0FC"/>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1,945</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prepaid expenses and other assets</w:t>
            </w:r>
          </w:p>
        </w:tc>
        <w:tc>
          <w:tcPr>
            <w:tcW w:w="20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80" w:type="dxa"/>
            <w:vAlign w:val="bottom"/>
            <w:tcBorders>
              <w:bottom w:val="single" w:sz="8" w:color="CFF0FC"/>
            </w:tcBorders>
            <w:shd w:val="clear" w:color="auto" w:fill="CFF0FC"/>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w w:val="96"/>
              </w:rPr>
              <w:t>Total prepaid expenses and other current assets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5,059</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0" w:type="dxa"/>
            <w:vAlign w:val="bottom"/>
            <w:vMerge w:val="restart"/>
          </w:tcPr>
          <w:p>
            <w:pPr>
              <w:jc w:val="right"/>
              <w:ind w:right="133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36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-513715</wp:posOffset>
            </wp:positionV>
            <wp:extent cx="5143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-513715</wp:posOffset>
            </wp:positionV>
            <wp:extent cx="5143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3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24"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4" w:lineRule="exact"/>
        <w:rPr>
          <w:sz w:val="20"/>
          <w:szCs w:val="20"/>
          <w:color w:val="auto"/>
        </w:rPr>
      </w:pPr>
    </w:p>
    <w:tbl>
      <w:tblPr>
        <w:tblLayout w:type="fixed"/>
        <w:tblInd w:w="1692"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(83 )</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5134610</wp:posOffset>
            </wp:positionH>
            <wp:positionV relativeFrom="paragraph">
              <wp:posOffset>-24765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-7620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-24765</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-7620</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Depreciation expense for each of the three and nine months ended September 30, 2022 and 2021 was immaterial.</w:t>
      </w:r>
    </w:p>
    <w:p>
      <w:pPr>
        <w:spacing w:after="0" w:line="320"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04"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4" w:lineRule="exact"/>
        <w:rPr>
          <w:sz w:val="20"/>
          <w:szCs w:val="20"/>
          <w:color w:val="auto"/>
        </w:rPr>
      </w:pPr>
    </w:p>
    <w:tbl>
      <w:tblPr>
        <w:tblLayout w:type="fixed"/>
        <w:tblInd w:w="1352"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4"/>
                <w:szCs w:val="14"/>
                <w:color w:val="auto"/>
              </w:rPr>
            </w:pPr>
          </w:p>
        </w:tc>
      </w:tr>
      <w:tr>
        <w:trPr>
          <w:trHeight w:val="185"/>
        </w:trPr>
        <w:tc>
          <w:tcPr>
            <w:tcW w:w="5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8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Accrued payroll related expenses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 expenses</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-25400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-25400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12" w:hanging="512"/>
        <w:spacing w:after="0"/>
        <w:tabs>
          <w:tab w:leader="none" w:pos="5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337"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04" w:lineRule="exact"/>
        <w:rPr>
          <w:sz w:val="20"/>
          <w:szCs w:val="20"/>
          <w:color w:val="auto"/>
        </w:rPr>
      </w:pPr>
    </w:p>
    <w:p>
      <w:pPr>
        <w:ind w:left="512" w:right="20" w:firstLine="509"/>
        <w:spacing w:after="0" w:line="259" w:lineRule="auto"/>
        <w:rPr>
          <w:sz w:val="20"/>
          <w:szCs w:val="20"/>
          <w:color w:val="auto"/>
        </w:rPr>
      </w:pPr>
      <w:r>
        <w:rPr>
          <w:rFonts w:ascii="Arial" w:cs="Arial" w:eastAsia="Arial" w:hAnsi="Arial"/>
          <w:sz w:val="17"/>
          <w:szCs w:val="17"/>
          <w:color w:val="auto"/>
        </w:rPr>
        <w:t>On February 10, 2021, DOT-2, the Company’s subsidiary, entered into a license agreement, or the MRKDG License Agreement, with Merck KGaA, Darmstadt, Germany, a pharmaceutical corporation located in Darmstadt, Germany. 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inventories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67" w:lineRule="exact"/>
        <w:rPr>
          <w:sz w:val="20"/>
          <w:szCs w:val="20"/>
          <w:color w:val="auto"/>
        </w:rPr>
      </w:pPr>
    </w:p>
    <w:p>
      <w:pPr>
        <w:ind w:left="512" w:right="80" w:firstLine="509"/>
        <w:spacing w:after="0" w:line="277" w:lineRule="auto"/>
        <w:rPr>
          <w:sz w:val="20"/>
          <w:szCs w:val="20"/>
          <w:color w:val="auto"/>
        </w:rPr>
      </w:pPr>
      <w:r>
        <w:rPr>
          <w:rFonts w:ascii="Arial" w:cs="Arial" w:eastAsia="Arial" w:hAnsi="Arial"/>
          <w:sz w:val="18"/>
          <w:szCs w:val="18"/>
          <w:color w:val="auto"/>
        </w:rPr>
        <w:t>Under the MRKDG License Agreement, the Company has obligations to use commercially reasonable efforts to develop and commercialize at least two licensed products in at least two specified major market countries by the year 2029.</w:t>
      </w:r>
    </w:p>
    <w:p>
      <w:pPr>
        <w:spacing w:after="0" w:line="49" w:lineRule="exact"/>
        <w:rPr>
          <w:sz w:val="20"/>
          <w:szCs w:val="20"/>
          <w:color w:val="auto"/>
        </w:rPr>
      </w:pPr>
    </w:p>
    <w:p>
      <w:pPr>
        <w:ind w:left="512" w:firstLine="509"/>
        <w:spacing w:after="0" w:line="259" w:lineRule="auto"/>
        <w:rPr>
          <w:sz w:val="20"/>
          <w:szCs w:val="20"/>
          <w:color w:val="auto"/>
        </w:rPr>
      </w:pPr>
      <w:r>
        <w:rPr>
          <w:rFonts w:ascii="Arial" w:cs="Arial" w:eastAsia="Arial" w:hAnsi="Arial"/>
          <w:sz w:val="17"/>
          <w:szCs w:val="17"/>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Additionally, the Company made a milestone payment of $2.5 million, which was recorded as research and development expenses due to the nature of the license agreement and the milestone event relating to the first dosing of a patient in a first clinical trial of a product containing pimasertib, in the nine months ended September 30, 2022. The Company may also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67" w:lineRule="exact"/>
        <w:rPr>
          <w:sz w:val="20"/>
          <w:szCs w:val="20"/>
          <w:color w:val="auto"/>
        </w:rPr>
      </w:pPr>
    </w:p>
    <w:p>
      <w:pPr>
        <w:ind w:left="512" w:right="140" w:firstLine="509"/>
        <w:spacing w:after="0" w:line="249" w:lineRule="auto"/>
        <w:rPr>
          <w:sz w:val="20"/>
          <w:szCs w:val="20"/>
          <w:color w:val="auto"/>
        </w:rPr>
      </w:pPr>
      <w:r>
        <w:rPr>
          <w:rFonts w:ascii="Arial" w:cs="Arial" w:eastAsia="Arial" w:hAnsi="Arial"/>
          <w:sz w:val="18"/>
          <w:szCs w:val="18"/>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86" w:lineRule="exact"/>
        <w:rPr>
          <w:sz w:val="20"/>
          <w:szCs w:val="20"/>
          <w:color w:val="auto"/>
        </w:rPr>
      </w:pPr>
    </w:p>
    <w:p>
      <w:pPr>
        <w:ind w:left="512" w:right="540" w:firstLine="509"/>
        <w:spacing w:after="0" w:line="244" w:lineRule="auto"/>
        <w:rPr>
          <w:sz w:val="20"/>
          <w:szCs w:val="20"/>
          <w:color w:val="auto"/>
        </w:rPr>
      </w:pPr>
      <w:r>
        <w:rPr>
          <w:rFonts w:ascii="Arial" w:cs="Arial" w:eastAsia="Arial" w:hAnsi="Arial"/>
          <w:sz w:val="18"/>
          <w:szCs w:val="18"/>
          <w:color w:val="auto"/>
        </w:rPr>
        <w:t>Effective December 31, 2021, DOT-2 was merged with and into the Company, with the Company being the surviving corporation and assuming DOT-2’s obligations under the MRKDG License Agreement.</w:t>
      </w:r>
    </w:p>
    <w:p>
      <w:pPr>
        <w:jc w:val="center"/>
        <w:ind w:right="-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21" w:right="379" w:bottom="1440" w:gutter="0" w:footer="0" w:header="0"/>
        </w:sectPr>
      </w:pPr>
    </w:p>
    <w:bookmarkStart w:id="15" w:name="page16"/>
    <w:bookmarkEnd w:id="15"/>
    <w:p>
      <w:pPr>
        <w:ind w:left="28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Assets Purchase Agreement</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On December 16, 2019, DOT-1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(DAY101)) that provides a new approach for treating patients with primary brain tumors or brain metastases of solid tumors. DOT-1 also received clinical inventories supplies to use in the Company’s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57"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the Company’s common stock upon the effectiveness of the Conversion, on May 26, 2021.</w:t>
      </w:r>
    </w:p>
    <w:p>
      <w:pPr>
        <w:spacing w:after="0" w:line="253"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the Company's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50"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Effective December 31, 2021, DOT-1 was merged with and into the Company, with the Company being the surviving corporation and assuming DOT-1’s obligations under the Takeda Assets Purchase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04" w:lineRule="exact"/>
        <w:rPr>
          <w:sz w:val="20"/>
          <w:szCs w:val="20"/>
          <w:color w:val="auto"/>
        </w:rPr>
      </w:pPr>
    </w:p>
    <w:p>
      <w:pPr>
        <w:ind w:right="240" w:firstLine="509"/>
        <w:spacing w:after="0" w:line="278" w:lineRule="auto"/>
        <w:rPr>
          <w:sz w:val="20"/>
          <w:szCs w:val="20"/>
          <w:color w:val="auto"/>
        </w:rPr>
      </w:pPr>
      <w:r>
        <w:rPr>
          <w:rFonts w:ascii="Arial" w:cs="Arial" w:eastAsia="Arial" w:hAnsi="Arial"/>
          <w:sz w:val="17"/>
          <w:szCs w:val="17"/>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5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DOT-1 paid $2.0 million upfront in cash to Viracta, which was recorded as research and development expenses in 2019. DOT-1 made a milestone payment of $3.0 million to Viracta in February 2021, which was recorded as research and development expense when the milestone was achieved in April 2021. DOT-1 is also required to make additional milestone payments of up to $54.0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September 30, 2022.</w:t>
      </w:r>
    </w:p>
    <w:p>
      <w:pPr>
        <w:spacing w:after="0" w:line="80" w:lineRule="exact"/>
        <w:rPr>
          <w:sz w:val="20"/>
          <w:szCs w:val="20"/>
          <w:color w:val="auto"/>
        </w:rPr>
      </w:pPr>
    </w:p>
    <w:p>
      <w:pPr>
        <w:ind w:right="360" w:firstLine="509"/>
        <w:spacing w:after="0" w:line="244" w:lineRule="auto"/>
        <w:rPr>
          <w:sz w:val="20"/>
          <w:szCs w:val="20"/>
          <w:color w:val="auto"/>
        </w:rPr>
      </w:pPr>
      <w:r>
        <w:rPr>
          <w:rFonts w:ascii="Arial" w:cs="Arial" w:eastAsia="Arial" w:hAnsi="Arial"/>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w:t>
      </w:r>
    </w:p>
    <w:p>
      <w:pPr>
        <w:jc w:val="center"/>
        <w:ind w:right="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43180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21" w:right="359" w:bottom="1440" w:gutter="0" w:footer="0" w:header="0"/>
        </w:sectPr>
      </w:pPr>
    </w:p>
    <w:bookmarkStart w:id="16" w:name="page17"/>
    <w:bookmarkEnd w:id="16"/>
    <w:p>
      <w:pPr>
        <w:jc w:val="center"/>
        <w:ind w:right="-1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8" w:lineRule="exact"/>
        <w:rPr>
          <w:sz w:val="20"/>
          <w:szCs w:val="20"/>
          <w:color w:val="auto"/>
        </w:rPr>
      </w:pPr>
    </w:p>
    <w:p>
      <w:pPr>
        <w:ind w:left="512" w:right="300"/>
        <w:spacing w:after="0" w:line="277" w:lineRule="auto"/>
        <w:rPr>
          <w:sz w:val="20"/>
          <w:szCs w:val="20"/>
          <w:color w:val="auto"/>
        </w:rPr>
      </w:pPr>
      <w:r>
        <w:rPr>
          <w:rFonts w:ascii="Arial" w:cs="Arial" w:eastAsia="Arial" w:hAnsi="Arial"/>
          <w:sz w:val="18"/>
          <w:szCs w:val="18"/>
          <w:color w:val="auto"/>
        </w:rPr>
        <w:t>DOT-1 has the right to terminate the Viracta License Agreement with respect to any or all of the licensed products at will upon a specified notice period.</w:t>
      </w:r>
    </w:p>
    <w:p>
      <w:pPr>
        <w:spacing w:after="0" w:line="49" w:lineRule="exact"/>
        <w:rPr>
          <w:sz w:val="20"/>
          <w:szCs w:val="20"/>
          <w:color w:val="auto"/>
        </w:rPr>
      </w:pPr>
    </w:p>
    <w:p>
      <w:pPr>
        <w:ind w:left="512" w:right="580" w:firstLine="509"/>
        <w:spacing w:after="0" w:line="261" w:lineRule="auto"/>
        <w:rPr>
          <w:sz w:val="20"/>
          <w:szCs w:val="20"/>
          <w:color w:val="auto"/>
        </w:rPr>
      </w:pPr>
      <w:r>
        <w:rPr>
          <w:rFonts w:ascii="Arial" w:cs="Arial" w:eastAsia="Arial" w:hAnsi="Arial"/>
          <w:sz w:val="18"/>
          <w:szCs w:val="18"/>
          <w:color w:val="auto"/>
        </w:rPr>
        <w:t>Effective December 31, 2021, DOT-1 was merged with and into the Company, with the Company being the surviving corporation and assuming DOT-1’s obligations under Viracta License Agreement.</w:t>
      </w:r>
    </w:p>
    <w:p>
      <w:pPr>
        <w:spacing w:after="0" w:line="288" w:lineRule="exact"/>
        <w:rPr>
          <w:sz w:val="20"/>
          <w:szCs w:val="20"/>
          <w:color w:val="auto"/>
        </w:rPr>
      </w:pPr>
    </w:p>
    <w:p>
      <w:pPr>
        <w:ind w:left="512" w:hanging="512"/>
        <w:spacing w:after="0"/>
        <w:tabs>
          <w:tab w:leader="none" w:pos="5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24"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left="512" w:right="20" w:firstLine="509"/>
        <w:spacing w:after="0" w:line="259" w:lineRule="auto"/>
        <w:rPr>
          <w:sz w:val="20"/>
          <w:szCs w:val="20"/>
          <w:color w:val="auto"/>
        </w:rPr>
      </w:pPr>
      <w:r>
        <w:rPr>
          <w:rFonts w:ascii="Arial" w:cs="Arial" w:eastAsia="Arial" w:hAnsi="Arial"/>
          <w:sz w:val="17"/>
          <w:szCs w:val="17"/>
          <w:color w:val="auto"/>
        </w:rPr>
        <w:t>The Company entered into a lease agreement for its corporate office facility in South San Francisco, California in March 2020, which expires in January 2023. Such agreement was determined to be a lease since the right to control the use of the identified asset was conveyed to the Company for a period of time in exchange for consideration. The Company can extend the lease term for additional three years at market rates upon the notice of extension. The Company is obligated to pay monthly rent expense and its pro rata share of utilities, common area maintenance expenses and property taxes. The landlord also provided an allowance of $10,000 for any tenant improvements. The Company concluded that it is an operating lease. Common area expenses are a non-lease component and a variable consideration and included in operating expenses as incurred. The extension period has not been included in the determination of the Right of Use, or ROU, asset or the lease liability for operating leases as the Company concluded that it is not reasonably certain that it would exercise this option.</w:t>
      </w:r>
    </w:p>
    <w:p>
      <w:pPr>
        <w:spacing w:after="0" w:line="81" w:lineRule="exact"/>
        <w:rPr>
          <w:sz w:val="20"/>
          <w:szCs w:val="20"/>
          <w:color w:val="auto"/>
        </w:rPr>
      </w:pPr>
    </w:p>
    <w:p>
      <w:pPr>
        <w:ind w:left="512" w:firstLine="509"/>
        <w:spacing w:after="0" w:line="258" w:lineRule="auto"/>
        <w:rPr>
          <w:sz w:val="20"/>
          <w:szCs w:val="20"/>
          <w:color w:val="auto"/>
        </w:rPr>
      </w:pPr>
      <w:r>
        <w:rPr>
          <w:rFonts w:ascii="Arial" w:cs="Arial" w:eastAsia="Arial" w:hAnsi="Arial"/>
          <w:sz w:val="17"/>
          <w:szCs w:val="17"/>
          <w:color w:val="auto"/>
        </w:rPr>
        <w:t>In April 2022, the Company entered into a lease agreement for approximately 12,000 square feet of general use office space in Brisbane, California. Such agreement was determined to be a lease since the right to control the use of the identified asset was conveyed to the Company for a period of time in exchange for consideration. The term of the lease is for 31 months and commenced in May 2022.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$1.1 million. Upon execution of the agreement, the Company paid a security deposit of approximately $40,000 classified as deposits and other long-term assets on the condensed consolidated balance sheet.</w:t>
      </w:r>
    </w:p>
    <w:p>
      <w:pPr>
        <w:spacing w:after="0" w:line="80" w:lineRule="exact"/>
        <w:rPr>
          <w:sz w:val="20"/>
          <w:szCs w:val="20"/>
          <w:color w:val="auto"/>
        </w:rPr>
      </w:pPr>
    </w:p>
    <w:p>
      <w:pPr>
        <w:ind w:left="512" w:right="40" w:firstLine="509"/>
        <w:spacing w:after="0" w:line="245" w:lineRule="auto"/>
        <w:rPr>
          <w:sz w:val="20"/>
          <w:szCs w:val="20"/>
          <w:color w:val="auto"/>
        </w:rPr>
      </w:pPr>
      <w:r>
        <w:rPr>
          <w:rFonts w:ascii="Arial" w:cs="Arial" w:eastAsia="Arial" w:hAnsi="Arial"/>
          <w:sz w:val="18"/>
          <w:szCs w:val="18"/>
          <w:color w:val="auto"/>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September 30, 2022, the weighted-average remaining lease term and weighted-average discount rate were 2.0 years and 8.9%, respectively.</w:t>
      </w:r>
    </w:p>
    <w:p>
      <w:pPr>
        <w:spacing w:after="0" w:line="78" w:lineRule="exact"/>
        <w:rPr>
          <w:sz w:val="20"/>
          <w:szCs w:val="20"/>
          <w:color w:val="auto"/>
        </w:rPr>
      </w:pPr>
    </w:p>
    <w:p>
      <w:pPr>
        <w:ind w:left="1012"/>
        <w:spacing w:after="0"/>
        <w:rPr>
          <w:sz w:val="20"/>
          <w:szCs w:val="20"/>
          <w:color w:val="auto"/>
        </w:rPr>
      </w:pPr>
      <w:r>
        <w:rPr>
          <w:rFonts w:ascii="Arial" w:cs="Arial" w:eastAsia="Arial" w:hAnsi="Arial"/>
          <w:sz w:val="16"/>
          <w:szCs w:val="16"/>
          <w:color w:val="auto"/>
        </w:rPr>
        <w:t>The Company’s leases do not require any contingent rental payments, impose financial restrictions, or contain any residual value guarantees.</w:t>
      </w:r>
    </w:p>
    <w:p>
      <w:pPr>
        <w:spacing w:after="0" w:line="127" w:lineRule="exact"/>
        <w:rPr>
          <w:sz w:val="20"/>
          <w:szCs w:val="20"/>
          <w:color w:val="auto"/>
        </w:rPr>
      </w:pPr>
    </w:p>
    <w:p>
      <w:pPr>
        <w:ind w:left="512" w:right="60" w:firstLine="509"/>
        <w:spacing w:after="0" w:line="249" w:lineRule="auto"/>
        <w:rPr>
          <w:sz w:val="20"/>
          <w:szCs w:val="20"/>
          <w:color w:val="auto"/>
        </w:rPr>
      </w:pPr>
      <w:r>
        <w:rPr>
          <w:rFonts w:ascii="Arial" w:cs="Arial" w:eastAsia="Arial" w:hAnsi="Arial"/>
          <w:sz w:val="18"/>
          <w:szCs w:val="18"/>
          <w:color w:val="auto"/>
        </w:rPr>
        <w:t>Lease expense of right-of-use assets is recognized on a straight-line basis over the applicable lease term. Lease expense was $0.1 million and $45,000 for the three months ended September 30, 2022 and 2021, respectively, and was $0.3 million and $0.1 million for the nine months ended September 30, 2022 and 2021, respectively. Cash paid for amounts included in the measurement of operating lease liabilities was $0.2 million for the nine months ended September 30, 2022 and 2021. Variable payments expensed during the three and nine months ended September 30, 2022 and 2021 were immaterial.</w:t>
      </w:r>
    </w:p>
    <w:p>
      <w:pPr>
        <w:spacing w:after="0" w:line="74"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As of September 30, 2022, the future lease obligations were as follows (in thousands):</w:t>
      </w:r>
    </w:p>
    <w:p>
      <w:pPr>
        <w:spacing w:after="0" w:line="200" w:lineRule="exact"/>
        <w:rPr>
          <w:sz w:val="20"/>
          <w:szCs w:val="20"/>
          <w:color w:val="auto"/>
        </w:rPr>
      </w:pPr>
    </w:p>
    <w:p>
      <w:pPr>
        <w:spacing w:after="0" w:line="282" w:lineRule="exact"/>
        <w:rPr>
          <w:sz w:val="20"/>
          <w:szCs w:val="20"/>
          <w:color w:val="auto"/>
        </w:rPr>
      </w:pPr>
    </w:p>
    <w:tbl>
      <w:tblPr>
        <w:tblLayout w:type="fixed"/>
        <w:tblInd w:w="2252" w:type="dxa"/>
        <w:tblCellMar>
          <w:top w:w="0" w:type="dxa"/>
          <w:left w:w="0" w:type="dxa"/>
          <w:bottom w:w="0" w:type="dxa"/>
          <w:right w:w="0" w:type="dxa"/>
        </w:tblCellMar>
      </w:tblP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Remaining in 2022</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8"/>
                <w:szCs w:val="18"/>
                <w:color w:val="auto"/>
              </w:rPr>
            </w:pPr>
          </w:p>
        </w:tc>
      </w:tr>
      <w:tr>
        <w:trPr>
          <w:trHeight w:val="216"/>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2024</w:t>
            </w: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1,065</w:t>
            </w:r>
          </w:p>
        </w:tc>
        <w:tc>
          <w:tcPr>
            <w:tcW w:w="6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FF0FC"/>
          </w:tcPr>
          <w:p>
            <w:pPr>
              <w:spacing w:after="0"/>
              <w:rPr>
                <w:sz w:val="18"/>
                <w:szCs w:val="18"/>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Present value of operating lease liabilities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6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-453390</wp:posOffset>
            </wp:positionV>
            <wp:extent cx="3429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145415"/>
                    </a:xfrm>
                    <a:prstGeom prst="rect">
                      <a:avLst/>
                    </a:prstGeom>
                    <a:noFill/>
                  </pic:spPr>
                </pic:pic>
              </a:graphicData>
            </a:graphic>
          </wp:anchor>
        </w:drawing>
      </w:r>
    </w:p>
    <w:p>
      <w:pPr>
        <w:spacing w:after="0" w:line="290"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104" w:lineRule="exact"/>
        <w:rPr>
          <w:sz w:val="20"/>
          <w:szCs w:val="20"/>
          <w:color w:val="auto"/>
        </w:rPr>
      </w:pPr>
    </w:p>
    <w:p>
      <w:pPr>
        <w:ind w:left="512" w:right="140" w:firstLine="509"/>
        <w:spacing w:after="0" w:line="246" w:lineRule="auto"/>
        <w:rPr>
          <w:sz w:val="20"/>
          <w:szCs w:val="20"/>
          <w:color w:val="auto"/>
        </w:rPr>
      </w:pPr>
      <w:r>
        <w:rPr>
          <w:rFonts w:ascii="Arial" w:cs="Arial" w:eastAsia="Arial" w:hAnsi="Arial"/>
          <w:sz w:val="18"/>
          <w:szCs w:val="18"/>
          <w:color w:val="auto"/>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with a</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8" w:lineRule="exact"/>
        <w:rPr>
          <w:sz w:val="20"/>
          <w:szCs w:val="20"/>
          <w:color w:val="auto"/>
        </w:rPr>
      </w:pPr>
    </w:p>
    <w:p>
      <w:pPr>
        <w:ind w:left="520" w:right="120"/>
        <w:spacing w:after="0" w:line="256" w:lineRule="auto"/>
        <w:rPr>
          <w:sz w:val="20"/>
          <w:szCs w:val="20"/>
          <w:color w:val="auto"/>
        </w:rPr>
      </w:pPr>
      <w:r>
        <w:rPr>
          <w:rFonts w:ascii="Arial" w:cs="Arial" w:eastAsia="Arial" w:hAnsi="Arial"/>
          <w:sz w:val="18"/>
          <w:szCs w:val="18"/>
          <w:color w:val="auto"/>
        </w:rPr>
        <w:t>potential termination fee if a purchase order is cancelled within a specified time, and another vendor where labor costs are non-cancellable after the approval of the project plan. As of September 30, 2022 and December 31, 2021, there were no amounts accrued related to termination and cancellation charges as these are not probable.</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left="520" w:right="60" w:firstLine="509"/>
        <w:spacing w:after="0" w:line="243" w:lineRule="auto"/>
        <w:rPr>
          <w:sz w:val="20"/>
          <w:szCs w:val="20"/>
          <w:color w:val="auto"/>
        </w:rPr>
      </w:pPr>
      <w:r>
        <w:rPr>
          <w:rFonts w:ascii="Arial" w:cs="Arial" w:eastAsia="Arial" w:hAnsi="Arial"/>
          <w:sz w:val="18"/>
          <w:szCs w:val="18"/>
          <w:color w:val="auto"/>
        </w:rPr>
        <w:t>The Company entered into the license agreements, as disclosed in Note 5, pursuant to which the Company is required to pay milestones contingent upon meeting of specific events. The first milestone related to the Viracta License Agreement was achieved and recorded to research and development expense during the year ended December 31, 2021. The second milestone related to the MRKDG License Agreement was achieved and recorded to research and development during the nine months ended September 30, 2022. The Company may be required to pay royalties on sales of products developed under these agreements. All products are in development as of September 30, 2022 and December 31, 2021, and no such royalties were due.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20" w:right="340" w:firstLine="509"/>
        <w:spacing w:after="0" w:line="291"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520" w:firstLine="509"/>
        <w:spacing w:after="0" w:line="243"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202" w:lineRule="exact"/>
        <w:rPr>
          <w:sz w:val="20"/>
          <w:szCs w:val="20"/>
          <w:color w:val="auto"/>
        </w:rPr>
      </w:pPr>
    </w:p>
    <w:p>
      <w:pPr>
        <w:jc w:val="both"/>
        <w:ind w:left="520" w:right="200" w:firstLine="509"/>
        <w:spacing w:after="0" w:line="278" w:lineRule="auto"/>
        <w:rPr>
          <w:sz w:val="20"/>
          <w:szCs w:val="20"/>
          <w:color w:val="auto"/>
        </w:rPr>
      </w:pPr>
      <w:r>
        <w:rPr>
          <w:rFonts w:ascii="Arial" w:cs="Arial" w:eastAsia="Arial" w:hAnsi="Arial"/>
          <w:sz w:val="17"/>
          <w:szCs w:val="17"/>
          <w:color w:val="auto"/>
        </w:rPr>
        <w:t>On June 1, 2021, the Company completed its IPO, selling an aggregate of 11,500,000 shares of common stock</w:t>
      </w:r>
      <w:r>
        <w:rPr>
          <w:rFonts w:ascii="Arial" w:cs="Arial" w:eastAsia="Arial" w:hAnsi="Arial"/>
          <w:sz w:val="17"/>
          <w:szCs w:val="17"/>
          <w:color w:val="0E0E0E"/>
        </w:rPr>
        <w:t>. All outstanding redeemable</w:t>
      </w:r>
      <w:r>
        <w:rPr>
          <w:rFonts w:ascii="Arial" w:cs="Arial" w:eastAsia="Arial" w:hAnsi="Arial"/>
          <w:sz w:val="17"/>
          <w:szCs w:val="17"/>
          <w:color w:val="auto"/>
        </w:rPr>
        <w:t xml:space="preserve"> </w:t>
      </w:r>
      <w:r>
        <w:rPr>
          <w:rFonts w:ascii="Arial" w:cs="Arial" w:eastAsia="Arial" w:hAnsi="Arial"/>
          <w:sz w:val="17"/>
          <w:szCs w:val="17"/>
          <w:color w:val="0E0E0E"/>
        </w:rPr>
        <w:t>convertible preferred shares were converted into 32,489,398 shares of common stock upon the completion of the IPO. As of September 30, 2022, the Company did not have any outstanding shares of redeemable convertible preferred shares.</w:t>
      </w:r>
    </w:p>
    <w:p>
      <w:pPr>
        <w:spacing w:after="0" w:line="144" w:lineRule="exact"/>
        <w:rPr>
          <w:sz w:val="20"/>
          <w:szCs w:val="20"/>
          <w:color w:val="auto"/>
        </w:rPr>
      </w:pPr>
    </w:p>
    <w:p>
      <w:pPr>
        <w:ind w:left="520" w:right="160" w:firstLine="509"/>
        <w:spacing w:after="0" w:line="277" w:lineRule="auto"/>
        <w:rPr>
          <w:sz w:val="20"/>
          <w:szCs w:val="20"/>
          <w:color w:val="auto"/>
        </w:rPr>
      </w:pPr>
      <w:r>
        <w:rPr>
          <w:rFonts w:ascii="Arial" w:cs="Arial" w:eastAsia="Arial" w:hAnsi="Arial"/>
          <w:sz w:val="18"/>
          <w:szCs w:val="18"/>
          <w:color w:val="auto"/>
        </w:rPr>
        <w:t>In February 2021, the Company issued 9,638,141 Series B redeemable convertible preferred shares at a price of $13.488 per share for gross cash proceeds of $130.0 million. The Company incurred issuance costs of $243,000.</w:t>
      </w:r>
    </w:p>
    <w:p>
      <w:pPr>
        <w:spacing w:after="0" w:line="261"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Pursuant to its certificate of incorporation, the Company is authorized to issue 500.0 million shares of common stock at a par value $0.0001.</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73,511,923 shares of common stock were issued and outstanding.</w:t>
      </w:r>
    </w:p>
    <w:p>
      <w:pPr>
        <w:spacing w:after="0" w:line="89" w:lineRule="exact"/>
        <w:rPr>
          <w:sz w:val="20"/>
          <w:szCs w:val="20"/>
          <w:color w:val="auto"/>
        </w:rPr>
      </w:pPr>
    </w:p>
    <w:p>
      <w:pPr>
        <w:ind w:left="520" w:firstLine="509"/>
        <w:spacing w:after="0" w:line="241" w:lineRule="auto"/>
        <w:rPr>
          <w:sz w:val="20"/>
          <w:szCs w:val="20"/>
          <w:color w:val="auto"/>
        </w:rPr>
      </w:pPr>
      <w:r>
        <w:rPr>
          <w:rFonts w:ascii="Arial" w:cs="Arial" w:eastAsia="Arial" w:hAnsi="Arial"/>
          <w:sz w:val="18"/>
          <w:szCs w:val="18"/>
          <w:color w:val="auto"/>
        </w:rPr>
        <w:t>In November 2018, the Company entered into common shares purchase agreements with two founders of the Company. The individuals purchased a total of 2,790,000 common shares for a total purchase price of $300. Shares vested monthly for two and four years, respectively. Vesting for a certain number of shares was accelerated upon the Company’s closing of its Series A redeemable convertible preferred share financing. The Company also has an option for a period of ninety days after the individual’s employment is terminated either voluntarily or involuntarily to repurchase the unvested common shares at a price that is the lower of the original price per share paid by the founder for such stock or the fair value as of the date of such repurchase. The founders’ shares were converted to common stock in the Conversion. As of September 30, 2022, all founders’ common stock were vested.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1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24"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ind w:left="512" w:firstLine="509"/>
        <w:spacing w:after="0" w:line="249" w:lineRule="auto"/>
        <w:rPr>
          <w:sz w:val="20"/>
          <w:szCs w:val="20"/>
          <w:color w:val="auto"/>
        </w:rPr>
      </w:pPr>
      <w:r>
        <w:rPr>
          <w:rFonts w:ascii="Arial" w:cs="Arial" w:eastAsia="Arial" w:hAnsi="Arial"/>
          <w:sz w:val="18"/>
          <w:szCs w:val="18"/>
          <w:color w:val="auto"/>
        </w:rPr>
        <w:t>In June 2022, the Company entered into an equity distribution agreement with Piper Sandler &amp; Co. and JonesTrading Institutional Services LLC, as sales agents, relating to the issuance and sale of shares of the Company’s common stock for an aggregate offering price of up to $150.0 million under an at-the-market offering program, or the 2022 ATM. During the nine months ended September 30, 2022, the Company did not make any sales under the 2022 ATM.</w:t>
      </w:r>
    </w:p>
    <w:p>
      <w:pPr>
        <w:spacing w:after="0" w:line="73"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June 2022 Follow-On Offering</w:t>
      </w:r>
    </w:p>
    <w:p>
      <w:pPr>
        <w:spacing w:after="0" w:line="320" w:lineRule="exact"/>
        <w:rPr>
          <w:sz w:val="20"/>
          <w:szCs w:val="20"/>
          <w:color w:val="auto"/>
        </w:rPr>
      </w:pPr>
    </w:p>
    <w:p>
      <w:pPr>
        <w:jc w:val="both"/>
        <w:ind w:left="512" w:right="40" w:firstLine="509"/>
        <w:spacing w:after="0" w:line="270" w:lineRule="auto"/>
        <w:rPr>
          <w:sz w:val="20"/>
          <w:szCs w:val="20"/>
          <w:color w:val="auto"/>
        </w:rPr>
      </w:pPr>
      <w:r>
        <w:rPr>
          <w:rFonts w:ascii="Arial" w:cs="Arial" w:eastAsia="Arial" w:hAnsi="Arial"/>
          <w:sz w:val="17"/>
          <w:szCs w:val="17"/>
          <w:color w:val="auto"/>
        </w:rPr>
        <w:t>In June 2022, the Company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200" w:lineRule="exact"/>
        <w:rPr>
          <w:sz w:val="20"/>
          <w:szCs w:val="20"/>
          <w:color w:val="auto"/>
        </w:rPr>
      </w:pPr>
    </w:p>
    <w:p>
      <w:pPr>
        <w:spacing w:after="0" w:line="274"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The Company has reserved shares of common stock for future issuances as follows:</w:t>
      </w:r>
    </w:p>
    <w:p>
      <w:pPr>
        <w:spacing w:after="0" w:line="204"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20" w:type="dxa"/>
            <w:vAlign w:val="bottom"/>
          </w:tcPr>
          <w:p>
            <w:pPr>
              <w:jc w:val="right"/>
              <w:ind w:right="495"/>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880" w:type="dxa"/>
            <w:vAlign w:val="bottom"/>
            <w:vMerge w:val="restart"/>
          </w:tcPr>
          <w:p>
            <w:pPr>
              <w:spacing w:after="0"/>
              <w:rPr>
                <w:sz w:val="20"/>
                <w:szCs w:val="20"/>
                <w:color w:val="auto"/>
              </w:rPr>
            </w:pPr>
            <w:r>
              <w:rPr>
                <w:rFonts w:ascii="Arial" w:cs="Arial" w:eastAsia="Arial" w:hAnsi="Arial"/>
                <w:sz w:val="18"/>
                <w:szCs w:val="18"/>
                <w:color w:val="auto"/>
              </w:rPr>
              <w:t>Common stock options issued and outstanding</w:t>
            </w:r>
          </w:p>
        </w:tc>
        <w:tc>
          <w:tcPr>
            <w:tcW w:w="20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7,447,808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Common stock available for future grants</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1,320,965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Common stock available for ESPP</w:t>
            </w:r>
          </w:p>
        </w:tc>
        <w:tc>
          <w:tcPr>
            <w:tcW w:w="2020" w:type="dxa"/>
            <w:vAlign w:val="bottom"/>
          </w:tcPr>
          <w:p>
            <w:pPr>
              <w:jc w:val="right"/>
              <w:spacing w:after="0"/>
              <w:rPr>
                <w:sz w:val="20"/>
                <w:szCs w:val="20"/>
                <w:color w:val="auto"/>
              </w:rPr>
            </w:pPr>
            <w:r>
              <w:rPr>
                <w:rFonts w:ascii="Arial" w:cs="Arial" w:eastAsia="Arial" w:hAnsi="Arial"/>
                <w:sz w:val="18"/>
                <w:szCs w:val="18"/>
                <w:color w:val="auto"/>
              </w:rPr>
              <w:t>1,149,998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 issued and outstanding</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435,570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10,354,341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-170815</wp:posOffset>
            </wp:positionV>
            <wp:extent cx="5143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12" w:hanging="512"/>
        <w:spacing w:after="0"/>
        <w:tabs>
          <w:tab w:leader="none" w:pos="5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512" w:right="80" w:firstLine="509"/>
        <w:spacing w:after="0" w:line="261" w:lineRule="auto"/>
        <w:rPr>
          <w:sz w:val="20"/>
          <w:szCs w:val="20"/>
          <w:color w:val="auto"/>
        </w:rPr>
      </w:pPr>
      <w:r>
        <w:rPr>
          <w:rFonts w:ascii="Arial" w:cs="Arial" w:eastAsia="Arial" w:hAnsi="Arial"/>
          <w:sz w:val="17"/>
          <w:szCs w:val="17"/>
          <w:color w:val="auto"/>
        </w:rPr>
        <w:t>Prior to the Conversion, Day One Holding LLC granted incentive shares under the Incentive Share Plan and was authorized to issue 8,924,177 incentive shares. Incentive shares were a separate non-voting class of shares that participated in distributions only after incentive shares vested, unless it was approved by the board of directors and included at least two of the preferred members, and a participation threshold was met. The incentive shares represented profits interests in Day One Holding LLC, which was an interest in the increase in the Company’s value over the participation threshold, as defined in its operating agreement and as determined at the time of grant. A holder of incentive shares had the right to participate in distributions of profits only in excess of the participation threshold. The participation threshold was based on the valuation of the Company’s common shares on or around the grant date.</w:t>
      </w:r>
    </w:p>
    <w:p>
      <w:pPr>
        <w:spacing w:after="0" w:line="64"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The fair value of the incentive shares was estimated using an option pricing model with the following assumptions:</w:t>
      </w:r>
    </w:p>
    <w:p>
      <w:pPr>
        <w:spacing w:after="0" w:line="257"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p>
      <w:pPr>
        <w:ind w:left="8492"/>
        <w:spacing w:after="0"/>
        <w:rPr>
          <w:sz w:val="20"/>
          <w:szCs w:val="20"/>
          <w:color w:val="auto"/>
        </w:rPr>
      </w:pPr>
      <w:r>
        <w:rPr>
          <w:rFonts w:ascii="Arial" w:cs="Arial" w:eastAsia="Arial" w:hAnsi="Arial"/>
          <w:sz w:val="14"/>
          <w:szCs w:val="14"/>
          <w:b w:val="1"/>
          <w:bCs w:val="1"/>
          <w:color w:val="auto"/>
        </w:rPr>
        <w:t>2021</w:t>
      </w:r>
    </w:p>
    <w:p>
      <w:pPr>
        <w:spacing w:after="0" w:line="13" w:lineRule="exact"/>
        <w:rPr>
          <w:sz w:val="20"/>
          <w:szCs w:val="20"/>
          <w:color w:val="auto"/>
        </w:rPr>
      </w:pPr>
    </w:p>
    <w:tbl>
      <w:tblPr>
        <w:tblLayout w:type="fixed"/>
        <w:tblInd w:w="1472" w:type="dxa"/>
        <w:tblCellMar>
          <w:top w:w="0" w:type="dxa"/>
          <w:left w:w="0" w:type="dxa"/>
          <w:bottom w:w="0" w:type="dxa"/>
          <w:right w:w="0" w:type="dxa"/>
        </w:tblCellMar>
      </w:tblP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Common share fair value</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20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$8.89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Participating threshold</w:t>
            </w:r>
          </w:p>
        </w:tc>
        <w:tc>
          <w:tcPr>
            <w:tcW w:w="1060" w:type="dxa"/>
            <w:vAlign w:val="bottom"/>
          </w:tcPr>
          <w:p>
            <w:pPr>
              <w:jc w:val="right"/>
              <w:spacing w:after="0"/>
              <w:rPr>
                <w:sz w:val="20"/>
                <w:szCs w:val="20"/>
                <w:color w:val="auto"/>
              </w:rPr>
            </w:pPr>
            <w:r>
              <w:rPr>
                <w:rFonts w:ascii="Arial" w:cs="Arial" w:eastAsia="Arial" w:hAnsi="Arial"/>
                <w:sz w:val="18"/>
                <w:szCs w:val="18"/>
                <w:color w:val="auto"/>
              </w:rPr>
              <w:t>$6.36</w:t>
            </w:r>
          </w:p>
        </w:tc>
        <w:tc>
          <w:tcPr>
            <w:tcW w:w="1200" w:type="dxa"/>
            <w:vAlign w:val="bottom"/>
          </w:tcPr>
          <w:p>
            <w:pPr>
              <w:ind w:left="40"/>
              <w:spacing w:after="0"/>
              <w:rPr>
                <w:sz w:val="20"/>
                <w:szCs w:val="20"/>
                <w:color w:val="auto"/>
              </w:rPr>
            </w:pPr>
            <w:r>
              <w:rPr>
                <w:rFonts w:ascii="Arial" w:cs="Arial" w:eastAsia="Arial" w:hAnsi="Arial"/>
                <w:sz w:val="18"/>
                <w:szCs w:val="18"/>
                <w:color w:val="auto"/>
              </w:rPr>
              <w:t>- $7.51</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Risk free rate</w:t>
            </w:r>
          </w:p>
        </w:tc>
        <w:tc>
          <w:tcPr>
            <w:tcW w:w="226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0.14%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Volatility</w:t>
            </w:r>
          </w:p>
        </w:tc>
        <w:tc>
          <w:tcPr>
            <w:tcW w:w="2260" w:type="dxa"/>
            <w:vAlign w:val="bottom"/>
            <w:gridSpan w:val="2"/>
          </w:tcPr>
          <w:p>
            <w:pPr>
              <w:jc w:val="right"/>
              <w:ind w:right="770"/>
              <w:spacing w:after="0"/>
              <w:rPr>
                <w:sz w:val="20"/>
                <w:szCs w:val="20"/>
                <w:color w:val="auto"/>
              </w:rPr>
            </w:pPr>
            <w:r>
              <w:rPr>
                <w:rFonts w:ascii="Arial" w:cs="Arial" w:eastAsia="Arial" w:hAnsi="Arial"/>
                <w:sz w:val="18"/>
                <w:szCs w:val="18"/>
                <w:color w:val="auto"/>
              </w:rPr>
              <w:t>72.90%</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Time to liquidity (in years)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- 1.80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Grant date fair value</w:t>
            </w:r>
          </w:p>
        </w:tc>
        <w:tc>
          <w:tcPr>
            <w:tcW w:w="1060" w:type="dxa"/>
            <w:vAlign w:val="bottom"/>
          </w:tcPr>
          <w:p>
            <w:pPr>
              <w:jc w:val="right"/>
              <w:spacing w:after="0"/>
              <w:rPr>
                <w:sz w:val="20"/>
                <w:szCs w:val="20"/>
                <w:color w:val="auto"/>
              </w:rPr>
            </w:pPr>
            <w:r>
              <w:rPr>
                <w:rFonts w:ascii="Arial" w:cs="Arial" w:eastAsia="Arial" w:hAnsi="Arial"/>
                <w:sz w:val="18"/>
                <w:szCs w:val="18"/>
                <w:color w:val="auto"/>
              </w:rPr>
              <w:t>$4.24</w:t>
            </w:r>
          </w:p>
        </w:tc>
        <w:tc>
          <w:tcPr>
            <w:tcW w:w="1200" w:type="dxa"/>
            <w:vAlign w:val="bottom"/>
          </w:tcPr>
          <w:p>
            <w:pPr>
              <w:ind w:left="40"/>
              <w:spacing w:after="0"/>
              <w:rPr>
                <w:sz w:val="20"/>
                <w:szCs w:val="20"/>
                <w:color w:val="auto"/>
              </w:rPr>
            </w:pPr>
            <w:r>
              <w:rPr>
                <w:rFonts w:ascii="Arial" w:cs="Arial" w:eastAsia="Arial" w:hAnsi="Arial"/>
                <w:sz w:val="18"/>
                <w:szCs w:val="18"/>
                <w:color w:val="auto"/>
              </w:rPr>
              <w:t>- $4.52</w:t>
            </w:r>
          </w:p>
        </w:tc>
      </w:tr>
    </w:tbl>
    <w:p>
      <w:pPr>
        <w:spacing w:after="0" w:line="282" w:lineRule="exact"/>
        <w:rPr>
          <w:sz w:val="20"/>
          <w:szCs w:val="20"/>
          <w:color w:val="auto"/>
        </w:rPr>
      </w:pPr>
    </w:p>
    <w:p>
      <w:pPr>
        <w:ind w:left="512" w:right="80" w:firstLine="509"/>
        <w:spacing w:after="0" w:line="261" w:lineRule="auto"/>
        <w:rPr>
          <w:sz w:val="20"/>
          <w:szCs w:val="20"/>
          <w:color w:val="auto"/>
        </w:rPr>
      </w:pPr>
      <w:r>
        <w:rPr>
          <w:rFonts w:ascii="Arial" w:cs="Arial" w:eastAsia="Arial" w:hAnsi="Arial"/>
          <w:sz w:val="18"/>
          <w:szCs w:val="18"/>
          <w:color w:val="auto"/>
        </w:rPr>
        <w:t>During the Conversion, the Company converted all incentive shares to vested and unvested shares of common stock. As such, there was no incentive shares activity for the nine months ended September 30, 2022.</w:t>
      </w:r>
    </w:p>
    <w:p>
      <w:pPr>
        <w:spacing w:after="0" w:line="63" w:lineRule="exact"/>
        <w:rPr>
          <w:sz w:val="20"/>
          <w:szCs w:val="20"/>
          <w:color w:val="auto"/>
        </w:rPr>
      </w:pPr>
    </w:p>
    <w:p>
      <w:pPr>
        <w:ind w:left="512" w:firstLine="509"/>
        <w:spacing w:after="0" w:line="246" w:lineRule="auto"/>
        <w:rPr>
          <w:sz w:val="20"/>
          <w:szCs w:val="20"/>
          <w:color w:val="auto"/>
        </w:rPr>
      </w:pPr>
      <w:r>
        <w:rPr>
          <w:rFonts w:ascii="Arial" w:cs="Arial" w:eastAsia="Arial" w:hAnsi="Arial"/>
          <w:sz w:val="18"/>
          <w:szCs w:val="18"/>
          <w:color w:val="auto"/>
        </w:rPr>
        <w:t>The Company used the option pricing model to estimate the fair value of each incentive shares award on the date of grant. The members’ equity value was based on a recent enterprise valuation analysis performed and common share fair value. The participation threshold amounts were determined by the board of directors at the time of grant. The expected life of the awards</w:t>
      </w:r>
    </w:p>
    <w:p>
      <w:pPr>
        <w:spacing w:after="0" w:line="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21"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8"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granted during the period was determined based on an expected time to the liquidation event. The Company applied the risk-free interest rate based on the U.S. Treasury yield in effect at the time of the grant.</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04" w:lineRule="exact"/>
        <w:rPr>
          <w:sz w:val="20"/>
          <w:szCs w:val="20"/>
          <w:color w:val="auto"/>
        </w:rPr>
      </w:pPr>
    </w:p>
    <w:p>
      <w:pPr>
        <w:ind w:left="520" w:right="120" w:firstLine="509"/>
        <w:spacing w:after="0" w:line="308" w:lineRule="auto"/>
        <w:rPr>
          <w:sz w:val="20"/>
          <w:szCs w:val="20"/>
          <w:color w:val="auto"/>
        </w:rPr>
      </w:pPr>
      <w:r>
        <w:rPr>
          <w:rFonts w:ascii="Arial" w:cs="Arial" w:eastAsia="Arial" w:hAnsi="Arial"/>
          <w:sz w:val="17"/>
          <w:szCs w:val="17"/>
          <w:color w:val="auto"/>
        </w:rPr>
        <w:t>Immediately prior to consummation of the IPO, all the outstanding incentive shares were converted into common stock. The following table provides a summary of the unvested common stock awards activity during the nine months ended September 30, 2022.</w:t>
      </w:r>
    </w:p>
    <w:p>
      <w:pPr>
        <w:spacing w:after="0" w:line="15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common stock as of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3,753,862</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(1,341,702 )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Forfeiture</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(171,458 )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Unvested common stock as of September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2,240,702</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82" w:lineRule="exact"/>
        <w:rPr>
          <w:sz w:val="20"/>
          <w:szCs w:val="20"/>
          <w:color w:val="auto"/>
        </w:rPr>
      </w:pPr>
    </w:p>
    <w:p>
      <w:pPr>
        <w:ind w:left="520" w:right="20" w:firstLine="509"/>
        <w:spacing w:after="0" w:line="274" w:lineRule="auto"/>
        <w:rPr>
          <w:sz w:val="20"/>
          <w:szCs w:val="20"/>
          <w:color w:val="auto"/>
        </w:rPr>
      </w:pPr>
      <w:r>
        <w:rPr>
          <w:rFonts w:ascii="Arial" w:cs="Arial" w:eastAsia="Arial" w:hAnsi="Arial"/>
          <w:sz w:val="16"/>
          <w:szCs w:val="16"/>
          <w:color w:val="auto"/>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stock-based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provides a summary of stock option activity under the 2021 Plan during the nine months ended September 30,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10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3"/>
                <w:szCs w:val="13"/>
                <w:color w:val="auto"/>
              </w:rPr>
            </w:pPr>
          </w:p>
        </w:tc>
        <w:tc>
          <w:tcPr>
            <w:tcW w:w="10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Intrinsic Value</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5,071,896</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1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2,868,380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(130,899 )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Forfeiture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(361,569 )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2022</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7,447,808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31,456</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Exercisable at September 30, 2022</w:t>
            </w:r>
          </w:p>
        </w:tc>
        <w:tc>
          <w:tcPr>
            <w:tcW w:w="1000" w:type="dxa"/>
            <w:vAlign w:val="bottom"/>
          </w:tcPr>
          <w:p>
            <w:pPr>
              <w:jc w:val="right"/>
              <w:spacing w:after="0"/>
              <w:rPr>
                <w:sz w:val="20"/>
                <w:szCs w:val="20"/>
                <w:color w:val="auto"/>
              </w:rPr>
            </w:pPr>
            <w:r>
              <w:rPr>
                <w:rFonts w:ascii="Arial" w:cs="Arial" w:eastAsia="Arial" w:hAnsi="Arial"/>
                <w:sz w:val="18"/>
                <w:szCs w:val="18"/>
                <w:color w:val="auto"/>
              </w:rPr>
              <w:t>1,927,895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7,637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-496570</wp:posOffset>
            </wp:positionV>
            <wp:extent cx="51435"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32" w:lineRule="exact"/>
        <w:rPr>
          <w:sz w:val="20"/>
          <w:szCs w:val="20"/>
          <w:color w:val="auto"/>
        </w:rPr>
      </w:pPr>
    </w:p>
    <w:p>
      <w:pPr>
        <w:ind w:left="520" w:right="20" w:firstLine="509"/>
        <w:spacing w:after="0" w:line="261" w:lineRule="auto"/>
        <w:rPr>
          <w:sz w:val="20"/>
          <w:szCs w:val="20"/>
          <w:color w:val="auto"/>
        </w:rPr>
      </w:pPr>
      <w:r>
        <w:rPr>
          <w:rFonts w:ascii="Arial" w:cs="Arial" w:eastAsia="Arial" w:hAnsi="Arial"/>
          <w:sz w:val="18"/>
          <w:szCs w:val="18"/>
          <w:color w:val="auto"/>
        </w:rPr>
        <w:t>Aggregate intrinsic value represents the difference between the estimated fair value of the underlying common stock and the exercise price of outstanding, in-the-money options.</w:t>
      </w:r>
    </w:p>
    <w:p>
      <w:pPr>
        <w:spacing w:after="0" w:line="279" w:lineRule="exact"/>
        <w:rPr>
          <w:sz w:val="20"/>
          <w:szCs w:val="20"/>
          <w:color w:val="auto"/>
        </w:rPr>
      </w:pPr>
    </w:p>
    <w:p>
      <w:pPr>
        <w:ind w:left="520" w:right="140" w:firstLine="509"/>
        <w:spacing w:after="0" w:line="261" w:lineRule="auto"/>
        <w:rPr>
          <w:sz w:val="20"/>
          <w:szCs w:val="20"/>
          <w:color w:val="auto"/>
        </w:rPr>
      </w:pPr>
      <w:r>
        <w:rPr>
          <w:rFonts w:ascii="Arial" w:cs="Arial" w:eastAsia="Arial" w:hAnsi="Arial"/>
          <w:sz w:val="18"/>
          <w:szCs w:val="18"/>
          <w:color w:val="auto"/>
        </w:rPr>
        <w:t>The total fair value of options that vested during the nine months ended September 30, 2022 was $15.6 million. The weighted-average grant date fair value of options granted during the nine months ended September 30, 2022 was $9.02 per share.</w:t>
      </w:r>
    </w:p>
    <w:p>
      <w:pPr>
        <w:spacing w:after="0" w:line="63" w:lineRule="exact"/>
        <w:rPr>
          <w:sz w:val="20"/>
          <w:szCs w:val="20"/>
          <w:color w:val="auto"/>
        </w:rPr>
      </w:pPr>
    </w:p>
    <w:p>
      <w:pPr>
        <w:ind w:left="520" w:right="260" w:firstLine="509"/>
        <w:spacing w:after="0" w:line="277" w:lineRule="auto"/>
        <w:rPr>
          <w:sz w:val="20"/>
          <w:szCs w:val="20"/>
          <w:color w:val="auto"/>
        </w:rPr>
      </w:pPr>
      <w:r>
        <w:rPr>
          <w:rFonts w:ascii="Arial" w:cs="Arial" w:eastAsia="Arial" w:hAnsi="Arial"/>
          <w:sz w:val="18"/>
          <w:szCs w:val="18"/>
          <w:color w:val="auto"/>
        </w:rPr>
        <w:t>Unamortized stock-based compensation for stock options as of September 30, 2022 was $50.1 million, which is expected to be recognized over a weighted-average period of 2.9 years.</w:t>
      </w:r>
    </w:p>
    <w:p>
      <w:pPr>
        <w:spacing w:after="0" w:line="200" w:lineRule="exact"/>
        <w:rPr>
          <w:sz w:val="20"/>
          <w:szCs w:val="20"/>
          <w:color w:val="auto"/>
        </w:rPr>
      </w:pPr>
    </w:p>
    <w:p>
      <w:pPr>
        <w:spacing w:after="0" w:line="362" w:lineRule="exact"/>
        <w:rPr>
          <w:sz w:val="20"/>
          <w:szCs w:val="20"/>
          <w:color w:val="auto"/>
        </w:rPr>
      </w:pPr>
    </w:p>
    <w:p>
      <w:pPr>
        <w:ind w:left="520" w:right="380" w:firstLine="509"/>
        <w:spacing w:after="0" w:line="277" w:lineRule="auto"/>
        <w:rPr>
          <w:sz w:val="20"/>
          <w:szCs w:val="20"/>
          <w:color w:val="auto"/>
        </w:rPr>
      </w:pPr>
      <w:r>
        <w:rPr>
          <w:rFonts w:ascii="Arial" w:cs="Arial" w:eastAsia="Arial" w:hAnsi="Arial"/>
          <w:sz w:val="18"/>
          <w:szCs w:val="18"/>
          <w:color w:val="auto"/>
        </w:rPr>
        <w:t>The Company used the Black-Scholes option pricing model to estimate the fair value of stock options awards granted with the following assumptions: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center"/>
              <w:ind w:right="51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r>
      <w:tr>
        <w:trPr>
          <w:trHeight w:val="186"/>
        </w:trPr>
        <w:tc>
          <w:tcPr>
            <w:tcW w:w="11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jc w:val="center"/>
              <w:ind w:right="53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54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384"/>
              <w:spacing w:after="0"/>
              <w:rPr>
                <w:sz w:val="20"/>
                <w:szCs w:val="20"/>
                <w:color w:val="auto"/>
              </w:rPr>
            </w:pPr>
            <w:r>
              <w:rPr>
                <w:rFonts w:ascii="Arial" w:cs="Arial" w:eastAsia="Arial" w:hAnsi="Arial"/>
                <w:sz w:val="14"/>
                <w:szCs w:val="14"/>
                <w:b w:val="1"/>
                <w:bCs w:val="1"/>
                <w:color w:val="auto"/>
                <w:w w:val="96"/>
              </w:rPr>
              <w:t>2022</w:t>
            </w:r>
          </w:p>
        </w:tc>
        <w:tc>
          <w:tcPr>
            <w:tcW w:w="1560" w:type="dxa"/>
            <w:vAlign w:val="bottom"/>
            <w:gridSpan w:val="5"/>
          </w:tcPr>
          <w:p>
            <w:pPr>
              <w:jc w:val="center"/>
              <w:ind w:left="5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8"/>
                <w:szCs w:val="18"/>
                <w:color w:val="auto"/>
              </w:rPr>
            </w:pPr>
          </w:p>
        </w:tc>
      </w:tr>
      <w:tr>
        <w:trPr>
          <w:trHeight w:val="209"/>
        </w:trPr>
        <w:tc>
          <w:tcPr>
            <w:tcW w:w="48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5.27 - 6.33</w:t>
            </w:r>
          </w:p>
        </w:tc>
        <w:tc>
          <w:tcPr>
            <w:tcW w:w="120" w:type="dxa"/>
            <w:vAlign w:val="bottom"/>
            <w:shd w:val="clear" w:color="auto" w:fill="CFF0FC"/>
          </w:tcPr>
          <w:p>
            <w:pPr>
              <w:spacing w:after="0"/>
              <w:rPr>
                <w:sz w:val="18"/>
                <w:szCs w:val="18"/>
                <w:color w:val="auto"/>
              </w:rPr>
            </w:pPr>
          </w:p>
        </w:tc>
        <w:tc>
          <w:tcPr>
            <w:tcW w:w="142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0"/>
              </w:rPr>
              <w:t>5.77 - 6.08</w:t>
            </w:r>
          </w:p>
        </w:tc>
        <w:tc>
          <w:tcPr>
            <w:tcW w:w="260" w:type="dxa"/>
            <w:vAlign w:val="bottom"/>
            <w:shd w:val="clear" w:color="auto" w:fill="CFF0FC"/>
          </w:tcPr>
          <w:p>
            <w:pPr>
              <w:spacing w:after="0"/>
              <w:rPr>
                <w:sz w:val="18"/>
                <w:szCs w:val="18"/>
                <w:color w:val="auto"/>
              </w:rPr>
            </w:pPr>
          </w:p>
        </w:tc>
        <w:tc>
          <w:tcPr>
            <w:tcW w:w="1420" w:type="dxa"/>
            <w:vAlign w:val="bottom"/>
            <w:tcBorders>
              <w:top w:val="single" w:sz="8" w:color="auto"/>
            </w:tcBorders>
            <w:gridSpan w:val="4"/>
            <w:shd w:val="clear" w:color="auto" w:fill="CFF0FC"/>
          </w:tcPr>
          <w:p>
            <w:pPr>
              <w:jc w:val="center"/>
              <w:spacing w:after="0"/>
              <w:rPr>
                <w:sz w:val="20"/>
                <w:szCs w:val="20"/>
                <w:color w:val="auto"/>
              </w:rPr>
            </w:pPr>
            <w:r>
              <w:rPr>
                <w:rFonts w:ascii="Arial" w:cs="Arial" w:eastAsia="Arial" w:hAnsi="Arial"/>
                <w:sz w:val="18"/>
                <w:szCs w:val="18"/>
                <w:color w:val="auto"/>
                <w:w w:val="90"/>
              </w:rPr>
              <w:t>5.27 - 6.33</w:t>
            </w: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0"/>
              </w:rPr>
              <w:t>5.28 - 6.08</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68.96% - 70.71%</w:t>
            </w:r>
          </w:p>
        </w:tc>
        <w:tc>
          <w:tcPr>
            <w:tcW w:w="1540" w:type="dxa"/>
            <w:vAlign w:val="bottom"/>
            <w:gridSpan w:val="3"/>
          </w:tcPr>
          <w:p>
            <w:pPr>
              <w:jc w:val="center"/>
              <w:ind w:left="36"/>
              <w:spacing w:after="0"/>
              <w:rPr>
                <w:sz w:val="20"/>
                <w:szCs w:val="20"/>
                <w:color w:val="auto"/>
              </w:rPr>
            </w:pPr>
            <w:r>
              <w:rPr>
                <w:rFonts w:ascii="Arial" w:cs="Arial" w:eastAsia="Arial" w:hAnsi="Arial"/>
                <w:sz w:val="18"/>
                <w:szCs w:val="18"/>
                <w:color w:val="auto"/>
                <w:w w:val="91"/>
              </w:rPr>
              <w:t>64.88% - 65.38%</w:t>
            </w:r>
          </w:p>
        </w:tc>
        <w:tc>
          <w:tcPr>
            <w:tcW w:w="1680" w:type="dxa"/>
            <w:vAlign w:val="bottom"/>
            <w:gridSpan w:val="5"/>
          </w:tcPr>
          <w:p>
            <w:pPr>
              <w:jc w:val="center"/>
              <w:ind w:left="210"/>
              <w:spacing w:after="0"/>
              <w:rPr>
                <w:sz w:val="20"/>
                <w:szCs w:val="20"/>
                <w:color w:val="auto"/>
              </w:rPr>
            </w:pPr>
            <w:r>
              <w:rPr>
                <w:rFonts w:ascii="Arial" w:cs="Arial" w:eastAsia="Arial" w:hAnsi="Arial"/>
                <w:sz w:val="18"/>
                <w:szCs w:val="18"/>
                <w:color w:val="auto"/>
                <w:w w:val="91"/>
              </w:rPr>
              <w:t>65.20% - 70.71%</w:t>
            </w:r>
          </w:p>
        </w:tc>
        <w:tc>
          <w:tcPr>
            <w:tcW w:w="1560" w:type="dxa"/>
            <w:vAlign w:val="bottom"/>
            <w:gridSpan w:val="5"/>
          </w:tcPr>
          <w:p>
            <w:pPr>
              <w:jc w:val="center"/>
              <w:ind w:left="52"/>
              <w:spacing w:after="0"/>
              <w:rPr>
                <w:sz w:val="20"/>
                <w:szCs w:val="20"/>
                <w:color w:val="auto"/>
              </w:rPr>
            </w:pPr>
            <w:r>
              <w:rPr>
                <w:rFonts w:ascii="Arial" w:cs="Arial" w:eastAsia="Arial" w:hAnsi="Arial"/>
                <w:sz w:val="18"/>
                <w:szCs w:val="18"/>
                <w:color w:val="auto"/>
                <w:w w:val="91"/>
              </w:rPr>
              <w:t>64.88% - 66.51%</w:t>
            </w:r>
          </w:p>
        </w:tc>
        <w:tc>
          <w:tcPr>
            <w:tcW w:w="100" w:type="dxa"/>
            <w:vAlign w:val="bottom"/>
          </w:tcPr>
          <w:p>
            <w:pPr>
              <w:spacing w:after="0"/>
              <w:rPr>
                <w:sz w:val="18"/>
                <w:szCs w:val="18"/>
                <w:color w:val="auto"/>
              </w:rPr>
            </w:pPr>
          </w:p>
        </w:tc>
      </w:tr>
      <w:tr>
        <w:trPr>
          <w:trHeight w:val="216"/>
        </w:trPr>
        <w:tc>
          <w:tcPr>
            <w:tcW w:w="48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2.65% - 4.09%</w:t>
            </w:r>
          </w:p>
        </w:tc>
        <w:tc>
          <w:tcPr>
            <w:tcW w:w="1540" w:type="dxa"/>
            <w:vAlign w:val="bottom"/>
            <w:gridSpan w:val="3"/>
            <w:shd w:val="clear" w:color="auto" w:fill="CFF0FC"/>
          </w:tcPr>
          <w:p>
            <w:pPr>
              <w:jc w:val="center"/>
              <w:ind w:left="36"/>
              <w:spacing w:after="0"/>
              <w:rPr>
                <w:sz w:val="20"/>
                <w:szCs w:val="20"/>
                <w:color w:val="auto"/>
              </w:rPr>
            </w:pPr>
            <w:r>
              <w:rPr>
                <w:rFonts w:ascii="Arial" w:cs="Arial" w:eastAsia="Arial" w:hAnsi="Arial"/>
                <w:sz w:val="18"/>
                <w:szCs w:val="18"/>
                <w:color w:val="auto"/>
                <w:w w:val="89"/>
              </w:rPr>
              <w:t>0.82% - 0.99%</w:t>
            </w:r>
          </w:p>
        </w:tc>
        <w:tc>
          <w:tcPr>
            <w:tcW w:w="1680" w:type="dxa"/>
            <w:vAlign w:val="bottom"/>
            <w:gridSpan w:val="5"/>
            <w:shd w:val="clear" w:color="auto" w:fill="CFF0FC"/>
          </w:tcPr>
          <w:p>
            <w:pPr>
              <w:jc w:val="center"/>
              <w:ind w:left="230"/>
              <w:spacing w:after="0"/>
              <w:rPr>
                <w:sz w:val="20"/>
                <w:szCs w:val="20"/>
                <w:color w:val="auto"/>
              </w:rPr>
            </w:pPr>
            <w:r>
              <w:rPr>
                <w:rFonts w:ascii="Arial" w:cs="Arial" w:eastAsia="Arial" w:hAnsi="Arial"/>
                <w:sz w:val="18"/>
                <w:szCs w:val="18"/>
                <w:color w:val="auto"/>
                <w:w w:val="91"/>
              </w:rPr>
              <w:t>1.47% - 4.09%</w:t>
            </w:r>
          </w:p>
        </w:tc>
        <w:tc>
          <w:tcPr>
            <w:tcW w:w="1560" w:type="dxa"/>
            <w:vAlign w:val="bottom"/>
            <w:gridSpan w:val="5"/>
            <w:shd w:val="clear" w:color="auto" w:fill="CFF0FC"/>
          </w:tcPr>
          <w:p>
            <w:pPr>
              <w:jc w:val="center"/>
              <w:ind w:left="52"/>
              <w:spacing w:after="0"/>
              <w:rPr>
                <w:sz w:val="20"/>
                <w:szCs w:val="20"/>
                <w:color w:val="auto"/>
              </w:rPr>
            </w:pPr>
            <w:r>
              <w:rPr>
                <w:rFonts w:ascii="Arial" w:cs="Arial" w:eastAsia="Arial" w:hAnsi="Arial"/>
                <w:sz w:val="18"/>
                <w:szCs w:val="18"/>
                <w:color w:val="auto"/>
                <w:w w:val="89"/>
              </w:rPr>
              <w:t>0.82% - 1.00%</w:t>
            </w:r>
          </w:p>
        </w:tc>
        <w:tc>
          <w:tcPr>
            <w:tcW w:w="100" w:type="dxa"/>
            <w:vAlign w:val="bottom"/>
            <w:shd w:val="clear" w:color="auto" w:fill="CFF0FC"/>
          </w:tcPr>
          <w:p>
            <w:pPr>
              <w:spacing w:after="0"/>
              <w:rPr>
                <w:sz w:val="18"/>
                <w:szCs w:val="18"/>
                <w:color w:val="auto"/>
              </w:rPr>
            </w:pPr>
          </w:p>
        </w:tc>
      </w:tr>
      <w:tr>
        <w:trPr>
          <w:trHeight w:val="23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484"/>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95"/>
        </w:trPr>
        <w:tc>
          <w:tcPr>
            <w:tcW w:w="11140" w:type="dxa"/>
            <w:vAlign w:val="bottom"/>
            <w:gridSpan w:val="16"/>
          </w:tcPr>
          <w:p>
            <w:pPr>
              <w:ind w:left="1020"/>
              <w:spacing w:after="0"/>
              <w:rPr>
                <w:sz w:val="20"/>
                <w:szCs w:val="20"/>
                <w:color w:val="auto"/>
              </w:rPr>
            </w:pPr>
            <w:r>
              <w:rPr>
                <w:rFonts w:ascii="Arial" w:cs="Arial" w:eastAsia="Arial" w:hAnsi="Arial"/>
                <w:sz w:val="18"/>
                <w:szCs w:val="18"/>
                <w:color w:val="auto"/>
                <w:w w:val="91"/>
              </w:rPr>
              <w:t>The following table provides a summary of restricted stock units activity under the 2021 Plan during the nine months ended September 30,</w:t>
            </w:r>
          </w:p>
        </w:tc>
        <w:tc>
          <w:tcPr>
            <w:tcW w:w="100" w:type="dxa"/>
            <w:vAlign w:val="bottom"/>
          </w:tcPr>
          <w:p>
            <w:pPr>
              <w:spacing w:after="0"/>
              <w:rPr>
                <w:sz w:val="24"/>
                <w:szCs w:val="24"/>
                <w:color w:val="auto"/>
              </w:rPr>
            </w:pPr>
          </w:p>
        </w:tc>
      </w:tr>
      <w:tr>
        <w:trPr>
          <w:trHeight w:val="230"/>
        </w:trPr>
        <w:tc>
          <w:tcPr>
            <w:tcW w:w="1140" w:type="dxa"/>
            <w:vAlign w:val="bottom"/>
          </w:tcPr>
          <w:p>
            <w:pPr>
              <w:ind w:left="520"/>
              <w:spacing w:after="0"/>
              <w:rPr>
                <w:sz w:val="20"/>
                <w:szCs w:val="20"/>
                <w:color w:val="auto"/>
              </w:rPr>
            </w:pPr>
            <w:r>
              <w:rPr>
                <w:rFonts w:ascii="Arial" w:cs="Arial" w:eastAsia="Arial" w:hAnsi="Arial"/>
                <w:sz w:val="18"/>
                <w:szCs w:val="18"/>
                <w:color w:val="auto"/>
              </w:rPr>
              <w:t>2022:</w:t>
            </w:r>
          </w:p>
        </w:tc>
        <w:tc>
          <w:tcPr>
            <w:tcW w:w="3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2"/>
        </w:trPr>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ind w:right="101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24"/>
                <w:szCs w:val="24"/>
                <w:color w:val="auto"/>
              </w:rPr>
            </w:pPr>
          </w:p>
        </w:tc>
      </w:tr>
      <w:tr>
        <w:trPr>
          <w:trHeight w:val="148"/>
        </w:trPr>
        <w:tc>
          <w:tcPr>
            <w:tcW w:w="11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6"/>
          </w:tcPr>
          <w:p>
            <w:pPr>
              <w:jc w:val="center"/>
              <w:ind w:right="105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00" w:type="dxa"/>
            <w:vAlign w:val="bottom"/>
          </w:tcPr>
          <w:p>
            <w:pPr>
              <w:spacing w:after="0"/>
              <w:rPr>
                <w:sz w:val="12"/>
                <w:szCs w:val="12"/>
                <w:color w:val="auto"/>
              </w:rPr>
            </w:pPr>
          </w:p>
        </w:tc>
      </w:tr>
      <w:tr>
        <w:trPr>
          <w:trHeight w:val="158"/>
        </w:trPr>
        <w:tc>
          <w:tcPr>
            <w:tcW w:w="11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gridSpan w:val="4"/>
          </w:tcPr>
          <w:p>
            <w:pPr>
              <w:jc w:val="right"/>
              <w:ind w:right="440"/>
              <w:spacing w:after="0" w:line="158"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820" w:type="dxa"/>
            <w:vAlign w:val="bottom"/>
          </w:tcPr>
          <w:p>
            <w:pPr>
              <w:jc w:val="center"/>
              <w:ind w:left="364"/>
              <w:spacing w:after="0" w:line="158" w:lineRule="exact"/>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11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380" w:type="dxa"/>
            <w:vAlign w:val="bottom"/>
            <w:gridSpan w:val="6"/>
          </w:tcPr>
          <w:p>
            <w:pPr>
              <w:jc w:val="center"/>
              <w:ind w:right="1030"/>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restricted stock units at December 31, 2021</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96,890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4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3"/>
              </w:rPr>
              <w:t>22.93</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417,995</w:t>
            </w:r>
          </w:p>
        </w:tc>
        <w:tc>
          <w:tcPr>
            <w:tcW w:w="140" w:type="dxa"/>
            <w:vAlign w:val="bottom"/>
          </w:tcPr>
          <w:p>
            <w:pPr>
              <w:spacing w:after="0"/>
              <w:rPr>
                <w:sz w:val="18"/>
                <w:szCs w:val="18"/>
                <w:color w:val="auto"/>
              </w:rPr>
            </w:pPr>
          </w:p>
        </w:tc>
        <w:tc>
          <w:tcPr>
            <w:tcW w:w="920" w:type="dxa"/>
            <w:vAlign w:val="bottom"/>
            <w:gridSpan w:val="2"/>
          </w:tcPr>
          <w:p>
            <w:pPr>
              <w:jc w:val="right"/>
              <w:ind w:right="644"/>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14.57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1"/>
              </w:rPr>
              <w:t>(51,030 )</w:t>
            </w:r>
          </w:p>
        </w:tc>
        <w:tc>
          <w:tcPr>
            <w:tcW w:w="920" w:type="dxa"/>
            <w:vAlign w:val="bottom"/>
            <w:gridSpan w:val="2"/>
            <w:shd w:val="clear" w:color="auto" w:fill="CFF0FC"/>
          </w:tcPr>
          <w:p>
            <w:pPr>
              <w:jc w:val="right"/>
              <w:ind w:right="644"/>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3"/>
              </w:rPr>
              <w:t>15.23</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Forfeiture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(28,285 )</w:t>
            </w:r>
          </w:p>
        </w:tc>
        <w:tc>
          <w:tcPr>
            <w:tcW w:w="920" w:type="dxa"/>
            <w:vAlign w:val="bottom"/>
            <w:gridSpan w:val="2"/>
          </w:tcPr>
          <w:p>
            <w:pPr>
              <w:jc w:val="right"/>
              <w:ind w:right="644"/>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14.11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5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restricted stock units at September 30, 2022</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435,570</w:t>
            </w: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gridSpan w:val="2"/>
            <w:shd w:val="clear" w:color="auto" w:fill="CFF0FC"/>
          </w:tcPr>
          <w:p>
            <w:pPr>
              <w:jc w:val="right"/>
              <w:ind w:right="64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w w:val="93"/>
              </w:rPr>
              <w:t>16.38</w:t>
            </w:r>
          </w:p>
        </w:tc>
        <w:tc>
          <w:tcPr>
            <w:tcW w:w="80" w:type="dxa"/>
            <w:vAlign w:val="bottom"/>
            <w:tcBorders>
              <w:bottom w:val="single" w:sz="8" w:color="CFF0FC"/>
            </w:tcBorders>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wp:posOffset>
            </wp:positionV>
            <wp:extent cx="596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20" w:right="640" w:firstLine="509"/>
        <w:spacing w:after="0" w:line="261" w:lineRule="auto"/>
        <w:rPr>
          <w:sz w:val="20"/>
          <w:szCs w:val="20"/>
          <w:color w:val="auto"/>
        </w:rPr>
      </w:pPr>
      <w:r>
        <w:rPr>
          <w:rFonts w:ascii="Arial" w:cs="Arial" w:eastAsia="Arial" w:hAnsi="Arial"/>
          <w:sz w:val="18"/>
          <w:szCs w:val="18"/>
          <w:color w:val="auto"/>
        </w:rPr>
        <w:t>Unamortized stock-based compensation for restricted stock units as of September 30, 2022 was $6.4 million, which is expected to be recognized over a weighted-average period of 3.4 years.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ind w:left="520" w:right="80" w:firstLine="509"/>
        <w:spacing w:after="0" w:line="277" w:lineRule="auto"/>
        <w:rPr>
          <w:sz w:val="20"/>
          <w:szCs w:val="20"/>
          <w:color w:val="auto"/>
        </w:rPr>
      </w:pPr>
      <w:r>
        <w:rPr>
          <w:rFonts w:ascii="Arial" w:cs="Arial" w:eastAsia="Arial" w:hAnsi="Arial"/>
          <w:sz w:val="16"/>
          <w:szCs w:val="16"/>
          <w:color w:val="auto"/>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72,524 shares have been issued under the ESPP as of September 30, 2022. The Company recognized approximately $17,000 and approximately $93,000 compensation expense related to the ESPP plan for the three and nine months ending September 30, 2022.</w:t>
      </w:r>
    </w:p>
    <w:p>
      <w:pPr>
        <w:spacing w:after="0" w:line="56" w:lineRule="exact"/>
        <w:rPr>
          <w:sz w:val="20"/>
          <w:szCs w:val="20"/>
          <w:color w:val="auto"/>
        </w:rPr>
      </w:pPr>
    </w:p>
    <w:p>
      <w:pPr>
        <w:ind w:left="520" w:firstLine="554"/>
        <w:spacing w:after="0" w:line="261" w:lineRule="auto"/>
        <w:rPr>
          <w:sz w:val="20"/>
          <w:szCs w:val="20"/>
          <w:color w:val="auto"/>
        </w:rPr>
      </w:pPr>
      <w:r>
        <w:rPr>
          <w:rFonts w:ascii="Arial" w:cs="Arial" w:eastAsia="Arial" w:hAnsi="Arial"/>
          <w:sz w:val="18"/>
          <w:szCs w:val="18"/>
          <w:color w:val="auto"/>
        </w:rPr>
        <w:t>The fair value of our common stock to be issued under the ESPP is estimated at the date of grant using a Black-Scholes option-pricing model with the following assumptions: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180" w:type="dxa"/>
            <w:vAlign w:val="bottom"/>
            <w:gridSpan w:val="3"/>
          </w:tcPr>
          <w:p>
            <w:pPr>
              <w:jc w:val="center"/>
              <w:ind w:left="758"/>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3"/>
          </w:tcPr>
          <w:p>
            <w:pPr>
              <w:jc w:val="center"/>
              <w:ind w:left="759"/>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180" w:type="dxa"/>
            <w:vAlign w:val="bottom"/>
            <w:gridSpan w:val="3"/>
          </w:tcPr>
          <w:p>
            <w:pPr>
              <w:jc w:val="center"/>
              <w:ind w:left="778"/>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center"/>
              <w:ind w:left="779"/>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00" w:type="dxa"/>
            <w:vAlign w:val="bottom"/>
            <w:vMerge w:val="restart"/>
          </w:tcPr>
          <w:p>
            <w:pPr>
              <w:ind w:left="20"/>
              <w:spacing w:after="0"/>
              <w:rPr>
                <w:sz w:val="20"/>
                <w:szCs w:val="20"/>
                <w:color w:val="auto"/>
              </w:rPr>
            </w:pPr>
            <w:r>
              <w:rPr>
                <w:rFonts w:ascii="Arial" w:cs="Arial" w:eastAsia="Arial" w:hAnsi="Arial"/>
                <w:sz w:val="18"/>
                <w:szCs w:val="18"/>
                <w:color w:val="auto"/>
              </w:rPr>
              <w:t>Expected term (in years)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b w:val="1"/>
                <w:bCs w:val="1"/>
                <w:color w:val="auto"/>
                <w:w w:val="83"/>
              </w:rPr>
              <w:t>2021</w:t>
            </w:r>
          </w:p>
        </w:tc>
        <w:tc>
          <w:tcPr>
            <w:tcW w:w="380" w:type="dxa"/>
            <w:vAlign w:val="bottom"/>
          </w:tcPr>
          <w:p>
            <w:pPr>
              <w:spacing w:after="0"/>
              <w:rPr>
                <w:sz w:val="18"/>
                <w:szCs w:val="18"/>
                <w:color w:val="auto"/>
              </w:rPr>
            </w:pPr>
          </w:p>
        </w:tc>
        <w:tc>
          <w:tcPr>
            <w:tcW w:w="172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0.50</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0.50</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58.49%</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center"/>
              <w:ind w:left="176"/>
              <w:spacing w:after="0"/>
              <w:rPr>
                <w:sz w:val="20"/>
                <w:szCs w:val="20"/>
                <w:color w:val="auto"/>
              </w:rPr>
            </w:pPr>
            <w:r>
              <w:rPr>
                <w:rFonts w:ascii="Arial" w:cs="Arial" w:eastAsia="Arial" w:hAnsi="Arial"/>
                <w:sz w:val="18"/>
                <w:szCs w:val="18"/>
                <w:color w:val="auto"/>
                <w:w w:val="88"/>
              </w:rPr>
              <w:t>58.49%</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1.54%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center"/>
              <w:ind w:left="176"/>
              <w:spacing w:after="0"/>
              <w:rPr>
                <w:sz w:val="20"/>
                <w:szCs w:val="20"/>
                <w:color w:val="auto"/>
              </w:rPr>
            </w:pPr>
            <w:r>
              <w:rPr>
                <w:rFonts w:ascii="Arial" w:cs="Arial" w:eastAsia="Arial" w:hAnsi="Arial"/>
                <w:sz w:val="18"/>
                <w:szCs w:val="18"/>
                <w:color w:val="auto"/>
                <w:w w:val="90"/>
              </w:rPr>
              <w:t>1.54%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180" w:type="dxa"/>
            <w:vAlign w:val="bottom"/>
            <w:gridSpan w:val="3"/>
            <w:shd w:val="clear" w:color="auto" w:fill="CFF0FC"/>
          </w:tcPr>
          <w:p>
            <w:pPr>
              <w:jc w:val="center"/>
              <w:ind w:right="6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2100" w:type="dxa"/>
            <w:vAlign w:val="bottom"/>
            <w:gridSpan w:val="3"/>
            <w:shd w:val="clear" w:color="auto" w:fill="CFF0FC"/>
          </w:tcPr>
          <w:p>
            <w:pPr>
              <w:jc w:val="center"/>
              <w:ind w:right="6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17" w:lineRule="exact"/>
        <w:rPr>
          <w:sz w:val="20"/>
          <w:szCs w:val="20"/>
          <w:color w:val="auto"/>
        </w:rPr>
      </w:pPr>
    </w:p>
    <w:p>
      <w:pPr>
        <w:ind w:left="520" w:right="120" w:firstLine="509"/>
        <w:spacing w:after="0" w:line="277" w:lineRule="auto"/>
        <w:rPr>
          <w:sz w:val="20"/>
          <w:szCs w:val="20"/>
          <w:color w:val="auto"/>
        </w:rPr>
      </w:pPr>
      <w:r>
        <w:rPr>
          <w:rFonts w:ascii="Arial" w:cs="Arial" w:eastAsia="Arial" w:hAnsi="Arial"/>
          <w:sz w:val="16"/>
          <w:szCs w:val="16"/>
          <w:color w:val="auto"/>
        </w:rPr>
        <w:t>In June 2022, the Company granted performance awards, consisting of performance stock options, or PSOs, and performance stock units, or PSUs, to non-executive employees pursuant to the 2021 Equity Incentive Plan. Each performance award is earned through the achievement of a performance-based metric over a defined performance period determined by the compensation committee of the Company's board of directors. The estimated fair value of the equity awards that contain performance conditions is expensed over the term of the award once the Company has determined that it is probable that the performance conditions will be satisfied. During the nine months ended September 30, 2022, the Company granted 152,550 PSOs with a weighted-average grant date fair value of $7.78 per share and 99,250 PSUs with a weighted-average grant date fair value of $15.25 per share. The total fair values of PSOs and PSUs granted were $1.2 million and $1.5 million, respectively. As of September 30, 2022, no PSOs or PSUs had vested since the achievement of the performance-based metrics of the performance awards was not deemed probable.</w:t>
      </w:r>
    </w:p>
    <w:p>
      <w:pPr>
        <w:spacing w:after="0" w:line="56" w:lineRule="exact"/>
        <w:rPr>
          <w:sz w:val="20"/>
          <w:szCs w:val="20"/>
          <w:color w:val="auto"/>
        </w:rPr>
      </w:pPr>
    </w:p>
    <w:p>
      <w:pPr>
        <w:ind w:left="520" w:right="740" w:firstLine="509"/>
        <w:spacing w:after="0" w:line="261" w:lineRule="auto"/>
        <w:rPr>
          <w:sz w:val="20"/>
          <w:szCs w:val="20"/>
          <w:color w:val="auto"/>
        </w:rPr>
      </w:pPr>
      <w:r>
        <w:rPr>
          <w:rFonts w:ascii="Arial" w:cs="Arial" w:eastAsia="Arial" w:hAnsi="Arial"/>
          <w:sz w:val="18"/>
          <w:szCs w:val="18"/>
          <w:color w:val="auto"/>
        </w:rPr>
        <w:t>The Company used the Black-Scholes option pricing model to estimate the fair value of the PSO awards granted with the following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40" w:type="dxa"/>
            <w:vAlign w:val="bottom"/>
            <w:gridSpan w:val="3"/>
          </w:tcPr>
          <w:p>
            <w:pPr>
              <w:jc w:val="center"/>
              <w:ind w:left="239"/>
              <w:spacing w:after="0"/>
              <w:rPr>
                <w:sz w:val="20"/>
                <w:szCs w:val="20"/>
                <w:color w:val="auto"/>
              </w:rPr>
            </w:pPr>
            <w:r>
              <w:rPr>
                <w:rFonts w:ascii="Arial" w:cs="Arial" w:eastAsia="Arial" w:hAnsi="Arial"/>
                <w:sz w:val="14"/>
                <w:szCs w:val="14"/>
                <w:b w:val="1"/>
                <w:bCs w:val="1"/>
                <w:color w:val="auto"/>
                <w:w w:val="93"/>
              </w:rPr>
              <w:t>Nine Months Ended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6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4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6900" w:type="dxa"/>
            <w:vAlign w:val="bottom"/>
          </w:tcPr>
          <w:p>
            <w:pPr>
              <w:spacing w:after="0"/>
              <w:rPr>
                <w:sz w:val="19"/>
                <w:szCs w:val="19"/>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0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- 3.42</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20" w:type="dxa"/>
            <w:vAlign w:val="bottom"/>
            <w:shd w:val="clear" w:color="auto" w:fill="CFF0FC"/>
          </w:tcPr>
          <w:p>
            <w:pPr>
              <w:ind w:left="1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72.72%</w:t>
            </w:r>
          </w:p>
        </w:tc>
        <w:tc>
          <w:tcPr>
            <w:tcW w:w="1100" w:type="dxa"/>
            <w:vAlign w:val="bottom"/>
          </w:tcPr>
          <w:p>
            <w:pPr>
              <w:ind w:left="20"/>
              <w:spacing w:after="0"/>
              <w:rPr>
                <w:sz w:val="20"/>
                <w:szCs w:val="20"/>
                <w:color w:val="auto"/>
              </w:rPr>
            </w:pPr>
            <w:r>
              <w:rPr>
                <w:rFonts w:ascii="Arial" w:cs="Arial" w:eastAsia="Arial" w:hAnsi="Arial"/>
                <w:sz w:val="18"/>
                <w:szCs w:val="18"/>
                <w:color w:val="auto"/>
              </w:rPr>
              <w:t>- 72.98%</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0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3.37%</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20" w:type="dxa"/>
            <w:vAlign w:val="bottom"/>
            <w:shd w:val="clear" w:color="auto" w:fill="CFF0FC"/>
          </w:tcPr>
          <w:p>
            <w:pPr>
              <w:ind w:left="1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920" w:type="dxa"/>
            <w:vAlign w:val="bottom"/>
            <w:gridSpan w:val="4"/>
          </w:tcPr>
          <w:p>
            <w:pPr>
              <w:jc w:val="center"/>
              <w:ind w:right="86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left="520" w:right="280" w:firstLine="509"/>
        <w:spacing w:after="0" w:line="277" w:lineRule="auto"/>
        <w:rPr>
          <w:sz w:val="20"/>
          <w:szCs w:val="20"/>
          <w:color w:val="auto"/>
        </w:rPr>
      </w:pPr>
      <w:r>
        <w:rPr>
          <w:rFonts w:ascii="Arial" w:cs="Arial" w:eastAsia="Arial" w:hAnsi="Arial"/>
          <w:sz w:val="18"/>
          <w:szCs w:val="18"/>
          <w:color w:val="auto"/>
        </w:rPr>
        <w:t>Share/stock-based compensation expense recorded in the accompanying condensed consolidated statements of operations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12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8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2,020</w:t>
            </w:r>
          </w:p>
        </w:tc>
        <w:tc>
          <w:tcPr>
            <w:tcW w:w="26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1,489</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6,242</w:t>
            </w: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6,556</w:t>
            </w:r>
          </w:p>
        </w:tc>
        <w:tc>
          <w:tcPr>
            <w:tcW w:w="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3,660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18"/>
                <w:szCs w:val="18"/>
                <w:color w:val="auto"/>
              </w:rPr>
            </w:pPr>
          </w:p>
        </w:tc>
      </w:tr>
      <w:tr>
        <w:trPr>
          <w:trHeight w:val="250"/>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share-based compensation expense</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8,576</w:t>
            </w:r>
          </w:p>
        </w:tc>
        <w:tc>
          <w:tcPr>
            <w:tcW w:w="2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5,149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20,409</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ind w:left="520" w:right="400" w:firstLine="509"/>
        <w:spacing w:after="0" w:line="248" w:lineRule="auto"/>
        <w:rPr>
          <w:sz w:val="20"/>
          <w:szCs w:val="20"/>
          <w:color w:val="auto"/>
        </w:rPr>
      </w:pPr>
      <w:r>
        <w:rPr>
          <w:rFonts w:ascii="Arial" w:cs="Arial" w:eastAsia="Arial" w:hAnsi="Arial"/>
          <w:sz w:val="18"/>
          <w:szCs w:val="18"/>
          <w:color w:val="auto"/>
        </w:rPr>
        <w:t>As of September 30, 2022, there was $65.7 million of unrecognized compensation cost related to unvested restricted stock, unvested restricted stock units, unvested stock options, and shares subject to purchase under the ESPP that is expected to be recognized over a weighted-average period of approximately 2.6 years.</w:t>
      </w:r>
    </w:p>
    <w:p>
      <w:pPr>
        <w:spacing w:after="0" w:line="87" w:lineRule="exact"/>
        <w:rPr>
          <w:sz w:val="20"/>
          <w:szCs w:val="20"/>
          <w:color w:val="auto"/>
        </w:rPr>
      </w:pPr>
    </w:p>
    <w:p>
      <w:pPr>
        <w:ind w:left="520" w:firstLine="509"/>
        <w:spacing w:after="0" w:line="274" w:lineRule="auto"/>
        <w:rPr>
          <w:sz w:val="20"/>
          <w:szCs w:val="20"/>
          <w:color w:val="auto"/>
        </w:rPr>
      </w:pPr>
      <w:r>
        <w:rPr>
          <w:rFonts w:ascii="Arial" w:cs="Arial" w:eastAsia="Arial" w:hAnsi="Arial"/>
          <w:sz w:val="16"/>
          <w:szCs w:val="16"/>
          <w:color w:val="auto"/>
        </w:rPr>
        <w:t>As of September 30, 2022, there was $2.7 million of unrecognized compensation cost related to unvested PSOs and PSUs. The Company will recognize the PSO and PSU expense through the expected vesting dates when the achievement of the performance-based metrics is probable.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3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20" w:lineRule="exact"/>
        <w:rPr>
          <w:sz w:val="20"/>
          <w:szCs w:val="20"/>
          <w:color w:val="auto"/>
        </w:rPr>
      </w:pPr>
    </w:p>
    <w:p>
      <w:pPr>
        <w:ind w:left="512" w:hanging="512"/>
        <w:spacing w:after="0"/>
        <w:tabs>
          <w:tab w:leader="none" w:pos="51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512" w:right="540" w:firstLine="509"/>
        <w:spacing w:after="0" w:line="261" w:lineRule="auto"/>
        <w:rPr>
          <w:sz w:val="20"/>
          <w:szCs w:val="20"/>
          <w:color w:val="auto"/>
        </w:rPr>
      </w:pPr>
      <w:r>
        <w:rPr>
          <w:rFonts w:ascii="Arial" w:cs="Arial" w:eastAsia="Arial" w:hAnsi="Arial"/>
          <w:sz w:val="18"/>
          <w:szCs w:val="18"/>
          <w:color w:val="auto"/>
        </w:rPr>
        <w:t>Basic and diluted net loss per share attributable to common shareholders/stockholders after the Conversion is calculated as follows (in thousands except share and per share amounts):</w:t>
      </w:r>
    </w:p>
    <w:p>
      <w:pPr>
        <w:spacing w:after="0" w:line="173"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2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222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5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(37,795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(102,072</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5180" w:type="dxa"/>
            <w:vAlign w:val="bottom"/>
          </w:tcPr>
          <w:p>
            <w:pPr>
              <w:spacing w:after="0" w:line="175" w:lineRule="exact"/>
              <w:rPr>
                <w:sz w:val="20"/>
                <w:szCs w:val="20"/>
                <w:color w:val="auto"/>
              </w:rPr>
            </w:pPr>
            <w:r>
              <w:rPr>
                <w:rFonts w:ascii="Arial" w:cs="Arial" w:eastAsia="Arial" w:hAnsi="Arial"/>
                <w:sz w:val="18"/>
                <w:szCs w:val="18"/>
                <w:color w:val="auto"/>
              </w:rPr>
              <w:t>Net loss attributable to redeemable convertible noncontrolling</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(2,109 )</w:t>
            </w:r>
          </w:p>
        </w:tc>
        <w:tc>
          <w:tcPr>
            <w:tcW w:w="0" w:type="dxa"/>
            <w:vAlign w:val="bottom"/>
          </w:tcPr>
          <w:p>
            <w:pPr>
              <w:spacing w:after="0"/>
              <w:rPr>
                <w:sz w:val="1"/>
                <w:szCs w:val="1"/>
                <w:color w:val="auto"/>
              </w:rPr>
            </w:pPr>
          </w:p>
        </w:tc>
      </w:tr>
      <w:tr>
        <w:trPr>
          <w:trHeight w:val="175"/>
        </w:trPr>
        <w:tc>
          <w:tcPr>
            <w:tcW w:w="518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w w:val="98"/>
              </w:rPr>
              <w:t>Exchange of redeemable noncontrolling interest shares – deemed</w:t>
            </w:r>
          </w:p>
        </w:tc>
        <w:tc>
          <w:tcPr>
            <w:tcW w:w="16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(99,994 )</w:t>
            </w:r>
          </w:p>
        </w:tc>
        <w:tc>
          <w:tcPr>
            <w:tcW w:w="0" w:type="dxa"/>
            <w:vAlign w:val="bottom"/>
          </w:tcPr>
          <w:p>
            <w:pPr>
              <w:spacing w:after="0"/>
              <w:rPr>
                <w:sz w:val="1"/>
                <w:szCs w:val="1"/>
                <w:color w:val="auto"/>
              </w:rPr>
            </w:pPr>
          </w:p>
        </w:tc>
      </w:tr>
      <w:tr>
        <w:trPr>
          <w:trHeight w:val="217"/>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dividend</w:t>
            </w:r>
          </w:p>
        </w:tc>
        <w:tc>
          <w:tcPr>
            <w:tcW w:w="16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Net loss attributable to common stockholders/members</w:t>
            </w:r>
          </w:p>
        </w:tc>
        <w:tc>
          <w:tcPr>
            <w:tcW w:w="1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(37,795 )</w:t>
            </w:r>
          </w:p>
        </w:tc>
        <w:tc>
          <w:tcPr>
            <w:tcW w:w="16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(19,240 )</w:t>
            </w:r>
          </w:p>
        </w:tc>
        <w:tc>
          <w:tcPr>
            <w:tcW w:w="1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(102,072 )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(148,701 )</w:t>
            </w:r>
          </w:p>
        </w:tc>
        <w:tc>
          <w:tcPr>
            <w:tcW w:w="0" w:type="dxa"/>
            <w:vAlign w:val="bottom"/>
          </w:tcPr>
          <w:p>
            <w:pPr>
              <w:spacing w:after="0"/>
              <w:rPr>
                <w:sz w:val="1"/>
                <w:szCs w:val="1"/>
                <w:color w:val="auto"/>
              </w:rPr>
            </w:pPr>
          </w:p>
        </w:tc>
      </w:tr>
      <w:tr>
        <w:trPr>
          <w:trHeight w:val="249"/>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5"/>
        </w:trPr>
        <w:tc>
          <w:tcPr>
            <w:tcW w:w="5180" w:type="dxa"/>
            <w:vAlign w:val="bottom"/>
          </w:tcPr>
          <w:p>
            <w:pPr>
              <w:spacing w:after="0" w:line="155" w:lineRule="exact"/>
              <w:rPr>
                <w:sz w:val="20"/>
                <w:szCs w:val="20"/>
                <w:color w:val="auto"/>
              </w:rPr>
            </w:pPr>
            <w:r>
              <w:rPr>
                <w:rFonts w:ascii="Arial" w:cs="Arial" w:eastAsia="Arial" w:hAnsi="Arial"/>
                <w:sz w:val="17"/>
                <w:szCs w:val="17"/>
                <w:color w:val="auto"/>
                <w:w w:val="99"/>
              </w:rPr>
              <w:t>Weighted-average number of common shares used in computing net</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3"/>
              </w:rPr>
              <w:t>71,008,993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5"/>
              </w:rPr>
              <w:t>57,514,218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3"/>
              </w:rPr>
              <w:t>63,522,774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3"/>
              </w:rPr>
              <w:t>29,859,883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line="190" w:lineRule="exact"/>
              <w:rPr>
                <w:sz w:val="20"/>
                <w:szCs w:val="20"/>
                <w:color w:val="auto"/>
              </w:rPr>
            </w:pPr>
            <w:r>
              <w:rPr>
                <w:rFonts w:ascii="Arial" w:cs="Arial" w:eastAsia="Arial" w:hAnsi="Arial"/>
                <w:sz w:val="18"/>
                <w:szCs w:val="18"/>
                <w:color w:val="auto"/>
              </w:rPr>
              <w:t>loss per share, basic and diluted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5910580</wp:posOffset>
            </wp:positionH>
            <wp:positionV relativeFrom="paragraph">
              <wp:posOffset>-1358265</wp:posOffset>
            </wp:positionV>
            <wp:extent cx="874395"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74395" cy="15430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-574040</wp:posOffset>
            </wp:positionV>
            <wp:extent cx="6858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-574040</wp:posOffset>
            </wp:positionV>
            <wp:extent cx="6032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-574040</wp:posOffset>
            </wp:positionV>
            <wp:extent cx="60325"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-574040</wp:posOffset>
            </wp:positionV>
            <wp:extent cx="6032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-282575</wp:posOffset>
            </wp:positionV>
            <wp:extent cx="2468880" cy="283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68880" cy="283210"/>
                    </a:xfrm>
                    <a:prstGeom prst="rect">
                      <a:avLst/>
                    </a:prstGeom>
                    <a:noFill/>
                  </pic:spPr>
                </pic:pic>
              </a:graphicData>
            </a:graphic>
          </wp:anchor>
        </w:drawing>
      </w:r>
    </w:p>
    <w:p>
      <w:pPr>
        <w:spacing w:after="0" w:line="276" w:lineRule="exact"/>
        <w:rPr>
          <w:sz w:val="20"/>
          <w:szCs w:val="20"/>
          <w:color w:val="auto"/>
        </w:rPr>
      </w:pPr>
    </w:p>
    <w:p>
      <w:pPr>
        <w:ind w:left="512" w:right="100" w:firstLine="509"/>
        <w:spacing w:after="0" w:line="261"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as their effect is anti-dilutive:</w:t>
      </w:r>
    </w:p>
    <w:p>
      <w:pPr>
        <w:spacing w:after="0" w:line="216" w:lineRule="exact"/>
        <w:rPr>
          <w:sz w:val="20"/>
          <w:szCs w:val="20"/>
          <w:color w:val="auto"/>
        </w:rPr>
      </w:pPr>
    </w:p>
    <w:tbl>
      <w:tblPr>
        <w:tblLayout w:type="fixed"/>
        <w:tblInd w:w="1692"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As of September 30,</w:t>
            </w:r>
          </w:p>
        </w:tc>
        <w:tc>
          <w:tcPr>
            <w:tcW w:w="8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7,447,808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4,888,996</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Unvested 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2,240,702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4,081,216</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435,570</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66,420</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99,250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152,550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Shares committed under ESPP</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51,169</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0"/>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10,427,049</w:t>
            </w:r>
          </w:p>
        </w:tc>
        <w:tc>
          <w:tcPr>
            <w:tcW w:w="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9,036,632</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5203190</wp:posOffset>
            </wp:positionH>
            <wp:positionV relativeFrom="paragraph">
              <wp:posOffset>-7620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-7620</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12" w:hanging="512"/>
        <w:spacing w:after="0"/>
        <w:tabs>
          <w:tab w:leader="none" w:pos="51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121" w:lineRule="exact"/>
        <w:rPr>
          <w:sz w:val="20"/>
          <w:szCs w:val="20"/>
          <w:color w:val="auto"/>
        </w:rPr>
      </w:pPr>
    </w:p>
    <w:p>
      <w:pPr>
        <w:ind w:left="512" w:firstLine="509"/>
        <w:spacing w:after="0" w:line="291" w:lineRule="auto"/>
        <w:rPr>
          <w:sz w:val="20"/>
          <w:szCs w:val="20"/>
          <w:color w:val="auto"/>
        </w:rPr>
      </w:pPr>
      <w:r>
        <w:rPr>
          <w:rFonts w:ascii="Arial" w:cs="Arial" w:eastAsia="Arial" w:hAnsi="Arial"/>
          <w:sz w:val="17"/>
          <w:szCs w:val="17"/>
          <w:color w:val="auto"/>
        </w:rPr>
        <w:t>Prior to the Merger, DOT-1, the Company’s subsidiary, issued Series A redeemable convertible preferred shares to Takeda in accordance with the Takeda Asset Agreement (Note 5). The Company concluded that it represented a redeemable noncontrolling interest.</w:t>
      </w:r>
    </w:p>
    <w:p>
      <w:pPr>
        <w:spacing w:after="0" w:line="39" w:lineRule="exact"/>
        <w:rPr>
          <w:sz w:val="20"/>
          <w:szCs w:val="20"/>
          <w:color w:val="auto"/>
        </w:rPr>
      </w:pPr>
    </w:p>
    <w:p>
      <w:pPr>
        <w:ind w:left="512" w:right="140" w:firstLine="509"/>
        <w:spacing w:after="0" w:line="256" w:lineRule="auto"/>
        <w:rPr>
          <w:sz w:val="20"/>
          <w:szCs w:val="20"/>
          <w:color w:val="auto"/>
        </w:rPr>
      </w:pPr>
      <w:r>
        <w:rPr>
          <w:rFonts w:ascii="Arial" w:cs="Arial" w:eastAsia="Arial" w:hAnsi="Arial"/>
          <w:sz w:val="18"/>
          <w:szCs w:val="18"/>
          <w:color w:val="auto"/>
        </w:rPr>
        <w:t>The Company adjusted the carrying value of redeemable noncontrolling interest to allocate net losses of the subsidiary to Takeda. Transfers to and from the redeemable noncontrolling interest represented changes in ownership and the allocation of Series A redeemable convertible preferred shares issuance costs issued by the subsidiary.</w:t>
      </w:r>
    </w:p>
    <w:p>
      <w:pPr>
        <w:spacing w:after="0" w:line="67" w:lineRule="exact"/>
        <w:rPr>
          <w:sz w:val="20"/>
          <w:szCs w:val="20"/>
          <w:color w:val="auto"/>
        </w:rPr>
      </w:pPr>
    </w:p>
    <w:p>
      <w:pPr>
        <w:ind w:left="512" w:right="120" w:firstLine="509"/>
        <w:spacing w:after="0" w:line="256" w:lineRule="auto"/>
        <w:rPr>
          <w:sz w:val="20"/>
          <w:szCs w:val="20"/>
          <w:color w:val="auto"/>
        </w:rPr>
      </w:pPr>
      <w:r>
        <w:rPr>
          <w:rFonts w:ascii="Arial" w:cs="Arial" w:eastAsia="Arial" w:hAnsi="Arial"/>
          <w:sz w:val="17"/>
          <w:szCs w:val="17"/>
          <w:color w:val="auto"/>
        </w:rPr>
        <w:t>On May 26, 2021, pursuant to the terms of the Millennium Stock Exchange Agreement, Takeda exchanged 9,857,143 shares of Series A redeemable convertible preferred stock in DOT-1 for 6,470,382 shares of common stock of the Company. Prior to the Exchange, the Company accounted for the redeemable noncontrolling interest as discussed in the paragraph above and allocated $1.2 million and $2.1 million of net losses for the period from April 1 to May 26, 2021 and from January 1 to May 26, 2021, respectively, to Takeda. The Exchange resulted in DOT-1 becoming a wholly owned subsidiary of the Company and was recorded for accounting purposes as an extinguishment of the redeemable noncontrolling interest. As such, the Company also recognized an extinguishment loss of $100.0 million to additional paid-in-capital, which was calculated as a difference between the fair value of common stock issued to Takeda in the conversion and the carrying value of redeemable noncontrolling interest at the conversion date. The all-stock exchange was treated as a deemed dividend in the calculation of net loss attributable to common stockholders/members and net loss and per share.</w:t>
      </w:r>
    </w:p>
    <w:p>
      <w:pPr>
        <w:spacing w:after="0" w:line="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23" w:name="page24"/>
    <w:bookmarkEnd w:id="23"/>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left="520" w:right="60" w:firstLine="509"/>
        <w:spacing w:after="0" w:line="249" w:lineRule="auto"/>
        <w:rPr>
          <w:sz w:val="20"/>
          <w:szCs w:val="20"/>
          <w:color w:val="auto"/>
        </w:rPr>
      </w:pPr>
      <w:r>
        <w:rPr>
          <w:rFonts w:ascii="Arial" w:cs="Arial" w:eastAsia="Arial" w:hAnsi="Arial"/>
          <w:sz w:val="18"/>
          <w:szCs w:val="18"/>
          <w:color w:val="auto"/>
        </w:rPr>
        <w:t>The Company maintains an employee savings plan pursuant to Section 401(k) of the Internal Revenue Code. All employees are eligible to participate provided that they meet the requirements of the plan. For the three and nine months ended September 30, 2022, the Company made matching contributions of $0.3 million and $0.8 million, respectively. The Company did not make matching contributions in the periods of the prior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our interim condensed consolidated financial statements and related notes, and other financial information appearing in our Annual Report on Form 10-K for the year ended December 31, 2021, or our Annual Report and this Quarterly Report on Form 10-Q. Some of the information contained in this discussion and analysis includes forward-looking statements that involve risks and uncertainties. As a result of many factors, including those factors set forth in the “Risk Factors” in this this Quarterly Report on Form 10-Q, our actual results could differ materially from the results described in or implied by the forward-looking statements contained in the following discussion and analysis.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Day One was founded to address a critical unmet need: children with cancer are being left behind in a cancer drug development revolution.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32"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are a clinical-stage biopharmaceutical company dedicated to developing and commercializing targeted therapies for patients of all ages with life threatening diseases. Initially, we have focused our clinical development efforts on pediatric patients living with cancer, a vulnerable population that has been underserved in the recent revolution in targeted therapeutics and immuno-oncology. Our lead product candidate, tovorafenib (DAY101), is an oral, brain-penetrant, highly-selective type II pan-rapidly accelerated fibrosarcoma, or pan-RAF, kinase inhibitor. Tovorafenib (DAY101) has been studied in over 325 patients and has been shown to be generally well-tolerated as a monotherapy. Tovorafenib (DAY101) has demonstrated encouraging anti-tumor activity in pediatric and adult populations with specific genetic alterations that result in the over-activation of the RAS/mitogen-activated protein kinase, or MAPK, pathway leading to uncontrolled cell growth. We have initiated and fully enrolled a pivotal Phase 2 trial (FIREFLY-1) of tovorafenib (DAY101) for pediatric patients with relapsed or progressive low-grade glioma, or pLGG, the most common brain tumor diagnosed in children, for which there are no approved therapies and no recognized standard of care for the majority of patients. The first patient was dosed in FIREFLY-1 in May 2021 and we completed enrollment in the registrational arm in May 2022. The FIREFLY-1 trial has also been expanded to: (a) include two additional study arms to enable expanded access for eligible patients now that the primary cohort has completed enrollment, and (b) evaluate the preliminary efficacy of tovorafenib (DAY101) in patients aged 6 months to 25 years with a relapsed or progressive extracranial solid tumor with an activating RAF fusion. Tovorafenib</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(DAY101) has been granted Breakthrough Therapy designation by the FDA in August 2020 for the treatment of pLGG based on initial results from a Phase 1 trial which showed evidence of rapid anti-tumor activity and durable responses in pLGG patients. We received Orphan Drug designation for the treatment of malignant melanoma from the FDA in September 2020 and from the EU Commission for the treatment of glioma in May 2021. Additionally, the FDA granted Rare Pediatric Disease designation to tovorafenib (DAY101) for treatment of low-grade gliomas, or LGGs, harboring an activating RAF alteration in July 2021.</w:t>
      </w:r>
    </w:p>
    <w:p>
      <w:pPr>
        <w:spacing w:after="0" w:line="299" w:lineRule="exact"/>
        <w:rPr>
          <w:sz w:val="20"/>
          <w:szCs w:val="20"/>
          <w:color w:val="auto"/>
        </w:rPr>
      </w:pPr>
    </w:p>
    <w:p>
      <w:pPr>
        <w:ind w:right="160" w:firstLine="509"/>
        <w:spacing w:after="0" w:line="256" w:lineRule="auto"/>
        <w:rPr>
          <w:sz w:val="20"/>
          <w:szCs w:val="20"/>
          <w:color w:val="auto"/>
        </w:rPr>
      </w:pPr>
      <w:r>
        <w:rPr>
          <w:rFonts w:ascii="Arial" w:cs="Arial" w:eastAsia="Arial" w:hAnsi="Arial"/>
          <w:sz w:val="17"/>
          <w:szCs w:val="17"/>
          <w:color w:val="auto"/>
        </w:rPr>
        <w:t>Initial data from the pivotal FIREFLY-1 trial in June 2022 demonstrated an overall response rate, or ORR, of 64% in the first 22 Response Assessment for Neuro-Oncology evaluable patients, comprising 14 partial responses, or PR (13 confirmed partial responses and 1 unconfirmed partial response, or uPR). We observed an additional 6 patients with stable disease, or SD, resulting in a clinical benefit rate of 91% (PR/uPR+ SD). We believe tumor reduction or stabilization is clinically meaningful for pLGG patients, as both are perceived as beneficial given the lack of approved therapies. We anticipate presenting additional study results from FIREFLY-1 at an upcoming medical conference in the second half of 2022, reporting topline data from this pivotal trial in the first quarter of 2023, and, if the data are supportive, we expect to submit a New Drug Application, or NDA, to the United States Food and Drug Administration, or FDA, in the first half of 2023.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4" w:name="page25"/>
    <w:bookmarkEnd w:id="24"/>
    <w:p>
      <w:pPr>
        <w:ind w:right="20" w:firstLine="509"/>
        <w:spacing w:after="0" w:line="244" w:lineRule="auto"/>
        <w:rPr>
          <w:sz w:val="20"/>
          <w:szCs w:val="20"/>
          <w:color w:val="auto"/>
        </w:rPr>
      </w:pPr>
      <w:r>
        <w:rPr>
          <w:rFonts w:ascii="Arial" w:cs="Arial" w:eastAsia="Arial" w:hAnsi="Arial"/>
          <w:sz w:val="18"/>
          <w:szCs w:val="18"/>
          <w:color w:val="auto"/>
        </w:rPr>
        <w:t>Our second product candidate, pimasertib, is an oral, highly-selective small molecule inhibitor of mitogen-activated protein kinase kinases 1 and 2, or MEK, a well-characterized key signaling node in the MAPK pathway. We initiated FIRELIGHT-1, a Phase 1b/2 trial, in March 2022 to study the combination of tovorafenib (DAY101) and pimasertib in patients 12 years and older with various MAPK-altered solid tumors and dosed the first patients in May 2022. 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tovorafenib (DAY101) and to pimasertib for all therapeutic areas subject to certain milestone and royalty payments.</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74930</wp:posOffset>
            </wp:positionV>
            <wp:extent cx="6172200" cy="3437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7220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509"/>
        <w:spacing w:after="0" w:line="275" w:lineRule="auto"/>
        <w:rPr>
          <w:sz w:val="20"/>
          <w:szCs w:val="20"/>
          <w:color w:val="auto"/>
        </w:rPr>
      </w:pPr>
      <w:r>
        <w:rPr>
          <w:rFonts w:ascii="Arial" w:cs="Arial" w:eastAsia="Arial" w:hAnsi="Arial"/>
          <w:sz w:val="16"/>
          <w:szCs w:val="16"/>
          <w:color w:val="auto"/>
        </w:rPr>
        <w:t>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preparing for commercial launch; and providing general and administrative support for these operations. We do not have any products approved for commercial sale and have not generated any revenues from product sales or any other source and have incurred net losses since commencement of our operations. For the three months ended September 30, 2022 and 2021, we reported a net loss of $37.8 million and $19.2 million, respectively. For the nine months ended September 30, 2022 and 2021, we reported a net loss of $102.1 million and $50.8 million, respectively. We had an accumulated deficit of $229.6 million as of September 30, 2022. We expect a significant increase in expenses and substantial losses for the foreseeable future as we continue our development of, and seek regulatory approvals for our product candidates, commercialize any approved products, and seek to expand our product pipeline and invest in our organization. In addition, we expect to continue to incur additional costs associated with operating as a public company, including significant legal, audit, accounting, regulatory, tax-related, director and officer insurance, investor relations and other expenses that we did not incur as a private company.</w:t>
      </w:r>
    </w:p>
    <w:p>
      <w:pPr>
        <w:spacing w:after="0" w:line="179"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To date, we have funded our operations through the sale of our redeemable convertible preferred shares, convertible notes and common stock in our initial public offering and subsequent public offering.</w:t>
      </w:r>
    </w:p>
    <w:p>
      <w:pPr>
        <w:spacing w:after="0" w:line="17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Cash and cash equivalents and short-term investments totaled $374.3 million as of September 30, 2022. Based on our current operating plan, management believes we have sufficient capital resources to fund anticipated operations into 2025.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5" w:name="page26"/>
    <w:bookmarkEnd w:id="25"/>
    <w:p>
      <w:pPr>
        <w:ind w:right="180"/>
        <w:spacing w:after="0" w:line="277" w:lineRule="auto"/>
        <w:rPr>
          <w:sz w:val="20"/>
          <w:szCs w:val="20"/>
          <w:color w:val="auto"/>
        </w:rPr>
      </w:pPr>
      <w:r>
        <w:rPr>
          <w:rFonts w:ascii="Arial" w:cs="Arial" w:eastAsia="Arial" w:hAnsi="Arial"/>
          <w:sz w:val="18"/>
          <w:szCs w:val="18"/>
          <w:color w:val="auto"/>
        </w:rPr>
        <w:t>significantly delay, reduce or discontinue the development and commercialization of our product candidates or scale back or terminate our pursuit of new in-licenses and acquisitions.</w:t>
      </w:r>
    </w:p>
    <w:p>
      <w:pPr>
        <w:spacing w:after="0" w:line="157"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As we advance our product candidates through development, we will explore adding backup suppliers for the Active Pharmaceutical Ingredients, or API, drug product, packaging and formulation for each of our product candidates to protect against any potential supply disruptions.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The degree to which the ongoing COVID-19 pandemic, including the emergence of related variants, impacts our business operations, research and development programs and financial condition will depend on future developments, including the ultimate duration and/or severity of the outbreak, the impact of any resurgences and new strains that emerge, actions by government authorities to contain the spread of the virus, the timing, availability, and effectiveness of any vaccines, when and to what extent normal economic and operating conditions can resume and the continued impact of each of these items on the economies and financial markets in the United States and abroad (including increases in interest rates and inflation). Our management team continues to actively monitor this evolving health crisis and its effects on our operations, key vendors and workforce.</w:t>
      </w:r>
    </w:p>
    <w:p>
      <w:pPr>
        <w:spacing w:after="0" w:line="161"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We conduct our clinical trials in the United States and internationally in geographic regions that have been and continue to be impacted by the COVID-19 pandemic to varying degrees. We have experienced and expect to continue to experience volatility in services rendered from our third-party service providers as local governments respond to resurgences and the emergence of new strains, each of which may result in the prolonged reinstitution, extension or enhancement of protective measures. The American Cancer Society has also reported that the pandemic has led to declines in screening, diagnosis and treatment for cancer patients, which will impact the enrollment of patients in clinical trials targeting early-stage cancers and retention of patients overall in our trials. Patient safety remains our paramount concern and we continue to collaborate with our existing and with new investigational sites to implement measures to minimize disruptions to patients and ensure continued access to treatment, in accordance with health authority guidance. We are unable to predict the continuing or ultimate impact of the COVID-19 pandemic on our ongoing and planned clinical programs. With respect to manufacturing and supply, we do not anticipate disruptions to our drug supply chain, but in March 2022, authorities in Shanghai announced a two-stage lock-down for residents and businesses in response to rising rates of COVID-19, which was subsequently lifted, and we cannot be sure if additional lock-down measures or restrictions will be implemented and what, if any, impact that may have on our facilities and operations.</w:t>
      </w:r>
    </w:p>
    <w:p>
      <w:pPr>
        <w:spacing w:after="0" w:line="162"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The full impact of the ongoing COVID-19 pandemic remains highly uncertain and subject to change. The safety, health and well-being of our employees remains a primary concern, and we instituted remote work arrangements for our office-based employees. There are many uncertainties around the COVID-19 pandemic and future developments, which are unpredictable, may result in a material, negative impact to our operations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 agreement</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On December 16, 2019, DOT-1 Therapeutics, Inc., or DOT-1, our subsidiary, entered into an asset purchase agreement, or the Takeda Asset Agreement, with Millennium Pharmaceuticals, Inc., an affiliate of Takeda Pharmaceutical Company Limited, or Takeda. Pursuant to the Takeda Asset Agreement, we purchased certain technology rights and know-how related to TAK-580 (which is now tovorafenib (DAY101)), which was being developed to treat patients with primary brain tumors or brain metastases of solid tumors. We also received clinical inventory supplies to use in our research and development activities of such RAF-inhibitor and an assigned investigator clinical trial agreement. Takeda also assigned to us its exclusive license agreement, or the Viracta License Agreement, with Viracta Therapeutics, Inc. or Viracta (f/k/a Sunesis Pharmaceuticals, Inc.). Takeda also granted us a worldwide, sublicensable exclusive license under specified patents and know-how and non-exclusive license under other patents and know-how generated by Takeda under the Takeda Asset Agreement or otherwise through practice of the technology assigned or licensed to us under the Takeda Asset Agreement, in each case, to develop, manufacture and commercialize products containing tovorafenib (DAY101) in all fields of use. We also granted Takeda an exclusive license under the technology assigned or licensed to us under the Takeda Asset Agreement and a non-exclusive license under any patents and know-how generated by us under the Takeda Asset Agreement or otherwise through the practice of the technology assigned or licensed to us under the Takeda Asset Agreement, in each case, only for Takeda to develop, manufacture and commercialize products containing tovorafenib (DAY101) in the field excluded from our license grant. This grant back license to Takeda was terminated at the time of Conversion in connection with the Millennium Stock Exchange Agreement.</w:t>
      </w:r>
    </w:p>
    <w:p>
      <w:pPr>
        <w:spacing w:after="0" w:line="67" w:lineRule="exact"/>
        <w:rPr>
          <w:sz w:val="20"/>
          <w:szCs w:val="20"/>
          <w:color w:val="auto"/>
        </w:rPr>
      </w:pPr>
    </w:p>
    <w:p>
      <w:pPr>
        <w:ind w:right="500" w:firstLine="509"/>
        <w:spacing w:after="0" w:line="250" w:lineRule="auto"/>
        <w:rPr>
          <w:sz w:val="20"/>
          <w:szCs w:val="20"/>
          <w:color w:val="auto"/>
        </w:rPr>
      </w:pPr>
      <w:r>
        <w:rPr>
          <w:rFonts w:ascii="Arial" w:cs="Arial" w:eastAsia="Arial" w:hAnsi="Arial"/>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6" w:name="page27"/>
    <w:bookmarkEnd w:id="26"/>
    <w:p>
      <w:pPr>
        <w:ind w:right="60"/>
        <w:spacing w:after="0" w:line="249" w:lineRule="auto"/>
        <w:rPr>
          <w:sz w:val="20"/>
          <w:szCs w:val="20"/>
          <w:color w:val="auto"/>
        </w:rPr>
      </w:pPr>
      <w:r>
        <w:rPr>
          <w:rFonts w:ascii="Arial" w:cs="Arial" w:eastAsia="Arial" w:hAnsi="Arial"/>
          <w:sz w:val="18"/>
          <w:szCs w:val="18"/>
          <w:color w:val="auto"/>
        </w:rPr>
        <w:t>DOT-1 in December 2019. The fair value of issued shares was estimated as $9.9 million, based on the price paid by other investors for issued shares in the Series A financing of DOT-1. Pursuant to the terms of the Millennium Stock Exchange Agreement, or the Millennium Stock Exchange Agreement, Takeda agreed to exchange 9,857,143 shares of Series A redeemable convertible preferred stock of DOT-1 for 6,470,382 shares of the Company’s common stock pursuant to and contingent upon the effectiveness of the Conversion on May 26, 2021.</w:t>
      </w:r>
    </w:p>
    <w:p>
      <w:pPr>
        <w:spacing w:after="0" w:line="86"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Effective December 31, 2021, DOT-1 was merged with and into our company, with our company being the surviving corporation and assuming DOT-1’s obligations under the Takeda Assets Purchase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17"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On December 16, 2019, we amended and restated the Viracta License Agreement that was assigned to us pursuant to the Takeda Asset Agreement. Under the Viracta License Agreement, we received a worldwide exclusive license under specified patent rights and know-how to develop, use, manufacture, and commercialize products containing compounds binding the RAF protein family.</w:t>
      </w:r>
    </w:p>
    <w:p>
      <w:pPr>
        <w:spacing w:after="0" w:line="182"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Under the Viracta License Agreement, we paid $2.0 million upfront in cash to Viracta, which was recorded as research and development expenses for the year ended December 31, 2019. We made a milestone payment of $3.0 million to Viracta in February 2021, which was recorded as research and development expenses when the milestone was achieved in April 2021. We are also required to make additional milestone payments of up to $54.0 million upon achievement of specified development and regulatory milestones. The total amount of consideration for the assets and the license acquired related to the Takeda Asset Agreement and Viracta License Agreement of $12.9 million was recorded as research and development expenses in the consolidated statements of operations and comprehensive loss in December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17"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On February 10, 2021, DOT Therapeutics-2, Inc., or DOT-2, our subsidiary, entered into a license agreement, or the MRKDG License Agreement, with Merck KGaA, Darmstadt, Germany, a pharmaceutical corporation located in Darmstadt, Germany. Under the MRKDG License Agreement, Merck KGaA, Darmstadt, Germany as licensor granted to DOT-2, an exclusive worldwide license, with the right to grant sublicenses through multiple tiers, under specified patent rights and know-how for us to research, develop, manufacture and commercialize products containing and comprising the pimasertib and MSC2015103B compounds.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In consideration for the rights granted under the MRKDG License Agreement, we made an upfront payment of $8.0 million to the licensor, which was recorded as research and development expenses. Additionally, we made a milestone payment of $2.5 million, which was recorded as research and development expenses, in the nine months ended September 30, 2022 related to the first dosing of a patient in a first clinical trial of a product containing pimasertib. We may also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58"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Effective December 31, 2021, DOT-2 was merged with and into our company, with our company being the surviving corporation and assuming DOT-2’s obligations under the MRKDG License Agreement.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Research and development expenses consist primarily of external and internal expenses incurred for our research activities, including our discovery and in-licensing undertakings, and the development of our lead product candidate, tovorafenib (DAY101) and our second product candidate, pimasertib.</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External expenses include:</w:t>
      </w:r>
    </w:p>
    <w:p>
      <w:pPr>
        <w:spacing w:after="0" w:line="104" w:lineRule="exact"/>
        <w:rPr>
          <w:sz w:val="20"/>
          <w:szCs w:val="20"/>
          <w:color w:val="auto"/>
        </w:rPr>
      </w:pPr>
    </w:p>
    <w:p>
      <w:pPr>
        <w:ind w:left="1140" w:hanging="369"/>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acquiring technology and intellectual property licenses that have no alternative future uses;</w:t>
      </w:r>
    </w:p>
    <w:p>
      <w:pPr>
        <w:spacing w:after="0" w:line="103" w:lineRule="exact"/>
        <w:rPr>
          <w:rFonts w:ascii="Arial" w:cs="Arial" w:eastAsia="Arial" w:hAnsi="Arial"/>
          <w:sz w:val="18"/>
          <w:szCs w:val="18"/>
          <w:color w:val="auto"/>
        </w:rPr>
      </w:pPr>
    </w:p>
    <w:p>
      <w:pPr>
        <w:ind w:left="1140" w:hanging="369"/>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incurred under agreements with third-party contract research organizations, or CROs, contract manufacturing organizations, or CMOs, and other third parties that conduct clinical trials on our behalf; and</w:t>
      </w:r>
    </w:p>
    <w:p>
      <w:pPr>
        <w:spacing w:after="0" w:line="48" w:lineRule="exact"/>
        <w:rPr>
          <w:rFonts w:ascii="Arial" w:cs="Arial" w:eastAsia="Arial" w:hAnsi="Arial"/>
          <w:sz w:val="18"/>
          <w:szCs w:val="18"/>
          <w:color w:val="auto"/>
        </w:rPr>
      </w:pPr>
    </w:p>
    <w:p>
      <w:pPr>
        <w:ind w:left="1140" w:hanging="369"/>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costs associated with our research and development programs, including laboratory materials and supplies.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color w:val="auto"/>
        </w:rPr>
        <w:t>Internal expenses include:</w:t>
      </w:r>
    </w:p>
    <w:p>
      <w:pPr>
        <w:spacing w:after="0" w:line="117" w:lineRule="exact"/>
        <w:rPr>
          <w:sz w:val="20"/>
          <w:szCs w:val="20"/>
          <w:color w:val="auto"/>
        </w:rPr>
      </w:pPr>
    </w:p>
    <w:p>
      <w:pPr>
        <w:ind w:left="1140" w:right="260" w:hanging="369"/>
        <w:spacing w:after="0" w:line="261"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employee-related costs, including salaries, benefits and share-based compensation expense, for our research and development personnel; and</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facilities and other overhead expenses, including expenses for rent and facilities maintenance, and amortization.</w:t>
      </w:r>
    </w:p>
    <w:p>
      <w:pPr>
        <w:spacing w:after="0" w:line="225"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We expense research and development expenses as incurred. We track external costs by program, which currently consist of expenses for our tovorafenib (DAY101) program and our pimasertib program. We do not track indirect costs on a program specific basis because these costs are deployed across multiple programs and, as such, are not separately classified.</w:t>
      </w:r>
    </w:p>
    <w:p>
      <w:pPr>
        <w:spacing w:after="0" w:line="195"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increase substantially for the foreseeable future as we continue to implement our business strategy, advance tovorafenib (DAY101) and pimasertib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186" w:lineRule="exact"/>
        <w:rPr>
          <w:sz w:val="20"/>
          <w:szCs w:val="20"/>
          <w:color w:val="auto"/>
        </w:rPr>
      </w:pPr>
    </w:p>
    <w:p>
      <w:pPr>
        <w:ind w:right="180" w:firstLine="509"/>
        <w:spacing w:after="0" w:line="245" w:lineRule="auto"/>
        <w:rPr>
          <w:sz w:val="20"/>
          <w:szCs w:val="20"/>
          <w:color w:val="auto"/>
        </w:rPr>
      </w:pPr>
      <w:r>
        <w:rPr>
          <w:rFonts w:ascii="Arial" w:cs="Arial" w:eastAsia="Arial" w:hAnsi="Arial"/>
          <w:sz w:val="18"/>
          <w:szCs w:val="18"/>
          <w:color w:val="auto"/>
        </w:rPr>
        <w:t>We cannot reasonably determine the duration and costs to complete future clinical trials of tovorafenib (DAY101), pimasertib or any other product candidate we may develop or acquire, or to what extent we will generate revenue from the commercialization and sale of any of our product candidates. The successful development and commercialization of our product candidates, as well as our ability to obtain the necessary regulatory and marketing approvals are highly uncertain. This is due to numerous risks and uncertainties associated with developing new drugs, many of which are outside of our control, including:</w:t>
      </w:r>
    </w:p>
    <w:p>
      <w:pPr>
        <w:spacing w:after="0" w:line="78" w:lineRule="exact"/>
        <w:rPr>
          <w:sz w:val="20"/>
          <w:szCs w:val="20"/>
          <w:color w:val="auto"/>
        </w:rPr>
      </w:pPr>
    </w:p>
    <w:p>
      <w:pPr>
        <w:ind w:left="1140" w:right="240" w:hanging="369"/>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preclinical development activities, as well as of any future clinical trials of our product candidates, and other research and development activities we may conduct;</w:t>
      </w:r>
    </w:p>
    <w:p>
      <w:pPr>
        <w:spacing w:after="0" w:line="48"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in clinical trial design;</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drop-out or discontinuation rates of patients, particularly in light of the COVID-19 pandemic environment;</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safety and efficacy profiles of our product candidates;</w:t>
      </w:r>
    </w:p>
    <w:p>
      <w:pPr>
        <w:spacing w:after="0" w:line="117" w:lineRule="exact"/>
        <w:rPr>
          <w:rFonts w:ascii="Arial" w:cs="Arial" w:eastAsia="Arial" w:hAnsi="Arial"/>
          <w:sz w:val="18"/>
          <w:szCs w:val="18"/>
          <w:color w:val="auto"/>
        </w:rPr>
      </w:pPr>
    </w:p>
    <w:p>
      <w:pPr>
        <w:ind w:left="1140" w:hanging="369"/>
        <w:spacing w:after="0" w:line="248"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 including the FDA, European Medicines Agency, Health Canada or other regulatory agencies of the investigational NDAs, clinical trial applications or other regulatory filings for tovorafenib (DAY101) and future product candidates;</w:t>
      </w:r>
    </w:p>
    <w:p>
      <w:pPr>
        <w:spacing w:after="0" w:line="87"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03" w:lineRule="exact"/>
        <w:rPr>
          <w:rFonts w:ascii="Arial" w:cs="Arial" w:eastAsia="Arial" w:hAnsi="Arial"/>
          <w:sz w:val="18"/>
          <w:szCs w:val="18"/>
          <w:color w:val="auto"/>
        </w:rPr>
      </w:pPr>
    </w:p>
    <w:p>
      <w:pPr>
        <w:ind w:left="1140" w:right="140" w:hanging="369"/>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76" w:lineRule="exact"/>
        <w:rPr>
          <w:rFonts w:ascii="Arial" w:cs="Arial" w:eastAsia="Arial" w:hAnsi="Arial"/>
          <w:sz w:val="18"/>
          <w:szCs w:val="18"/>
          <w:color w:val="auto"/>
        </w:rPr>
      </w:pPr>
    </w:p>
    <w:p>
      <w:pPr>
        <w:ind w:left="1140" w:right="820" w:hanging="369"/>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retention and expansion of a workforce of experienced scientists and others to continue research and development of our product candidates;</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any marketing approvals.</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03" w:lineRule="exact"/>
        <w:rPr>
          <w:rFonts w:ascii="Arial" w:cs="Arial" w:eastAsia="Arial" w:hAnsi="Arial"/>
          <w:sz w:val="18"/>
          <w:szCs w:val="18"/>
          <w:color w:val="auto"/>
        </w:rPr>
      </w:pPr>
    </w:p>
    <w:p>
      <w:pPr>
        <w:ind w:left="1140" w:right="180" w:hanging="369"/>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particularly considering the COVID-19 pandemic environment; and</w:t>
      </w:r>
    </w:p>
    <w:p>
      <w:pPr>
        <w:spacing w:after="0" w:line="76"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ind w:firstLine="509"/>
        <w:spacing w:after="0" w:line="249" w:lineRule="auto"/>
        <w:rPr>
          <w:sz w:val="20"/>
          <w:szCs w:val="20"/>
          <w:color w:val="auto"/>
        </w:rPr>
      </w:pPr>
      <w:r>
        <w:rPr>
          <w:rFonts w:ascii="Arial" w:cs="Arial" w:eastAsia="Arial" w:hAnsi="Arial"/>
          <w:sz w:val="18"/>
          <w:szCs w:val="18"/>
          <w:color w:val="auto"/>
        </w:rPr>
        <w:t>A change in estimates of any of these factors could mean a significant change in the costs and timing associated with the development of our current and future product candidates. For example, if the FDA or another regulatory authority were to require us to conduct clinical trials beyond those that we currently anticipate will be required for the completion of clinical development of a product candidate, or if we experience significant delays in our ongoing and planned clinical trials due to patient enrollment or other reasons, we could be required to expend significant additional financial resources and time on the completion of clinical development.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General and administrative expenses consist primarily of personnel-related costs, legal and professional service costs, insurance costs, and facility-related costs. Personnel-related costs include salaries, bonuses, benefits, stock-based compensation, travel expenses, and other related costs, for personnel in our executive, finance, corporate, business development, and administrative functions. Legal and professional service expenses include legal fees related to intellectual property and corporate matters; professional fees for accounting, auditing, tax, human resources, business development, and other consulting services, stock-based compensation issued to certain nonemployee consultants, and travel expenses and facilities-related expenses.</w:t>
      </w:r>
    </w:p>
    <w:p>
      <w:pPr>
        <w:spacing w:after="0" w:line="171"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We expect that our general and administrative expenses will increase substantially for the foreseeable future as we anticipate an increase in our personnel headcount to support expansion of research and development efforts for our product candidates, as well as to support our operations generally. We also expect an increase in expenses associated with being a public company, including costs related to compliance with the requirements of the Nasdaq Global Select Market, or Nasdaq, and the SEC; additional director and officer insurance costs; and investor and public relations costs.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redeemable convertible noncontrolling interest</w:t>
      </w:r>
    </w:p>
    <w:p>
      <w:pPr>
        <w:spacing w:after="0" w:line="104"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Net loss attributable to redeemable convertible noncontrolling interest represented a portion of the net loss that is not allocated to us in our subsidiary, DOT-1. On May 26, 2021, in connection with the terms of the Millennium Stock Exchange Agreement, Takeda exchanged its shares in DOT-1 for shares of our common stock. At that time, the redeemable convertible noncontrolling interest was extinguished, and DOT-1 became our wholly-owned subsidiary.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 redeemable noncontrolling interest shares – deemed dividend</w:t>
      </w:r>
    </w:p>
    <w:p>
      <w:pPr>
        <w:spacing w:after="0" w:line="104" w:lineRule="exact"/>
        <w:rPr>
          <w:sz w:val="20"/>
          <w:szCs w:val="20"/>
          <w:color w:val="auto"/>
        </w:rPr>
      </w:pPr>
    </w:p>
    <w:p>
      <w:pPr>
        <w:ind w:right="160" w:firstLine="509"/>
        <w:spacing w:after="0" w:line="268" w:lineRule="auto"/>
        <w:rPr>
          <w:sz w:val="20"/>
          <w:szCs w:val="20"/>
          <w:color w:val="auto"/>
        </w:rPr>
      </w:pPr>
      <w:r>
        <w:rPr>
          <w:rFonts w:ascii="Arial" w:cs="Arial" w:eastAsia="Arial" w:hAnsi="Arial"/>
          <w:sz w:val="17"/>
          <w:szCs w:val="17"/>
          <w:color w:val="auto"/>
        </w:rPr>
        <w:t>For the nine months ended September 30, 2021, as a result of an exchange of shares by Takeda, we recognized an extinguishment loss of approximately $100.0 million to additional paid-in-capital, which was calculated as a difference between the fair value of common stock issued to Takeda in the conversion and the carrying value of redeemable noncontrolling interest at the conversion date. The all-stock, non-cash exchange was treated as a deemed dividend in the calculation of net loss attributable to common stockholders and net loss per share.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2022 and 2021 (unaudited):</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22,035</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9,849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12,186</w:t>
            </w:r>
          </w:p>
        </w:tc>
        <w:tc>
          <w:tcPr>
            <w:tcW w:w="1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123.7 %</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17,664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8,272</w:t>
            </w:r>
          </w:p>
        </w:tc>
        <w:tc>
          <w:tcPr>
            <w:tcW w:w="1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88.1 %</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39,699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20,458</w:t>
            </w:r>
          </w:p>
        </w:tc>
        <w:tc>
          <w:tcPr>
            <w:tcW w:w="1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xml:space="preserve">106.3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(39,699</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(20,458</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(37,795 )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(19,240 )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(18,555 )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xml:space="preserve">96.4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-873760</wp:posOffset>
            </wp:positionV>
            <wp:extent cx="6412230" cy="4286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12230" cy="42862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3086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12230" cy="308610"/>
                    </a:xfrm>
                    <a:prstGeom prst="rect">
                      <a:avLst/>
                    </a:prstGeom>
                    <a:noFill/>
                  </pic:spPr>
                </pic:pic>
              </a:graphicData>
            </a:graphic>
          </wp:anchor>
        </w:drawing>
      </w:r>
    </w:p>
    <w:p>
      <w:pPr>
        <w:spacing w:after="0" w:line="74" w:lineRule="exact"/>
        <w:rPr>
          <w:sz w:val="20"/>
          <w:szCs w:val="20"/>
          <w:color w:val="auto"/>
        </w:rPr>
      </w:pPr>
    </w:p>
    <w:p>
      <w:pPr>
        <w:ind w:left="840" w:hanging="323"/>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Research and development expenses increased $12.2 million, from $9.8 million for the three months ended September 30, 2021 to $22.0 million for the three months ended September 30, 2022. In the three months ended September 30, 2022 as compared to September 30, 2021, third-party expenses increased by $7.3 million, due primarily to an increase in clinical trial, manufacturing,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ind w:right="640"/>
        <w:spacing w:after="0" w:line="277" w:lineRule="auto"/>
        <w:rPr>
          <w:sz w:val="20"/>
          <w:szCs w:val="20"/>
          <w:color w:val="auto"/>
        </w:rPr>
      </w:pPr>
      <w:r>
        <w:rPr>
          <w:rFonts w:ascii="Arial" w:cs="Arial" w:eastAsia="Arial" w:hAnsi="Arial"/>
          <w:sz w:val="18"/>
          <w:szCs w:val="18"/>
          <w:color w:val="auto"/>
        </w:rPr>
        <w:t>other product development expenses, and personnel related expenses increased by $4.2 million resulting from additional headcount and stock-based compensation.</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external and internal research and development expenses for the three months ended September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41"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20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76"/>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4"/>
              </w:rPr>
              <w:t>thousands)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External costs: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Third-party CRO, CMO and other third-party clinical trial costs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13,740</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6,391</w:t>
            </w:r>
          </w:p>
        </w:tc>
        <w:tc>
          <w:tcPr>
            <w:tcW w:w="80" w:type="dxa"/>
            <w:vAlign w:val="bottom"/>
          </w:tcPr>
          <w:p>
            <w:pPr>
              <w:spacing w:after="0"/>
              <w:rPr>
                <w:sz w:val="18"/>
                <w:szCs w:val="18"/>
                <w:color w:val="auto"/>
              </w:rPr>
            </w:pPr>
          </w:p>
        </w:tc>
      </w:tr>
      <w:tr>
        <w:trPr>
          <w:trHeight w:val="175"/>
        </w:trPr>
        <w:tc>
          <w:tcPr>
            <w:tcW w:w="610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Other research and development costs, including laboratory materials and</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supplies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20"/>
                <w:szCs w:val="20"/>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Internal costs: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expenses</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22,035</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9,849</w:t>
            </w:r>
          </w:p>
        </w:tc>
        <w:tc>
          <w:tcPr>
            <w:tcW w:w="8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60325"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51435"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68" w:lineRule="exact"/>
        <w:rPr>
          <w:sz w:val="20"/>
          <w:szCs w:val="20"/>
          <w:color w:val="auto"/>
        </w:rPr>
      </w:pPr>
    </w:p>
    <w:p>
      <w:pPr>
        <w:ind w:left="520" w:right="360" w:hanging="512"/>
        <w:spacing w:after="0" w:line="256"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CRO, CMO and other clinical trial costs for the tovorafenib (DAY 101) program and the pimasertib program were $12.2 million and $1.5 million for three months ended September 30, 2022 compared to $6.2 million and $0.2 million, respectively, for the three months ended September 30,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General and administrative expenses increased $8.3 million, from $9.4 million for the three months ended September 30, 2021 to $17.7 million for the three months ended September 30, 2022. The increase in general and administrative expenses was primarily due to $5.1 million in employee compensation costs driven by headcount growth, approximately $1.8 million in legal, insurance, and professional services driven by operational support and the cost of operating as a public company, and $1.4 million in facilities costs and other expenses.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2022 and 2021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59,598</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32,395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27,203</w:t>
            </w: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84.0 %</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44,568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26,195</w:t>
            </w: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142.6 %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104,166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53,398</w:t>
            </w: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xml:space="preserve">105.2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(104,166</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(50,768</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(53,398</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(19 )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(29 )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-127.6 %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(102,072 )</w:t>
            </w:r>
          </w:p>
        </w:tc>
        <w:tc>
          <w:tcPr>
            <w:tcW w:w="36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(50,816 )</w:t>
            </w:r>
          </w:p>
        </w:tc>
        <w:tc>
          <w:tcPr>
            <w:tcW w:w="18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(51,256 )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175"/>
        </w:trPr>
        <w:tc>
          <w:tcPr>
            <w:tcW w:w="58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Net loss attributable to redeemable convertible</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(2,109 )</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820" w:type="dxa"/>
            <w:vAlign w:val="bottom"/>
          </w:tcPr>
          <w:p>
            <w:pPr>
              <w:ind w:left="20"/>
              <w:spacing w:after="0" w:line="175" w:lineRule="exact"/>
              <w:rPr>
                <w:sz w:val="20"/>
                <w:szCs w:val="20"/>
                <w:color w:val="auto"/>
              </w:rPr>
            </w:pPr>
            <w:r>
              <w:rPr>
                <w:rFonts w:ascii="Arial" w:cs="Arial" w:eastAsia="Arial" w:hAnsi="Arial"/>
                <w:sz w:val="18"/>
                <w:szCs w:val="18"/>
                <w:color w:val="auto"/>
              </w:rPr>
              <w:t>Exchange of redeemable noncontrolling interest</w:t>
            </w:r>
          </w:p>
        </w:tc>
        <w:tc>
          <w:tcPr>
            <w:tcW w:w="260" w:type="dxa"/>
            <w:vAlign w:val="bottom"/>
          </w:tcPr>
          <w:p>
            <w:pPr>
              <w:spacing w:after="0"/>
              <w:rPr>
                <w:sz w:val="15"/>
                <w:szCs w:val="15"/>
                <w:color w:val="auto"/>
              </w:rPr>
            </w:pPr>
          </w:p>
        </w:tc>
        <w:tc>
          <w:tcPr>
            <w:tcW w:w="114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2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(99,994 )</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99,994</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160"/>
              <w:spacing w:after="0"/>
              <w:rPr>
                <w:sz w:val="20"/>
                <w:szCs w:val="20"/>
                <w:color w:val="auto"/>
              </w:rPr>
            </w:pPr>
            <w:r>
              <w:rPr>
                <w:rFonts w:ascii="Arial" w:cs="Arial" w:eastAsia="Arial" w:hAnsi="Arial"/>
                <w:sz w:val="18"/>
                <w:szCs w:val="18"/>
                <w:color w:val="auto"/>
              </w:rPr>
              <w:t>shares – deemed dividend</w:t>
            </w: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stockholders/members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(102,072</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(148,701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46,629</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-1533525</wp:posOffset>
            </wp:positionV>
            <wp:extent cx="7132320" cy="8572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572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4" w:lineRule="exact"/>
        <w:rPr>
          <w:sz w:val="20"/>
          <w:szCs w:val="20"/>
          <w:color w:val="auto"/>
        </w:rPr>
      </w:pPr>
    </w:p>
    <w:p>
      <w:pPr>
        <w:ind w:left="520"/>
        <w:spacing w:after="0"/>
        <w:tabs>
          <w:tab w:leader="none" w:pos="820" w:val="left"/>
        </w:tabs>
        <w:rPr>
          <w:sz w:val="20"/>
          <w:szCs w:val="20"/>
          <w:color w:val="auto"/>
        </w:rPr>
      </w:pPr>
      <w:r>
        <w:rPr>
          <w:rFonts w:ascii="Arial" w:cs="Arial" w:eastAsia="Arial" w:hAnsi="Arial"/>
          <w:sz w:val="18"/>
          <w:szCs w:val="18"/>
          <w:color w:val="auto"/>
        </w:rPr>
        <w:t>*</w:t>
        <w:tab/>
        <w:t>Percentage not meaningful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Research and development expenses increased $27.2 million, from $32.4 million for the nine months ended September 30, 2021 to $59.6 million for the nine months ended September 30, 2022. In the nine months ended September 30, 2022 as compared to September 30, 2021, third-party expenses increased by $19.3 million, due primarily to an increase in clinical trial, manufacturing, and other product development expenses, and personnel related expenses increased by $14.1 million resulting from additional headcount and stock-based compensation. License agreement payments decreased by approximately $8.5 million primarily due to the upfront payment made to Merck KGaA for the nine months ended September 30, 2022.</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30" w:name="page31"/>
    <w:bookmarkEnd w:id="30"/>
    <w:p>
      <w:pPr>
        <w:ind w:left="520"/>
        <w:spacing w:after="0"/>
        <w:rPr>
          <w:sz w:val="20"/>
          <w:szCs w:val="20"/>
          <w:color w:val="auto"/>
        </w:rPr>
      </w:pPr>
      <w:r>
        <w:rPr>
          <w:rFonts w:ascii="Arial" w:cs="Arial" w:eastAsia="Arial" w:hAnsi="Arial"/>
          <w:sz w:val="16"/>
          <w:szCs w:val="16"/>
          <w:color w:val="auto"/>
        </w:rPr>
        <w:t>The following table summarizes our external and internal research and development expenses for the nine months ended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97"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4"/>
              </w:rPr>
              <w:t>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External costs: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Third-party CRO, CMO and other third-party clinical trial costs (1)</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33,909</w:t>
            </w:r>
          </w:p>
        </w:tc>
        <w:tc>
          <w:tcPr>
            <w:tcW w:w="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14,555</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Milestone payment related to the MRKDG License Agreement</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Upfront payment related to the MRKDG License Agreement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Milestone payment related to the Viracta License Agreement</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Other research and development costs, including laboratory materials and supplies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Internal costs: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Employee related expenses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20,941</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59,598</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520" w:right="300" w:hanging="512"/>
        <w:spacing w:after="0" w:line="248"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CRO, CMO and other clinical trial costs for the tovorafenib (DAY 101) program and the pimasertib program were $29.8 million and $4.1 million for nine months ended September 30, 2022 compared to $13.9 million and $0.7 million, respectively, for the nine months ended September 30, 2021.</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General and administrative expenses increased $26.2 million, from $18.4 million for the nine months ended September 30, 2021 to $44.6 million for the nine months ended September 30, 2022. The increase in general and administrative expenses was primarily due to $14.5 million in employee compensation costs driven by headcount growth, approximately $7.8 million in legal, insurance, and professional services driven by operational support and the cost of operating as a public company, and $3.9 million in facilities costs and other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In June 2022, we entered into an equity distribution agreement with Piper Sandler &amp; Co. and JonesTrading Institutional Services LLC, as sales agents, relating to the issuance and sale of shares of our common stock having an aggregate offering price of up to $150.0 million from time to time, or the 2022 ATM. The issuance and sale of these shares by us pursuant to the 2022 ATM were deemed an “at-the-market” offering under the Securities Act. As of September 30, 2022, we have not sold any shares of our common stock under the 2022 ATM.</w:t>
      </w:r>
    </w:p>
    <w:p>
      <w:pPr>
        <w:spacing w:after="0" w:line="72"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In June 2022, we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290"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In June 2021, we completed our IPO and sold an aggregate of 11,500,000 shares of common stock at a price to the public of $16.00 per share, which included 1,500,000 shares issued upon the full exercise by the underwriters in May 2021 of their option to purchase additional shares of common stock. We received aggregate net proceeds from the IPO of $167.0 million, after deducting underwriting discounts, commissions, and offering costs of $17.0 million. Prior to our IPO, we had funded our operations through the sale of our redeemable convertible preferred shares and convertible notes. We had previously raised approximately $192.0 million in gross proceeds from the sale and issuance of our Series A and Series B redeemable convertible preferred shares and convertible notes. As of September 30, 2022, we had an accumulated deficit of $229.6 million and $374.3 million in cash and cash equivalents and short-term investments. We believe our cash and cash equivalents and short-term investments will be sufficient to satisfy our cash requirements over the next 12 months and into 2025.</w:t>
      </w:r>
    </w:p>
    <w:p>
      <w:pPr>
        <w:spacing w:after="0" w:line="175" w:lineRule="exact"/>
        <w:rPr>
          <w:sz w:val="20"/>
          <w:szCs w:val="20"/>
          <w:color w:val="auto"/>
        </w:rPr>
      </w:pPr>
    </w:p>
    <w:p>
      <w:pPr>
        <w:ind w:right="140" w:firstLine="509"/>
        <w:spacing w:after="0" w:line="268" w:lineRule="auto"/>
        <w:rPr>
          <w:sz w:val="20"/>
          <w:szCs w:val="20"/>
          <w:color w:val="auto"/>
        </w:rPr>
      </w:pPr>
      <w:r>
        <w:rPr>
          <w:rFonts w:ascii="Arial" w:cs="Arial" w:eastAsia="Arial" w:hAnsi="Arial"/>
          <w:sz w:val="17"/>
          <w:szCs w:val="17"/>
          <w:color w:val="auto"/>
        </w:rPr>
        <w:t>Our primary use of cash is to fund operating expenses, which consist primarily of research and development expenditures including our license, clinical trial, and laboratory costs as well as to a lesser extent, general and administrative expenditures including our salary and consulting expenses.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Leases</w:t>
      </w:r>
    </w:p>
    <w:p>
      <w:pPr>
        <w:spacing w:after="0" w:line="320" w:lineRule="exact"/>
        <w:rPr>
          <w:sz w:val="20"/>
          <w:szCs w:val="20"/>
          <w:color w:val="auto"/>
        </w:rPr>
      </w:pPr>
    </w:p>
    <w:p>
      <w:pPr>
        <w:ind w:right="980" w:firstLine="509"/>
        <w:spacing w:after="0" w:line="261" w:lineRule="auto"/>
        <w:rPr>
          <w:sz w:val="20"/>
          <w:szCs w:val="20"/>
          <w:color w:val="auto"/>
        </w:rPr>
      </w:pPr>
      <w:r>
        <w:rPr>
          <w:rFonts w:ascii="Arial" w:cs="Arial" w:eastAsia="Arial" w:hAnsi="Arial"/>
          <w:sz w:val="18"/>
          <w:szCs w:val="18"/>
          <w:color w:val="auto"/>
        </w:rPr>
        <w:t>We have operating lease obligations for office spaces. As of September 30, 2022, the Company had fixed lease payment obligations of approximately $0.5 million payable within 12 months.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Organizations and Contract Manufacturing Organizations</w:t>
      </w:r>
    </w:p>
    <w:p>
      <w:pPr>
        <w:spacing w:after="0" w:line="320"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We enter into contracts in the normal course of business with CROs, CMOs, and other third-party vendors for clinical trial, manufacturing, testing, and other research and development activities. These contracts generally provide for termination on notice, with the exception of one vendor with a potential termination fee if a purchase order is cancelled within a specified time, and another vendor where labor costs are non-cancellable after the approval of the project plan. As of September 30, 2022, there were no amounts accrued related to termination and cancellation charges as these are not probable.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306"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We have entered into licensing agreements, which require us to pay milestones contingent upon meeting of specific events. We made a milestone payment of $2.5 million in the second quarter of 2022 related to the first dosing of a patient in a first clinical trial of a product containing pimasertib. We are required to pay royalties on sales of products developed under these agreements. All our products are in development as of September 30, 2022 and no such royalties are due. As of September 30, 2022, we do not have any contingent payment obligations since the amount, timing and likelihood of such payments are not known.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the periods presented:</w:t>
      </w:r>
    </w:p>
    <w:p>
      <w:pPr>
        <w:spacing w:after="0" w:line="244"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(74,564</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(35,370</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(252,864 )</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(8,000 )</w:t>
            </w:r>
          </w:p>
        </w:tc>
      </w:tr>
      <w:tr>
        <w:trPr>
          <w:trHeight w:val="216"/>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163,983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296,802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(163,445 )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253,432</w:t>
            </w:r>
          </w:p>
        </w:tc>
        <w:tc>
          <w:tcPr>
            <w:tcW w:w="8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Net cash used in operating activities for the nine months ended September 30, 2022 was $74.6 million, consisting of our net loss of $102.1 million, changes of approximately $7.8 million in net operating assets and liabilities and by non-cash charges of $19.7 million, which is primarily comprised of stock-based compensation expense of $20.4 million. Changes in operating assets and liabilities were primarily related to an increase in accrued expenses and other current liabilities of $7.1 million and an increase of accounts payable of $2.2 million. This was partially offset by an increase to prepaid expenses and other assets of $1.1 million, an increase to deposits and other long-term assets of $0.3 million, and an increase to operating lease liabilities of $0.2 million.</w:t>
      </w:r>
    </w:p>
    <w:p>
      <w:pPr>
        <w:spacing w:after="0" w:line="79"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Net cash used in operating activities for the nine months ended September 30, 2021 was $35.4 million, consisting of our net loss of $50.8 million, net decrease of $0.9 million in net operating assets and liabilities, partially offset by non-cash charges of $16.4 million. Changes in operating assets and liabilities were primarily related to an increase in prepaid expenses and other current assets of $4.8 million, which includes $3.0 million prepayment of the Viracta license milestone, partially offset by an increase in accrued expenses and other current liabilities of $3.6 million. Our non-cash charges primarily consisted $8.2 million in share-based compensation expense. We also paid $8.0 million related to the MRKDG License Agreement, which was recognized as research and development expenses and presented in investing activities in our condensed consolidated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00" w:firstLine="509"/>
        <w:spacing w:after="0" w:line="245" w:lineRule="auto"/>
        <w:rPr>
          <w:sz w:val="20"/>
          <w:szCs w:val="20"/>
          <w:color w:val="auto"/>
        </w:rPr>
      </w:pPr>
      <w:r>
        <w:rPr>
          <w:rFonts w:ascii="Arial" w:cs="Arial" w:eastAsia="Arial" w:hAnsi="Arial"/>
          <w:sz w:val="18"/>
          <w:szCs w:val="18"/>
          <w:color w:val="auto"/>
        </w:rPr>
        <w:t>For the nine months ended September 30, 2022, we had $252.9 million in net cash used in investing activities that was related to the purchase of short-term investments and property and equipment expenditures of $272.9 million. This was partially offset by the proceeds from the maturity of short-term investments of $20.0 million.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2" w:name="page33"/>
    <w:bookmarkEnd w:id="32"/>
    <w:p>
      <w:pPr>
        <w:ind w:right="20" w:firstLine="509"/>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2021 was $8.0 million, attributable to the payment under the MRKDG License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jc w:val="both"/>
        <w:ind w:right="140" w:firstLine="509"/>
        <w:spacing w:after="0" w:line="249" w:lineRule="auto"/>
        <w:rPr>
          <w:sz w:val="20"/>
          <w:szCs w:val="20"/>
          <w:color w:val="auto"/>
        </w:rPr>
      </w:pPr>
      <w:r>
        <w:rPr>
          <w:rFonts w:ascii="Arial" w:cs="Arial" w:eastAsia="Arial" w:hAnsi="Arial"/>
          <w:sz w:val="18"/>
          <w:szCs w:val="18"/>
          <w:color w:val="auto"/>
        </w:rPr>
        <w:t>Cash provided by financing activities for the nine months ended September 30, 2022 was $164.0 million, primarily attributable to the net proceeds from the issuance of common stock in connection with our follow-on offering of common stock. Additionally, there was $2.4 million of net cash provided by financing activities related to proceeds from the issuance of common stock upon stock option exercises and purchases made under our 2021 Employee Stock Purchase Plan.</w:t>
      </w:r>
    </w:p>
    <w:p>
      <w:pPr>
        <w:spacing w:after="0" w:line="8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Cash provided by financing activities for the nine months ended September 30, 2021 was $296.8 million, attributable to $167.0 million related to the net proceeds from the issuance of common stock in connection with the IPO, and $129.8 million related to the net proceeds from the sale and issuance of Series B redeemable convertible preferred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Since our inception, we have incurred significant operating losses. We expect to continue to incur significant expenses and increasing operating losses for the foreseeable future in connection with our ongoing activities.</w:t>
      </w:r>
    </w:p>
    <w:p>
      <w:pPr>
        <w:spacing w:after="0" w:line="171" w:lineRule="exact"/>
        <w:rPr>
          <w:sz w:val="20"/>
          <w:szCs w:val="20"/>
          <w:color w:val="auto"/>
        </w:rPr>
      </w:pPr>
    </w:p>
    <w:p>
      <w:pPr>
        <w:ind w:right="300" w:firstLine="509"/>
        <w:spacing w:after="0" w:line="256" w:lineRule="auto"/>
        <w:rPr>
          <w:sz w:val="20"/>
          <w:szCs w:val="20"/>
          <w:color w:val="auto"/>
        </w:rPr>
      </w:pPr>
      <w:r>
        <w:rPr>
          <w:rFonts w:ascii="Arial" w:cs="Arial" w:eastAsia="Arial" w:hAnsi="Arial"/>
          <w:sz w:val="18"/>
          <w:szCs w:val="18"/>
          <w:color w:val="auto"/>
        </w:rPr>
        <w:t>We believe our existing cash, cash equivalents, and short-term investments will enable us to fund our operating expenses and capital expenditure requirements into 2025. We have based this estimate on assumptions that may prove to be imprecise, and we could use our available capital resources sooner than we currently expect.</w:t>
      </w:r>
    </w:p>
    <w:p>
      <w:pPr>
        <w:spacing w:after="0" w:line="175"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As a result of anticipated expenditures, we will need to obtain substantial additional financing in connection with our continuing operations. Until such time, if ever, as we cannot generate substantial revenue from product sales,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73"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1"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75"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cannot assure you that we will ever be profitable or generate positive cash flow from operating activities.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We did not during the periods presented, and we do not currently have, any off-balance sheet arrangements, as defined in the rules and regulations of the SEC.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08" w:lineRule="exact"/>
        <w:rPr>
          <w:sz w:val="20"/>
          <w:szCs w:val="20"/>
          <w:color w:val="auto"/>
        </w:rPr>
      </w:pPr>
    </w:p>
    <w:p>
      <w:pPr>
        <w:ind w:right="40" w:firstLine="509"/>
        <w:spacing w:after="0" w:line="250" w:lineRule="auto"/>
        <w:rPr>
          <w:sz w:val="20"/>
          <w:szCs w:val="20"/>
          <w:color w:val="auto"/>
        </w:rPr>
      </w:pPr>
      <w:r>
        <w:rPr>
          <w:rFonts w:ascii="Arial" w:cs="Arial" w:eastAsia="Arial" w:hAnsi="Arial"/>
          <w:sz w:val="18"/>
          <w:szCs w:val="18"/>
          <w:color w:val="auto"/>
        </w:rPr>
        <w:t>Our critical accounting policies are disclosed in our audited consolidated financial statements for the year ended December 31, 2021, and the related notes, included in our Annual Report.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Refer to Note 2 of the notes to our unaudited condensed consolidated financial statements included elsewhere in this Quarterly Report on Form 10-Q for a summary of recently issued and adopted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60" w:firstLine="509"/>
        <w:spacing w:after="0" w:line="271" w:lineRule="auto"/>
        <w:rPr>
          <w:sz w:val="20"/>
          <w:szCs w:val="20"/>
          <w:color w:val="auto"/>
        </w:rPr>
      </w:pPr>
      <w:r>
        <w:rPr>
          <w:rFonts w:ascii="Arial" w:cs="Arial" w:eastAsia="Arial" w:hAnsi="Arial"/>
          <w:sz w:val="16"/>
          <w:szCs w:val="16"/>
          <w:color w:val="auto"/>
        </w:rPr>
        <w:t>As an emerging growth company, or EGC, under the Jumpstart Our Business Startups Act of 2012, or JOBS Act, we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As of September 30, 2022, management, with the participation of our Principal Executive Officer and Principal Financial and Accounting Officer, performed an evaluation of the effectiveness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September 30, 2022, our disclosure controls and procedures were effective at a reasonable assurance level.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several risks and uncertainties, including those immediately following this summary. Some of these risks are:</w:t>
      </w:r>
    </w:p>
    <w:p>
      <w:pPr>
        <w:spacing w:after="0" w:line="104" w:lineRule="exact"/>
        <w:rPr>
          <w:sz w:val="20"/>
          <w:szCs w:val="20"/>
          <w:color w:val="auto"/>
        </w:rPr>
      </w:pPr>
    </w:p>
    <w:p>
      <w:pPr>
        <w:ind w:left="520" w:right="20" w:hanging="512"/>
        <w:spacing w:after="0" w:line="256"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limited operating history, have not completed any clinical trials beyond Phase 1 and enrollment of Phase 2, have no products approved for commercial sale and have not generated any revenue, which may make it difficult for investors to evaluate our current business and likelihood of success and viability.</w:t>
      </w:r>
    </w:p>
    <w:p>
      <w:pPr>
        <w:spacing w:after="0" w:line="66" w:lineRule="exact"/>
        <w:rPr>
          <w:rFonts w:ascii="Arial" w:cs="Arial" w:eastAsia="Arial" w:hAnsi="Arial"/>
          <w:sz w:val="18"/>
          <w:szCs w:val="18"/>
          <w:color w:val="auto"/>
        </w:rPr>
      </w:pPr>
    </w:p>
    <w:p>
      <w:pPr>
        <w:ind w:left="520" w:right="66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have not generated any revenue. We expect to incur continued losses for the foreseeable future and may never achieve or maintain profitability.</w:t>
      </w:r>
    </w:p>
    <w:p>
      <w:pPr>
        <w:spacing w:after="0" w:line="76"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tovorafenib (DAY101), which is currently in clinical development and which has not completed a pivotal trial.</w:t>
      </w:r>
    </w:p>
    <w:p>
      <w:pPr>
        <w:spacing w:after="0" w:line="62" w:lineRule="exact"/>
        <w:rPr>
          <w:rFonts w:ascii="Arial" w:cs="Arial" w:eastAsia="Arial" w:hAnsi="Arial"/>
          <w:sz w:val="18"/>
          <w:szCs w:val="18"/>
          <w:color w:val="auto"/>
        </w:rPr>
      </w:pPr>
    </w:p>
    <w:p>
      <w:pPr>
        <w:ind w:left="520" w:right="18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48" w:lineRule="exact"/>
        <w:rPr>
          <w:rFonts w:ascii="Arial" w:cs="Arial" w:eastAsia="Arial" w:hAnsi="Arial"/>
          <w:sz w:val="18"/>
          <w:szCs w:val="18"/>
          <w:color w:val="auto"/>
        </w:rPr>
      </w:pPr>
    </w:p>
    <w:p>
      <w:pPr>
        <w:ind w:left="520" w:right="20" w:hanging="512"/>
        <w:spacing w:after="0" w:line="248"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87" w:lineRule="exact"/>
        <w:rPr>
          <w:rFonts w:ascii="Arial" w:cs="Arial" w:eastAsia="Arial" w:hAnsi="Arial"/>
          <w:sz w:val="18"/>
          <w:szCs w:val="18"/>
          <w:color w:val="auto"/>
        </w:rPr>
      </w:pPr>
    </w:p>
    <w:p>
      <w:pPr>
        <w:ind w:left="520" w:right="200" w:hanging="512"/>
        <w:spacing w:after="0" w:line="248"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87" w:lineRule="exact"/>
        <w:rPr>
          <w:rFonts w:ascii="Arial" w:cs="Arial" w:eastAsia="Arial" w:hAnsi="Arial"/>
          <w:sz w:val="18"/>
          <w:szCs w:val="18"/>
          <w:color w:val="auto"/>
        </w:rPr>
      </w:pPr>
    </w:p>
    <w:p>
      <w:pPr>
        <w:ind w:left="520" w:right="62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rely on data from an investigator-initiated trial Phase 1 clinical trial in our regulatory filings and we do not control the trial operations or reporting of the results.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demonstrate safety and efficacy to our stakeholders, our reputation may be harmed and our business will suffer.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clinical trials and clinical trial operations.</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and commercialization of pharmaceutical products are subject to extensive regulation, and we may not obtain regulatory approvals for tovorafenib (DAY101), pimasertib or any future product candidates, on a timely basis or at all.</w:t>
      </w:r>
    </w:p>
    <w:p>
      <w:pPr>
        <w:spacing w:after="0" w:line="76"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62"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key employees and to attract, retain and motivate qualified personnel and manage our human capital.</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need to grow the size and capabilities of our organization, and we may experience difficulties in managing this growth.</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6" w:name="page37"/>
    <w:bookmarkEnd w:id="36"/>
    <w:p>
      <w:pPr>
        <w:ind w:left="520" w:right="100" w:hanging="512"/>
        <w:spacing w:after="0" w:line="249"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licensed patents are not sufficiently broad, our competitors could develop and commercialize products and technology similar or identical to ours, and our ability to successfully commercialize our products and technology may be adversely affected.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We have a limited operating history, have not completed any clinical trials beyond Phase 1 and enrollment of a Phase 2, have no products approved for commercial sale and have not generated any revenue, which may make it difficult for investors to evaluate our current business and likelihood of success and viability.</w:t>
      </w:r>
    </w:p>
    <w:p>
      <w:pPr>
        <w:spacing w:after="0" w:line="6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commenced operations in 2018, have no products approved for commercial sale and have never generated any revenue. Investment in drug development is a highly speculative undertaking and involves a substantial degree of risk. To date,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18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Since our inception, we have focused substantially all of our efforts and financial resources on the clinical development of our lead product candidate, tovorafenib (DAY101), initially for relapsed or progressive low-grade gliomas, or pLGGs, and our other current product candidate, pimasertib, an orally available small molecule inhibitor of MEK kinase, which we intend to use in combination with tovorafenib (DAY101) for the treatment of RAS and RAF-dependent tumors. To date, we have financed our operations primarily through the sale and issuance of redeemable convertible preferred shares, convertible notes, and the completion of our initial public offering, or IPO.</w:t>
      </w:r>
    </w:p>
    <w:p>
      <w:pPr>
        <w:spacing w:after="0" w:line="186"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color w:val="auto"/>
        </w:rPr>
        <w:t>We have not yet demonstrated an ability to successfully complete any clinical trials beyond Phase 1,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19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have not generated any revenue. We expect to incur continued losses for the foreseeable future and may never achieve or maintain profitability.</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redeemable convertible preferred shares, our convertible notes and the completion of our IPO. For the nine months ended September 30, 2022 and 2021, we reported a net loss of $102.1 million and $50.8 million, respectively. We had an accumulated deficit of $229.6 million as of September 30, 2022. We expect to incur increasing levels of operating losses for the foreseeable future, particularly as we advance tovorafenib (DAY101)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 and other product candidates, including our ongoing pivotal Phase 2 clinical trial (FIREFLY-1) for tovorafenib (DAY101), our planned Phase 3 clinical trial of tovorafenib (DAY101) as a potential frontline therapy in pLGG, our planned Phase 2 clinical trial of tovorafenib (DAY101) in adult RAS/RAF-altered solid tumors and our Phase 1b/2 trial for tovorafenib (DAY101) and pimasertib, and development of and subsequent Investigational New Drug Applications, or INDs, for any future product candidates we may choose to pursue. In addition, if we obtain marketing approval for tovorafenib (DAY101), pimasertib, or another product candidate, we will incur significant sales, marketing and outsourced manufacturing expenses in connection with the commercialization of tovorafenib (DAY101), pimasertib, or such other product candidate, respectively. We have also incurred, and will continue to incur, additional costs associated with operating as a public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140"/>
        <w:spacing w:after="0" w:line="288" w:lineRule="auto"/>
        <w:rPr>
          <w:sz w:val="20"/>
          <w:szCs w:val="20"/>
          <w:color w:val="auto"/>
        </w:rPr>
      </w:pPr>
      <w:r>
        <w:rPr>
          <w:rFonts w:ascii="Arial" w:cs="Arial" w:eastAsia="Arial" w:hAnsi="Arial"/>
          <w:sz w:val="16"/>
          <w:szCs w:val="16"/>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26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tovorafenib (DAY101), which is currently in clinical development and which has not completed a pivotal trial.</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Our future success is highly dependent on our ability to timely complete successful clinical trials, obtain regulatory approval for, and then successfully commercialize, our product candidates. We are early in our development efforts and our lead product candidate, tovorafenib (DAY101), is currently in a pivotal Phase 2 clinical trial. Our other current product candidate, pimasertib, is in an earlier stage of development. We currently have no products that are approved for sale in any jurisdiction. There can be no assurance that tovorafenib (DAY101), pimasertib or any future product candidates we develop, if any, will achieve success in their clinical trials or obtain regulatory approval.</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ability to generate product revenue, which we do not expect will occur for many years, if ever, will depend heavily on the successful development and eventual commercialization of our lead product candidate, tovorafenib (DAY101). The success of tovorafenib (DAY101), will depend on several factors, including the following:</w:t>
      </w:r>
    </w:p>
    <w:p>
      <w:pPr>
        <w:spacing w:after="0" w:line="67"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and timely completion of current and future clinical trials resulting in attractive, competitive target product profiles;</w:t>
      </w:r>
    </w:p>
    <w:p>
      <w:pPr>
        <w:spacing w:after="0" w:line="103" w:lineRule="exact"/>
        <w:rPr>
          <w:rFonts w:ascii="Arial" w:cs="Arial" w:eastAsia="Arial" w:hAnsi="Arial"/>
          <w:sz w:val="18"/>
          <w:szCs w:val="18"/>
          <w:color w:val="auto"/>
        </w:rPr>
      </w:pPr>
    </w:p>
    <w:p>
      <w:pPr>
        <w:ind w:left="520" w:right="70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NDAs by the U.S. Food and Drug Administration, or FDA, or other similar clinical trial applications from foreign regulatory authorities for our future clinical trials for our pipeline product candidates;</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03"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 and attractive to physicians, patients, advocates, payors and caregivers;</w:t>
      </w:r>
    </w:p>
    <w:p>
      <w:pPr>
        <w:spacing w:after="0" w:line="48" w:lineRule="exact"/>
        <w:rPr>
          <w:rFonts w:ascii="Arial" w:cs="Arial" w:eastAsia="Arial" w:hAnsi="Arial"/>
          <w:sz w:val="18"/>
          <w:szCs w:val="18"/>
          <w:color w:val="auto"/>
        </w:rPr>
      </w:pPr>
    </w:p>
    <w:p>
      <w:pPr>
        <w:ind w:left="520" w:right="340" w:hanging="512"/>
        <w:spacing w:after="0" w:line="291"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or that of our collaborators, to develop and obtain clearance or approval of companion diagnostics, on a timely basis, or at all, and an adequate supply of these companion diagnostics and access to these companion diagnostics that outpaces demand;</w:t>
      </w:r>
    </w:p>
    <w:p>
      <w:pPr>
        <w:spacing w:after="0" w:line="52" w:lineRule="exact"/>
        <w:rPr>
          <w:rFonts w:ascii="Arial" w:cs="Arial" w:eastAsia="Arial" w:hAnsi="Arial"/>
          <w:sz w:val="17"/>
          <w:szCs w:val="17"/>
          <w:color w:val="auto"/>
        </w:rPr>
      </w:pPr>
    </w:p>
    <w:p>
      <w:pPr>
        <w:ind w:left="520" w:right="30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 and available funding to perform any post-marketing commitments;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128" w:lineRule="exact"/>
        <w:rPr>
          <w:rFonts w:ascii="Arial" w:cs="Arial" w:eastAsia="Arial" w:hAnsi="Arial"/>
          <w:sz w:val="17"/>
          <w:szCs w:val="17"/>
          <w:color w:val="auto"/>
        </w:rPr>
      </w:pPr>
    </w:p>
    <w:p>
      <w:pPr>
        <w:ind w:left="520" w:right="26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and ensuring a resilient, effective supply chain that produces supply that outpaces demand;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developing and implementing marketing and reimbursement strategies, as well as adequate demand forecasts for supply and sales planning;</w:t>
      </w:r>
    </w:p>
    <w:p>
      <w:pPr>
        <w:spacing w:after="0" w:line="128" w:lineRule="exact"/>
        <w:rPr>
          <w:rFonts w:ascii="Arial" w:cs="Arial" w:eastAsia="Arial" w:hAnsi="Arial"/>
          <w:sz w:val="17"/>
          <w:szCs w:val="17"/>
          <w:color w:val="auto"/>
        </w:rPr>
      </w:pPr>
    </w:p>
    <w:p>
      <w:pPr>
        <w:ind w:left="520" w:right="160" w:hanging="512"/>
        <w:spacing w:after="0" w:line="248"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 and rep access to major institutions remains uncertain;</w:t>
      </w:r>
    </w:p>
    <w:p>
      <w:pPr>
        <w:spacing w:after="0" w:line="87"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 underpinned by adequate health economic data and a meaningful value proposition;</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those that have not yet entered the market;</w:t>
      </w:r>
    </w:p>
    <w:p>
      <w:pPr>
        <w:spacing w:after="0" w:line="117" w:lineRule="exact"/>
        <w:rPr>
          <w:rFonts w:ascii="Arial" w:cs="Arial" w:eastAsia="Arial" w:hAnsi="Arial"/>
          <w:sz w:val="18"/>
          <w:szCs w:val="18"/>
          <w:color w:val="auto"/>
        </w:rPr>
      </w:pPr>
    </w:p>
    <w:p>
      <w:pPr>
        <w:ind w:left="520" w:right="480" w:hanging="512"/>
        <w:spacing w:after="0" w:line="291"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effectively competing with other companies in the pharmaceutical and biotechnology industries, which are characterized by rapidly advancing technologies, intense competition and a strong emphasis on proprietary and novel products and product candidates;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obtaining and maintaining third-party payor coverage and adequate reimbursement in both public and private payor spaces across multiple countries;</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appropriate support from patient advocacy organizations;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ind w:left="520" w:hanging="512"/>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effectively shaping the market in the early years following launch to help providers understand a new way of thinking about treating these patients;</w:t>
      </w:r>
    </w:p>
    <w:p>
      <w:pPr>
        <w:spacing w:after="0" w:line="140" w:lineRule="exact"/>
        <w:rPr>
          <w:rFonts w:ascii="Arial" w:cs="Arial" w:eastAsia="Arial" w:hAnsi="Arial"/>
          <w:sz w:val="16"/>
          <w:szCs w:val="16"/>
          <w:color w:val="auto"/>
        </w:rPr>
      </w:pPr>
    </w:p>
    <w:p>
      <w:pPr>
        <w:ind w:left="520" w:right="24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addressing any delays in our ongoing and planned clinical trials resulting from factors related to any major natural disaster or significant political event, including the COVID-19 pandemic and the war in Ukraine;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32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 for tovorafenib (DAY101) and Phase 1b/2 trial of tovorafenib (DAY101) as a monotherapy and in combination with pimasertib do not meet the clinical endpoints.</w:t>
      </w:r>
    </w:p>
    <w:p>
      <w:pPr>
        <w:spacing w:after="0" w:line="2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business depends entirely on the successful discovery or identification, development and commercialization of product candidates. We have no products approved for commercial sale and do not anticipate generating any revenue from product sales for the next several years, if ever. We do not expect to generate significant revenue unless and until we obtain marketing approval for, and begin to sell, tovorafenib (DAY101), pimasertib, or another product candidate. Our ability to generate revenue and achieve profitability depends on several factors, including, but not limited to, our ability to:</w:t>
      </w:r>
    </w:p>
    <w:p>
      <w:pPr>
        <w:spacing w:after="0" w:line="42" w:lineRule="exact"/>
        <w:rPr>
          <w:sz w:val="20"/>
          <w:szCs w:val="20"/>
          <w:color w:val="auto"/>
        </w:rPr>
      </w:pPr>
    </w:p>
    <w:p>
      <w:pPr>
        <w:ind w:left="520" w:right="54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 a successful pivotal Phase 2 trial with tovorafenib (DAY101) that achieves a competitive, clinically meaningful and generally well-tolerated target product profile;</w:t>
      </w:r>
    </w:p>
    <w:p>
      <w:pPr>
        <w:spacing w:after="0" w:line="48" w:lineRule="exact"/>
        <w:rPr>
          <w:rFonts w:ascii="Arial" w:cs="Arial" w:eastAsia="Arial" w:hAnsi="Arial"/>
          <w:sz w:val="18"/>
          <w:szCs w:val="18"/>
          <w:color w:val="auto"/>
        </w:rPr>
      </w:pPr>
    </w:p>
    <w:p>
      <w:pPr>
        <w:ind w:left="520" w:right="12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 a successful Phase 1b/2 trial of tovorafenib (DAY101) as monotherapy and in combination with pimasertib in patients 12 years and older with tumors having activated RAF signaling;</w:t>
      </w:r>
    </w:p>
    <w:p>
      <w:pPr>
        <w:spacing w:after="0" w:line="76" w:lineRule="exact"/>
        <w:rPr>
          <w:rFonts w:ascii="Arial" w:cs="Arial" w:eastAsia="Arial" w:hAnsi="Arial"/>
          <w:sz w:val="18"/>
          <w:szCs w:val="18"/>
          <w:color w:val="auto"/>
        </w:rPr>
      </w:pPr>
    </w:p>
    <w:p>
      <w:pPr>
        <w:ind w:left="520" w:right="54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 a successful pivotal Phase 3 trial with tovorafenib (DAY101) that achieves a competitive, clinically meaningful and generally well-tolerated target product profile in front-line pLGG;</w:t>
      </w:r>
    </w:p>
    <w:p>
      <w:pPr>
        <w:spacing w:after="0" w:line="62" w:lineRule="exact"/>
        <w:rPr>
          <w:rFonts w:ascii="Arial" w:cs="Arial" w:eastAsia="Arial" w:hAnsi="Arial"/>
          <w:sz w:val="18"/>
          <w:szCs w:val="18"/>
          <w:color w:val="auto"/>
        </w:rPr>
      </w:pPr>
    </w:p>
    <w:p>
      <w:pPr>
        <w:ind w:left="520" w:right="74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and other studies required to obtain U.S. and foreign marketing approval for tovorafenib (DAY101) as a treatment for patients with pLGGs;</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03" w:lineRule="exact"/>
        <w:rPr>
          <w:rFonts w:ascii="Arial" w:cs="Arial" w:eastAsia="Arial" w:hAnsi="Arial"/>
          <w:sz w:val="18"/>
          <w:szCs w:val="18"/>
          <w:color w:val="auto"/>
        </w:rPr>
      </w:pPr>
    </w:p>
    <w:p>
      <w:pPr>
        <w:ind w:left="520" w:right="64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favorable results from our clinical trials and apply for and obtain marketing approval for tovorafenib (DAY101) and pimasertib from applicable regulatory authorities, including NDAs, from the FDA, and maintaining such approvals;</w:t>
      </w:r>
    </w:p>
    <w:p>
      <w:pPr>
        <w:spacing w:after="0" w:line="76"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allow for the commercialization of our product candidates and/or may increase the value of our programs;</w:t>
      </w:r>
    </w:p>
    <w:p>
      <w:pPr>
        <w:spacing w:after="0" w:line="62" w:lineRule="exact"/>
        <w:rPr>
          <w:rFonts w:ascii="Arial" w:cs="Arial" w:eastAsia="Arial" w:hAnsi="Arial"/>
          <w:sz w:val="18"/>
          <w:szCs w:val="18"/>
          <w:color w:val="auto"/>
        </w:rPr>
      </w:pPr>
    </w:p>
    <w:p>
      <w:pPr>
        <w:ind w:left="520" w:right="480" w:hanging="512"/>
        <w:spacing w:after="0" w:line="30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 and maintain viable supply and manufacturing relationships with third parties that can provide adequate, in both amount and quality, products and services to support clinical development and meet the market demand for our product candidates, if approved;</w:t>
      </w:r>
    </w:p>
    <w:p>
      <w:pPr>
        <w:spacing w:after="0" w:line="24" w:lineRule="exact"/>
        <w:rPr>
          <w:rFonts w:ascii="Arial" w:cs="Arial" w:eastAsia="Arial" w:hAnsi="Arial"/>
          <w:sz w:val="17"/>
          <w:szCs w:val="17"/>
          <w:color w:val="auto"/>
        </w:rPr>
      </w:pPr>
    </w:p>
    <w:p>
      <w:pPr>
        <w:ind w:left="520" w:right="6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commercialize tovorafenib (DAY101), pimasertib, and any future product candidates we may develop, if approved, by building a sales force or entering into collaborations with third parties;</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satisfy any required post-marketing approval commitments to applicable regulatory authorities;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a continued acceptable safety profile following any marketing approval of our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assess and develop new product candidates;</w:t>
      </w:r>
    </w:p>
    <w:p>
      <w:pPr>
        <w:spacing w:after="0" w:line="117"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and maintain patent and trade secret protection or regulatory exclusivity for our product candidates; maintain an acceptable safety profile of our products, including pimasertib;</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 any competing therapies and technological and market developments;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9" w:name="page40"/>
    <w:bookmarkEnd w:id="39"/>
    <w:p>
      <w:pPr>
        <w:ind w:left="520" w:right="30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market acceptance of tovorafenib (DAY101) or pimasertib and our other successful product candidates, if any, with patients, the medical community and third-party payors, both in the United States and internationally; and</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2"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To become and remain profitable, we must succeed in designing, developing and eventually commercializing products that generate significant revenue. This will require us to be successful in a range of challenging activities, including completing clinical trials for our product candidates, designing and/or acquiring additional product candidates, establishing arrangements with third parties for the manufacture of clinical supplies of our product candidates, obtaining marketing approval for our product candidates and manufacturing, retaining intellectual property or marketing exclusivity, or marketing and selling any products for which we may obtain marketing approval, if any. We are in the earlier stages of most of these activities. We may never succeed in these activities and, even if we do, may never generate revenues that are significant enough to achieve profitability.</w:t>
      </w:r>
    </w:p>
    <w:p>
      <w:pPr>
        <w:spacing w:after="0" w:line="15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duration of treatment that physicians believe is appropriate for our product, the speed of physician adoption,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payor decisions or treatment guidelines, we may not generate significant revenue from sales of such products, even if approved.</w:t>
      </w:r>
    </w:p>
    <w:p>
      <w:pPr>
        <w:spacing w:after="0" w:line="173" w:lineRule="exact"/>
        <w:rPr>
          <w:sz w:val="20"/>
          <w:szCs w:val="20"/>
          <w:color w:val="auto"/>
        </w:rPr>
      </w:pPr>
    </w:p>
    <w:p>
      <w:pPr>
        <w:jc w:val="both"/>
        <w:ind w:right="80"/>
        <w:spacing w:after="0" w:line="249" w:lineRule="auto"/>
        <w:rPr>
          <w:sz w:val="20"/>
          <w:szCs w:val="20"/>
          <w:color w:val="auto"/>
        </w:rPr>
      </w:pPr>
      <w:r>
        <w:rPr>
          <w:rFonts w:ascii="Arial" w:cs="Arial" w:eastAsia="Arial" w:hAnsi="Arial"/>
          <w:sz w:val="18"/>
          <w:szCs w:val="18"/>
          <w:color w:val="auto"/>
        </w:rPr>
        <w:t>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p>
    <w:p>
      <w:pPr>
        <w:spacing w:after="0" w:line="181"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tovorafenib (DAY101), pimasertib, and any future product candidates through clinical development. We expect increased expenses as we continue our research and development, initiate additional clinical trials, seek to expand our product pipeline, seek marketing approval for our lead programs and future product candidates, if any, and invest in our organization. In addition, if we obtain marketing approval for any of our product candidates, we expect to incur significant commercialization expenses related to product manufacturing, marketing, sales and distribution.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w:t>
      </w:r>
    </w:p>
    <w:p>
      <w:pPr>
        <w:spacing w:after="0" w:line="19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 Our ability to raise capital may be adversely impacted by potential worsening global economic conditions and disruptions to and volatility in the credit and financial markets in the United States and worldwide resulting from the ongoing COVID-19 pandemic, inflation, changes in interest rates, geopolitical instability, including the war in Ukraine, or otherwise.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right="100"/>
        <w:spacing w:after="0" w:line="249" w:lineRule="auto"/>
        <w:rPr>
          <w:sz w:val="20"/>
          <w:szCs w:val="20"/>
          <w:color w:val="auto"/>
        </w:rPr>
      </w:pPr>
      <w:r>
        <w:rPr>
          <w:rFonts w:ascii="Arial" w:cs="Arial" w:eastAsia="Arial" w:hAnsi="Arial"/>
          <w:sz w:val="18"/>
          <w:szCs w:val="18"/>
          <w:color w:val="auto"/>
        </w:rPr>
        <w:t>We had $374.3 million in cash and cash equivalents and short-term investments as of September 30, 2022. We believe that our existing cash, and cash equivalents, will enable us to fund our operating expenses, and capital expenditure requirements into 2025.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74"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timing and results of preclinical studies and clinical trials for our current or any future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17"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development requirements of current or future product candidates that we may pursue, and other indications for our current product candidates that we may pursue;</w:t>
      </w:r>
    </w:p>
    <w:p>
      <w:pPr>
        <w:spacing w:after="0" w:line="62"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76" w:lineRule="exact"/>
        <w:rPr>
          <w:rFonts w:ascii="Arial" w:cs="Arial" w:eastAsia="Arial" w:hAnsi="Arial"/>
          <w:sz w:val="18"/>
          <w:szCs w:val="18"/>
          <w:color w:val="auto"/>
        </w:rPr>
      </w:pPr>
    </w:p>
    <w:p>
      <w:pPr>
        <w:ind w:left="520" w:right="600" w:hanging="512"/>
        <w:spacing w:after="0" w:line="261"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62" w:lineRule="exact"/>
        <w:rPr>
          <w:rFonts w:ascii="Arial" w:cs="Arial" w:eastAsia="Arial" w:hAnsi="Arial"/>
          <w:sz w:val="18"/>
          <w:szCs w:val="18"/>
          <w:color w:val="auto"/>
        </w:rPr>
      </w:pPr>
    </w:p>
    <w:p>
      <w:pPr>
        <w:ind w:left="520" w:right="34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48" w:lineRule="exact"/>
        <w:rPr>
          <w:rFonts w:ascii="Arial" w:cs="Arial" w:eastAsia="Arial" w:hAnsi="Arial"/>
          <w:sz w:val="18"/>
          <w:szCs w:val="18"/>
          <w:color w:val="auto"/>
        </w:rPr>
      </w:pPr>
    </w:p>
    <w:p>
      <w:pPr>
        <w:ind w:left="520" w:hanging="512"/>
        <w:spacing w:after="0" w:line="303" w:lineRule="auto"/>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the extent we pursue strategic collaborations, including collaborations to commercialize tovorafenib (DAY101), pimasertib, or any of our future pipeline product candidates, in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32" w:lineRule="exact"/>
        <w:rPr>
          <w:rFonts w:ascii="Arial" w:cs="Arial" w:eastAsia="Arial" w:hAnsi="Arial"/>
          <w:sz w:val="16"/>
          <w:szCs w:val="16"/>
          <w:color w:val="auto"/>
        </w:rPr>
      </w:pPr>
    </w:p>
    <w:p>
      <w:pPr>
        <w:ind w:left="520" w:right="140" w:hanging="512"/>
        <w:spacing w:after="0" w:line="261"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market access and distribution capabilities;</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03" w:lineRule="exact"/>
        <w:rPr>
          <w:rFonts w:ascii="Arial" w:cs="Arial" w:eastAsia="Arial" w:hAnsi="Arial"/>
          <w:sz w:val="18"/>
          <w:szCs w:val="18"/>
          <w:color w:val="auto"/>
        </w:rPr>
      </w:pPr>
    </w:p>
    <w:p>
      <w:pPr>
        <w:ind w:left="520" w:right="660" w:hanging="512"/>
        <w:spacing w:after="0" w:line="261"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tovorafenib (DAY101), pimasertib or any of our future product candidates if any are approved, or any future pipeline product candidates that receive marketing approval;</w:t>
      </w:r>
    </w:p>
    <w:p>
      <w:pPr>
        <w:spacing w:after="0" w:line="76" w:lineRule="exact"/>
        <w:rPr>
          <w:rFonts w:ascii="Arial" w:cs="Arial" w:eastAsia="Arial" w:hAnsi="Arial"/>
          <w:sz w:val="18"/>
          <w:szCs w:val="18"/>
          <w:color w:val="auto"/>
        </w:rPr>
      </w:pPr>
    </w:p>
    <w:p>
      <w:pPr>
        <w:ind w:left="520" w:right="760" w:hanging="512"/>
        <w:spacing w:after="0" w:line="324" w:lineRule="auto"/>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16" w:lineRule="exact"/>
        <w:rPr>
          <w:rFonts w:ascii="Arial" w:cs="Arial" w:eastAsia="Arial" w:hAnsi="Arial"/>
          <w:sz w:val="16"/>
          <w:szCs w:val="16"/>
          <w:color w:val="auto"/>
        </w:rPr>
      </w:pPr>
    </w:p>
    <w:p>
      <w:pPr>
        <w:ind w:left="520" w:right="360" w:hanging="512"/>
        <w:spacing w:after="0" w:line="261"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We will require additional capital to complete our planned clinical development programs for our current product candidates to obtain regulatory approval, and we anticipate needing to raise additional capital to complete the development of and commercialize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1" w:name="page42"/>
    <w:bookmarkEnd w:id="41"/>
    <w:p>
      <w:pPr>
        <w:spacing w:after="0" w:line="258" w:lineRule="auto"/>
        <w:rPr>
          <w:sz w:val="20"/>
          <w:szCs w:val="20"/>
          <w:color w:val="auto"/>
        </w:rPr>
      </w:pPr>
      <w:r>
        <w:rPr>
          <w:rFonts w:ascii="Arial" w:cs="Arial" w:eastAsia="Arial" w:hAnsi="Arial"/>
          <w:sz w:val="17"/>
          <w:szCs w:val="17"/>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In June 2022, we entered into an equity distribution agreement with Piper Sandler &amp; Co. and JonesTrading Institutional Services LLC, as sales agents, relating to the issuance and sale of shares of our common stock for an aggregate offering price of up to $150.0 million under an at-the-market offering program, or 2022 ATM. To the extent that we raise additional capital through the sale of equity or convertible debt securities, including pursuant to our 2022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the ongoing COVID-19 pandemic, inflation, changes in interest rates, geopolitical instability, including the war in Ukraine, or otherwise.</w:t>
      </w:r>
    </w:p>
    <w:p>
      <w:pPr>
        <w:spacing w:after="0" w:line="17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108"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5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182"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In addition, the results of preclinical studies and earlier clinical trials may not be predictive of the results of later-stage preclinical studies or clinical trials. We have limited clinical data for our product candidates. Product candidates in later stages of clinical trials may fail to show similar or desired safety and efficacy traits despite having progressed through preclinical and earlier stage clinical trials.</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data from an investigator-initiated trial Phase 1 clinical trial in our regulatory filings and we do not control the trial operations or reporting of the results.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Tovorafenib's (DAY101) Phase 1 trial is run as an investigator-initiated, multi-center trial in patients with relapsed/refractory pLGG that is being conducted by the Dana Farber Cancer Institute in collaboration with the Pacific Pediatric Neuro-Oncology Consortium, or PNOC. The last data reported from this trial was in January 2020. It is possible that additional data, when reported, will not demonstrate similar results. We have no control over the timing of such clinical data announcements. In addition, although we expect that our pivotal Phase 2 trial in pLGG will provide a sufficient dataset, from at least 60 patients, to support approval based on preliminary discussions with regulatory agencies, we cannot assure you that the FDA will not require data from additional patients to support approval.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While investigator-sponsored initiated trials could be useful to inform our own clinical development efforts, we do not control the data or timing of data releases for investigator-sponsored trials, and there is no guarantee that we will be able to use the data from these trials to form the basis for regulatory approval of our product candidates.</w:t>
      </w:r>
    </w:p>
    <w:p>
      <w:pPr>
        <w:spacing w:after="0" w:line="16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pacing w:after="0" w:line="281"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any of our product candidates, which would prevent or delay development, regulatory approval and commercialization.</w:t>
      </w:r>
    </w:p>
    <w:p>
      <w:pPr>
        <w:spacing w:after="0" w:line="7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Before obtaining marketing approval from the FDA or comparable foreign regulatory authorities for the sale of our current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because our product candidates are in earlier stages of development, there is a high risk of failure and we may never succeed in developing marketable products.</w:t>
      </w:r>
    </w:p>
    <w:p>
      <w:pPr>
        <w:spacing w:after="0" w:line="1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49"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safety and efficacy;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failure to demonstrate that the dose for a product candidate has been optimized;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important functional, quality, or patient-reported outcomes;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the competitive landscape preventing marketing authorization in one or several subsets studied in our programs, including in relapsed or</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front-line pLGG;</w:t>
      </w: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3" w:name="page44"/>
    <w:bookmarkEnd w:id="43"/>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520" w:right="560" w:hanging="512"/>
        <w:spacing w:after="0" w:line="261"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research and/or drug development programs;</w:t>
      </w:r>
    </w:p>
    <w:p>
      <w:pPr>
        <w:spacing w:after="0" w:line="62" w:lineRule="exact"/>
        <w:rPr>
          <w:rFonts w:ascii="Arial" w:cs="Arial" w:eastAsia="Arial" w:hAnsi="Arial"/>
          <w:sz w:val="18"/>
          <w:szCs w:val="18"/>
          <w:color w:val="auto"/>
        </w:rPr>
      </w:pPr>
    </w:p>
    <w:p>
      <w:pPr>
        <w:ind w:left="520" w:right="24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115" w:lineRule="exact"/>
        <w:rPr>
          <w:rFonts w:ascii="Arial" w:cs="Arial" w:eastAsia="Arial" w:hAnsi="Arial"/>
          <w:sz w:val="17"/>
          <w:szCs w:val="17"/>
          <w:color w:val="auto"/>
        </w:rPr>
      </w:pPr>
    </w:p>
    <w:p>
      <w:pPr>
        <w:ind w:left="520" w:right="4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03"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12"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Our product candidates are initially targeted towards the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regulatory approvals for any drug product candidate.</w:t>
      </w:r>
    </w:p>
    <w:p>
      <w:pPr>
        <w:spacing w:after="0" w:line="16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03" w:lineRule="exact"/>
        <w:rPr>
          <w:rFonts w:ascii="Arial" w:cs="Arial" w:eastAsia="Arial" w:hAnsi="Arial"/>
          <w:sz w:val="18"/>
          <w:szCs w:val="18"/>
          <w:color w:val="auto"/>
        </w:rPr>
      </w:pPr>
    </w:p>
    <w:p>
      <w:pPr>
        <w:ind w:left="520" w:right="240" w:hanging="512"/>
        <w:spacing w:after="0" w:line="261"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may have restricted duration expectations or guidance;</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17"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civil or criminal investigations and litigation;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1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Our drug development costs will also increase if we experience delays in testing or obtaining marketing approvals. Also, delays in obtaining marketing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44" w:name="page45"/>
    <w:bookmarkEnd w:id="44"/>
    <w:p>
      <w:pPr>
        <w:spacing w:after="0" w:line="280" w:lineRule="auto"/>
        <w:rPr>
          <w:sz w:val="20"/>
          <w:szCs w:val="20"/>
          <w:color w:val="auto"/>
        </w:rPr>
      </w:pPr>
      <w:r>
        <w:rPr>
          <w:rFonts w:ascii="Arial" w:cs="Arial" w:eastAsia="Arial" w:hAnsi="Arial"/>
          <w:sz w:val="16"/>
          <w:szCs w:val="16"/>
          <w:color w:val="auto"/>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NDAs or the conduct of these trials. Therefore, we cannot predict with any certainty the schedule for commencement and completion of future clinical trials. 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9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30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approvals could be delayed or prevented.</w:t>
      </w:r>
    </w:p>
    <w:p>
      <w:pPr>
        <w:spacing w:after="0" w:line="6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tovorafenib (DAY101)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regulatory approval or (iii) whether each specific BRAF mutation targeted will be included in the approved drug labeling. If our strategies for patient identification and enrollment prove unsuccessful, we may have difficulty enrolling or maintaining patients appropriate for our product candidates.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Further, if any of our competitors receive FDA approval for a product, it may limit our ability to enroll patients in our clinical trials if they decide to seek treatment with an approved product. For example, Novartis recently received approval for dabrafenib in combination with trametinib, which could in the future limit our ability to enroll patients in clinical trials for tovorafenib (DAY101). Patient enrollment is also affected by other factors, including:</w:t>
      </w:r>
    </w:p>
    <w:p>
      <w:pPr>
        <w:spacing w:after="0" w:line="54"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103" w:lineRule="exact"/>
        <w:rPr>
          <w:rFonts w:ascii="Arial" w:cs="Arial" w:eastAsia="Arial" w:hAnsi="Arial"/>
          <w:sz w:val="18"/>
          <w:szCs w:val="18"/>
          <w:color w:val="auto"/>
        </w:rPr>
      </w:pPr>
    </w:p>
    <w:p>
      <w:pPr>
        <w:ind w:left="520" w:right="66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expertise, and selection of CROs to manage operations related to clinical trial enrollment;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invasive procedures required to enroll patients and to obtain evidence of the product candidate’s performance during the clinical trial;</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5" w:name="page46"/>
    <w:bookmarkEnd w:id="45"/>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reluctance of physicians or patient advocacy organizations to encourage patient participation in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Our inability to enroll and maintain a sufficient number of patients for our clinical trials would result in significant delays or may require us to abandon one or more clinical trials altogether. There may be competing trials, as well as the limited bandwidth of pediatric oncology institutions for running trials, which can lead to the prioritization of certain trials, leading to delays in our clinical trials. In addition, parents may be reluctant to enroll their children in our clinical trials, or may decide to withdraw their children from our clinical trials to pursue other therapies. The American Cancer Society has reported that the COVID-19 pandemic has led to declines in screening, diagnosis and treatment for patients, which will adversely impact the enrollment of patients in clinical trials targeting cancers and retention of patients overall. Enrollment delays in our clinical trials, including due to the COVID-19 pandemic, may result in increased development costs, which would cause the value of our Company to decline and limit our ability to obtain additional financing.</w:t>
      </w:r>
    </w:p>
    <w:p>
      <w:pPr>
        <w:spacing w:after="0" w:line="28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 candidates are currently under development, and may become commercially available in the future, for the treatment of conditions for which we may attempt to develop product candidates. In addition, our product candidates may need to compete with drugs physicians use off-label to treat the indications for which we seek approval. This may make it difficult for us to replace existing therapies with our product candidates.</w:t>
      </w:r>
    </w:p>
    <w:p>
      <w:pPr>
        <w:spacing w:after="0" w:line="186"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18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We also compete with these organizations to recruit and retain qualified scientific, management and sales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Genentech; dabrafenib, marketed as Tafinlar</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Novartis; and encorafenib, marketed as Braftovi</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Pfizer. Dabrafenib, in combination with trametinib, is being evaluated in a Novartis-sponsored randomized Phase 2 clinical trial in newly-diagnosed patients with BRAF V600 mutant pLGG. Novartis has announced their plans to file a Supplemental New Drug Application, or sNDA, based on data of this trial in early 2023. Additionally, in June 2022, the combination of dabrafenib and trametinib was granted accelerated approval by the FDA for the treatment of adult and pediatric patients six years and older with unresectable or metastatic solid tumors harboring mutations in BRAF V600E following progression on previous treatment who have no satisfactory alternative treatment options. This includes BRAF V600E pLGG, a subset (10%-20%) of the greater RAF-altered pLGG clinical scope of the tovorafenib development program.</w:t>
      </w:r>
    </w:p>
    <w:p>
      <w:pPr>
        <w:spacing w:after="0" w:line="198" w:lineRule="exact"/>
        <w:rPr>
          <w:sz w:val="20"/>
          <w:szCs w:val="20"/>
          <w:color w:val="auto"/>
        </w:rPr>
      </w:pPr>
    </w:p>
    <w:p>
      <w:pPr>
        <w:ind w:right="440"/>
        <w:spacing w:after="0" w:line="249" w:lineRule="auto"/>
        <w:rPr>
          <w:sz w:val="20"/>
          <w:szCs w:val="20"/>
          <w:color w:val="auto"/>
        </w:rPr>
      </w:pPr>
      <w:r>
        <w:rPr>
          <w:rFonts w:ascii="Arial" w:cs="Arial" w:eastAsia="Arial" w:hAnsi="Arial"/>
          <w:sz w:val="16"/>
          <w:szCs w:val="16"/>
          <w:color w:val="auto"/>
        </w:rPr>
        <w:t>Four MEK inhibitors have been approved by the FDA. Three have been approved for the treatment of tumors containing BRAF V600E or V600K mutations, including cobimetinib, marketed as Cotellic</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Genentech; trametinib, marketed as Mekinist</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Novartis; and binimetinib, marketed as Mektovi</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Pfizer. A fourth MEK inhibitor—selumetinib, marketed as Koselugo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AstraZeneca—has been approved for the treatment of pediatric patients, two years of age and older, with neurofibromatosis type 1, or NF1, who have symptomatic, inoperable plexiform neurofibromas.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right="180"/>
        <w:spacing w:after="0" w:line="283" w:lineRule="auto"/>
        <w:rPr>
          <w:sz w:val="20"/>
          <w:szCs w:val="20"/>
          <w:color w:val="auto"/>
        </w:rPr>
      </w:pPr>
      <w:r>
        <w:rPr>
          <w:rFonts w:ascii="Arial" w:cs="Arial" w:eastAsia="Arial" w:hAnsi="Arial"/>
          <w:sz w:val="16"/>
          <w:szCs w:val="16"/>
          <w:color w:val="auto"/>
        </w:rPr>
        <w:t>BeiGene has two next-generation BRAF programs: Lifirafenib (BGB-283), which is currently in a Phase 1/2 trial in combination with mirdametinib, and BGB-3245 which is currently in a single agent in Phase 1 dose escalation study. Hanmi / Genentech are developing belvarafenib in combination with cobimetinib in a Phase 1b clinical trial. Fore Therapeutics (formerly NovellusDx) is developing the RAF dimer breaker PLX8394 in a Phase 1/2 trial in combination with cobicistat. Kinnate is developing KIN-2787 in a monotherapy Phase 1 clinical trial as well as in combination with the MEK inhibitor binimetinib in a Phase 1b clinical trial. Black Diamond Therapeutics have next-generation BRAF inhibitors in various stages of preclinical development. Jazz Pharmaceuticals and Redx have announced that the pan-RAF inhibitor JZP815 has entered clinical development in a Phase 1 trial.</w:t>
      </w:r>
    </w:p>
    <w:p>
      <w:pPr>
        <w:spacing w:after="0" w:line="156"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With regard to the treatment of pLGG, some MEK inhibitors and some type I RAF inhibitors other targeted therapies are being studied in academic investigator-initiated clinical trials, and in some regions may be being used in an off-label manner. The off-label use of these agents may represent competition for tovorafenib (DAY101) when it enters the market.</w:t>
      </w:r>
    </w:p>
    <w:p>
      <w:pPr>
        <w:spacing w:after="0" w:line="175"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w:t>
      </w:r>
    </w:p>
    <w:p>
      <w:pPr>
        <w:spacing w:after="0" w:line="175"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Large pharmaceutical and biotechnology companies, in particular, have extensive experience in clinical testing, obtaining regulatory approvals,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158" w:lineRule="exact"/>
        <w:rPr>
          <w:sz w:val="20"/>
          <w:szCs w:val="20"/>
          <w:color w:val="auto"/>
        </w:rPr>
      </w:pPr>
    </w:p>
    <w:p>
      <w:pPr>
        <w:jc w:val="both"/>
        <w:ind w:right="360"/>
        <w:spacing w:after="0" w:line="278" w:lineRule="auto"/>
        <w:rPr>
          <w:sz w:val="20"/>
          <w:szCs w:val="20"/>
          <w:color w:val="auto"/>
        </w:rPr>
      </w:pPr>
      <w:r>
        <w:rPr>
          <w:rFonts w:ascii="Arial" w:cs="Arial" w:eastAsia="Arial" w:hAnsi="Arial"/>
          <w:sz w:val="17"/>
          <w:szCs w:val="17"/>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or could make our development more complicated.</w:t>
      </w:r>
    </w:p>
    <w:p>
      <w:pPr>
        <w:spacing w:after="0" w:line="15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demonstrate safety and efficacy to our stakeholders, our reputation may be harmed and our business will suffer.</w:t>
      </w:r>
    </w:p>
    <w:p>
      <w:pPr>
        <w:spacing w:after="0" w:line="10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addition to the regulatory approvals required for product candidates developed for adults, parents, physicians, caregivers, advocates, and patients may not want to participate in our trials, prescribe or take our products, or want to be affiliated with our Company if we do not maintain trust and a reputation for integrity and high quality interactions and products. Pediatric drug development is typically deferred to protect children from exposure to investigational agents, which have historically been cytotoxic chemotherapies that are often associated with severe side effects and poor tolerability. If one of our products or product candidates was found to have a safety impact on pediatric patients our reputation would be harmed and our business would suffer.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17"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The COVID-19 pandemic in the United States and in other countries in which we have planned or have active clinical trial sites and where our third-party manufacturers operate, could cause significant disruptions that could severely impact our business and ongoing and planned clinical trials, including:</w:t>
      </w:r>
    </w:p>
    <w:p>
      <w:pPr>
        <w:spacing w:after="0" w:line="16"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ongoing and planned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3" w:lineRule="exact"/>
        <w:rPr>
          <w:rFonts w:ascii="Arial" w:cs="Arial" w:eastAsia="Arial" w:hAnsi="Arial"/>
          <w:sz w:val="18"/>
          <w:szCs w:val="18"/>
          <w:color w:val="auto"/>
        </w:rPr>
      </w:pPr>
    </w:p>
    <w:p>
      <w:pPr>
        <w:ind w:left="520" w:right="180" w:hanging="512"/>
        <w:spacing w:after="0" w:line="258"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 as they prioritize resources towards addressing the COVID-19 pandemic;</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7" w:name="page48"/>
    <w:bookmarkEnd w:id="47"/>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03"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48" w:lineRule="exact"/>
        <w:rPr>
          <w:rFonts w:ascii="Arial" w:cs="Arial" w:eastAsia="Arial" w:hAnsi="Arial"/>
          <w:sz w:val="18"/>
          <w:szCs w:val="18"/>
          <w:color w:val="auto"/>
        </w:rPr>
      </w:pPr>
    </w:p>
    <w:p>
      <w:pPr>
        <w:ind w:left="520" w:right="440" w:hanging="512"/>
        <w:spacing w:after="0" w:line="324"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29" w:lineRule="exact"/>
        <w:rPr>
          <w:rFonts w:ascii="Arial" w:cs="Arial" w:eastAsia="Arial" w:hAnsi="Arial"/>
          <w:sz w:val="16"/>
          <w:szCs w:val="16"/>
          <w:color w:val="auto"/>
        </w:rPr>
      </w:pPr>
    </w:p>
    <w:p>
      <w:pPr>
        <w:ind w:left="520" w:right="520" w:hanging="512"/>
        <w:spacing w:after="0" w:line="261"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some or all of our employees working remotely, including those hired during the COVID-19 pandemic;</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due to production shortages resulting from any events affecting supply or manufacturing capabilities domestically and abroad;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03"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76" w:lineRule="exact"/>
        <w:rPr>
          <w:rFonts w:ascii="Arial" w:cs="Arial" w:eastAsia="Arial" w:hAnsi="Arial"/>
          <w:sz w:val="18"/>
          <w:szCs w:val="18"/>
          <w:color w:val="auto"/>
        </w:rPr>
      </w:pPr>
    </w:p>
    <w:p>
      <w:pPr>
        <w:ind w:left="520" w:right="80" w:hanging="512"/>
        <w:spacing w:after="0" w:line="248"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including as a result of the emergence and spread of variants of the COVID-19 virus, which may require us to change the ways in which our clinical trials are conducted, which may result in unexpected costs, delays, or to discontinue the clinical trials altogether;</w:t>
      </w:r>
    </w:p>
    <w:p>
      <w:pPr>
        <w:spacing w:after="0" w:line="87"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of regulatory authorities, such as the FDA, to accept data from clinical trials in affected geographies; and</w:t>
      </w:r>
    </w:p>
    <w:p>
      <w:pPr>
        <w:spacing w:after="0" w:line="117"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Such disruptions could impede, delay, limit or prevent completion of our ongoing clinical trials and future preclinical studies or commencement of new clinical trials and ultimately lead to the delay or denial of regulatory approval of our product candidates, which would seriously harm our operations and financial condition and increase our costs and expenses. For example, in March 2022, authorities in Shanghai announced a two-stage lock-down for residents and businesses in response to rising rates of COVID-19. While operations have resumed at our Active Pharmaceutical Ingredients, or API, contract manufacturing and development facilities, we cannot be sure if additional lock-down measures or restrictions will be implemented and what, if any, impact that may have on our facilities and operations in the region, including but not limited to a decrease or disruption of production, increase costs of production or other interruptions in our supply chain. Such disruptions could impede, delay, limit or prevent completion of our ongoing clinical trials. Further, we have experienced delays in trial site initiations, patient participation and patient enrollment in some of our clinical trials and we may continue to experience some delays in our clinical trials and preclinical studies and delays in data collection and analysis, and the measures we have taken in response to the COVID-19 pandemic, may themselves negatively impact our operations.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or other health authorities, which could result in delays in meetings related to planned or completed clinical trials and ultimately of reviews and approvals of our product candidates.</w:t>
      </w:r>
    </w:p>
    <w:p>
      <w:pPr>
        <w:spacing w:after="0" w:line="16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global COVID-19 pandemic continues to evolve. Certain jurisdictions have begun re-opening only to return to restrictions due to increases in new COVID-19 disease cases and the emergence of new variant strains of the COVID-19 virus. Even in areas where “stay-at-home” restrictions have been lifted and the number of cases of COVID-19 disease has declined, many individuals remain cautious about resuming activities such as preventive-care medical visits. Additionally, the emergence of new variant strains of the COVID-19 virus in regions that have reopened has necessitated, and may in the future necessitate, renewed government restrictions in the jurisdictions in which we operate. The extent to which the COVID-19 pandemic may impact our business and clinical trials will depend on future developments, which are highly uncertain and cannot be predicted with confidence, such as the ultimate geographic spread of the disease, the duration of the pandemic, the emergence and spread of variants of the COVID-19 virus, travel restrictions and social distancing in the United States and other countries, business closures or business disruptions and the effectiveness of actions taken in the United States and other countries to contain and treat the disease.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ind w:right="180"/>
        <w:spacing w:after="0" w:line="277"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265" w:lineRule="exact"/>
        <w:rPr>
          <w:sz w:val="20"/>
          <w:szCs w:val="20"/>
          <w:color w:val="auto"/>
        </w:rPr>
      </w:pPr>
    </w:p>
    <w:p>
      <w:pPr>
        <w:ind w:right="420"/>
        <w:spacing w:after="0" w:line="278"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tovorafenib (DAY101), pimasertib or any future product candidates we may develop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is the case with pharmaceuticals generally, we have observed side effects and adverse events associated with our lead product candidate, tovorafenib (DAY101) and our other product candidates. These side effects included maculopapular rash, anemia, headache, elevation in blood creatinine phosphokinase (CPK), nausea, and fatigue.</w:t>
      </w:r>
    </w:p>
    <w:p>
      <w:pPr>
        <w:spacing w:after="0" w:line="17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18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Additionally, patients treated with our product candidates have undergone, or may also be undergoing, medical,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tovorafenib (DAY101), pimasertib or our other product candidates.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or reduce the duration of time that physicians expect to use our product in particular patients. Any of these occurrences may harm our business, prospects, financial condition and results of operations significantly.</w:t>
      </w:r>
    </w:p>
    <w:p>
      <w:pPr>
        <w:spacing w:after="0" w:line="17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9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49"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17" w:lineRule="exact"/>
        <w:rPr>
          <w:rFonts w:ascii="Arial" w:cs="Arial" w:eastAsia="Arial" w:hAnsi="Arial"/>
          <w:sz w:val="18"/>
          <w:szCs w:val="18"/>
          <w:color w:val="auto"/>
        </w:rPr>
      </w:pPr>
    </w:p>
    <w:p>
      <w:pPr>
        <w:ind w:left="520" w:right="340" w:hanging="512"/>
        <w:spacing w:after="0" w:line="324"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6" w:lineRule="exact"/>
        <w:rPr>
          <w:rFonts w:ascii="Arial" w:cs="Arial" w:eastAsia="Arial" w:hAnsi="Arial"/>
          <w:sz w:val="16"/>
          <w:szCs w:val="16"/>
          <w:color w:val="auto"/>
        </w:rPr>
      </w:pPr>
    </w:p>
    <w:p>
      <w:pPr>
        <w:ind w:left="520" w:hanging="512"/>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be required to implement a REMS or create a medication guide outlining the risks of such side effects for distribution to patients;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left="520" w:right="28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65"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b w:val="1"/>
          <w:bCs w:val="1"/>
          <w:i w:val="1"/>
          <w:iCs w:val="1"/>
          <w:color w:val="auto"/>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preliminary data analysis for the pivotal Phase 2 of our tovorafenib (DAY101) trial.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initial or topline results that we report may differ from future results of the same studies, or different conclusions or considerations may qualify such results, once additional data have been received and fully evaluated. Initial or topline data also remain subject to audit and verification procedures that may result in the final data being materially different from the preliminary data we previously published.</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7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76"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The market opportunities for any product candidates we develop, if approved, may be limited to certain smaller patient subsets and may be smaller than we estimate them to be.</w:t>
      </w:r>
    </w:p>
    <w:p>
      <w:pPr>
        <w:spacing w:after="0" w:line="76"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We plan to seek approval of tovorafenib (DAY101) as a treatment of both naïve and relapsed/progressive pLGG. There is no guarantee that our product candidates would be approved for either line of treatment, and prior to any such approvals we may have to conduct additional clinical trials that may be costly, time-consuming and subject to risk.</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0" w:name="page51"/>
    <w:bookmarkEnd w:id="50"/>
    <w:p>
      <w:pPr>
        <w:spacing w:after="0" w:line="275"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For example, pLGG is a rare disease, and as such, our projections of both the number of people who have this disease, as well as the subset of people with pLGG who have the potential to benefit from treatment with our product candidates,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cancers that we are targeting.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regulatory approval for additional indications.</w:t>
      </w:r>
    </w:p>
    <w:p>
      <w:pPr>
        <w:spacing w:after="0" w:line="287"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b w:val="1"/>
          <w:bCs w:val="1"/>
          <w:i w:val="1"/>
          <w:iCs w:val="1"/>
          <w:color w:val="auto"/>
        </w:rPr>
        <w:t>Our clinical development activities are primarily focused on the development of targeted therapeutics for patients with genomically defined cancers, which is a rapidly evolving area of science, and the approach we are taking to discover and develop drugs is novel and may never lead to approved or marketable products.</w:t>
      </w:r>
    </w:p>
    <w:p>
      <w:pPr>
        <w:spacing w:after="0" w:line="87"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 discovery and development of targeted therapeutics for patients with genomically 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In addition, even if our approach is successful in showing clinical benefit for RAF-driven cancers for our tovorafenib (DAY101) program, we may never successfully identify additional oncogenic alterations sensitive to tovorafenib (DAY101) in other MAPK-driven tumors. Therefore, we do not know if our approach of treating patients with genomically defined cancers will be successful, and if our approach is unsuccessful, our business will suffer.</w:t>
      </w:r>
    </w:p>
    <w:p>
      <w:pPr>
        <w:spacing w:after="0" w:line="2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or their families, healthcare payors and others in the medical community necessary for commercial success.</w:t>
      </w:r>
    </w:p>
    <w:p>
      <w:pPr>
        <w:spacing w:after="0" w:line="6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or their families, third-party payors and others in the medical community. The degree of market acceptance of any of our approved product candidates will depend on a number of factors, including:</w:t>
      </w:r>
    </w:p>
    <w:p>
      <w:pPr>
        <w:spacing w:after="0" w:line="67" w:lineRule="exact"/>
        <w:rPr>
          <w:sz w:val="20"/>
          <w:szCs w:val="20"/>
          <w:color w:val="auto"/>
        </w:rPr>
      </w:pPr>
    </w:p>
    <w:p>
      <w:pPr>
        <w:ind w:left="520" w:right="22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efficacy, durability and safety profile as demonstrated in clinical trials compared to alternative treatments, in addition to functional, quality, or patient-reported outcomes;</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520" w:right="46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REMS, if any, which may not be required of alternative treatments and competitor products;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the cost/benefit ratios of each;</w:t>
      </w:r>
    </w:p>
    <w:p>
      <w:pPr>
        <w:spacing w:after="0" w:line="10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 relation to competition;</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ind w:left="520" w:right="20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24" w:lineRule="exact"/>
        <w:rPr>
          <w:rFonts w:ascii="Arial" w:cs="Arial" w:eastAsia="Arial" w:hAnsi="Arial"/>
          <w:sz w:val="17"/>
          <w:szCs w:val="17"/>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sales, marketing efforts and market access;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12"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68"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33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The payor mix for pediatric products in the United States is a fragmented combination of state-specific Medicaid policies and a broad universe of private insurance companies. There is no consistent policy or leading payor to inform other price setting entities. National payor policies are expected to be critical to our ability to achieve broad payment coverage.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2"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For example, the former president of the United States signed executive orders aimed at lowering prescription drug prices and the current president of the United States has expressed an intention to address prescription drug costs.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18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plan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6"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ind w:right="40"/>
        <w:spacing w:after="0" w:line="276"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6" w:lineRule="exact"/>
        <w:rPr>
          <w:sz w:val="20"/>
          <w:szCs w:val="20"/>
          <w:color w:val="auto"/>
        </w:rPr>
      </w:pPr>
    </w:p>
    <w:p>
      <w:pPr>
        <w:ind w:right="60" w:firstLine="4"/>
        <w:spacing w:after="0" w:line="249"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The development and commercialization of pharmaceutical products are subject to extensive regulation, and we may not obtain regulatory approvals for tovorafenib (DAY101), pimasertib or any future product candidates, on a timely basis or at all.</w:t>
      </w:r>
    </w:p>
    <w:p>
      <w:pPr>
        <w:spacing w:after="0" w:line="63"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tovorafenib (DAY101) and pimasertib,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8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ind w:right="20"/>
        <w:spacing w:after="0" w:line="275" w:lineRule="auto"/>
        <w:rPr>
          <w:sz w:val="20"/>
          <w:szCs w:val="20"/>
          <w:color w:val="auto"/>
        </w:rPr>
      </w:pPr>
      <w:r>
        <w:rPr>
          <w:rFonts w:ascii="Arial" w:cs="Arial" w:eastAsia="Arial" w:hAnsi="Arial"/>
          <w:sz w:val="16"/>
          <w:szCs w:val="16"/>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pivotal Phase 2 clinical trial of tovorafenib (DAY101) may be sufficient to support FDA approval of an NDA for tovorafenib (DAY101), but the FDA may disagree with the sufficiency of our data and require additional clinical trials. Additionally, depending upon the results of the Phase 2 clinical trial of tovorafenib (DAY101), we may receive accelerated approval for tovorafenib (DAY101), which would require additional data and potentially a confirmatory trial to validate the clinical benefit of the drug. Despite the time and expense associated with preclinical studies and clinical trials, failure can occur at any stage. The results of preclinical and early clinical trials of tovorafenib (DAY101) or pimasertib or any other product candidate may not be predictive of the results of our later-stage clinical trials. Additionally, we have become aware of competitor clinical trials in front-line pLGG and we believe the FDA and other regulators may consider the design and results of these trials when evaluating our front-line program. For example, while we may believe certain results in patients, such as stable disease, suggest encouraging clinical activity, stable disease is not considered a response for regulatory purposes in an endpoint assessing overall response rate, or ORR.</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the Oncology Center of Excellence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We are considering these policy changes as they relate to our programs.</w:t>
      </w:r>
    </w:p>
    <w:p>
      <w:pPr>
        <w:spacing w:after="0" w:line="17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The FDA could delay, limit or deny approval of a product candidate for many reasons, including because the FDA:</w:t>
      </w:r>
    </w:p>
    <w:p>
      <w:pPr>
        <w:spacing w:after="0" w:line="98"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03" w:lineRule="exact"/>
        <w:rPr>
          <w:rFonts w:ascii="Arial" w:cs="Arial" w:eastAsia="Arial" w:hAnsi="Arial"/>
          <w:sz w:val="18"/>
          <w:szCs w:val="18"/>
          <w:color w:val="auto"/>
        </w:rPr>
      </w:pPr>
    </w:p>
    <w:p>
      <w:pPr>
        <w:ind w:left="520" w:right="42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determines that ORR as the primary endpoint, complemented by key secondary endpoints, are insufficient to reliably define clinical benefit;</w:t>
      </w:r>
    </w:p>
    <w:p>
      <w:pPr>
        <w:spacing w:after="0" w:line="115" w:lineRule="exact"/>
        <w:rPr>
          <w:rFonts w:ascii="Arial" w:cs="Arial" w:eastAsia="Arial" w:hAnsi="Arial"/>
          <w:sz w:val="17"/>
          <w:szCs w:val="17"/>
          <w:color w:val="auto"/>
        </w:rPr>
      </w:pPr>
    </w:p>
    <w:p>
      <w:pPr>
        <w:ind w:left="520" w:right="140" w:hanging="512"/>
        <w:spacing w:after="0" w:line="30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24" w:lineRule="exact"/>
        <w:rPr>
          <w:rFonts w:ascii="Arial" w:cs="Arial" w:eastAsia="Arial" w:hAnsi="Arial"/>
          <w:sz w:val="17"/>
          <w:szCs w:val="17"/>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03"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determine that the population studied in the clinical trial may not be sufficiently broad or representative to assure safety in the full population for which we seek approval;</w:t>
      </w:r>
    </w:p>
    <w:p>
      <w:pPr>
        <w:spacing w:after="0" w:line="48"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ind w:right="160"/>
        <w:spacing w:after="0" w:line="249"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 Furthermore, even if we receive FDA approval, there is no assurance that we will receive similar approval from comparable regulatory authorities in foreign jurisdictions, which may limit our addressable market and could adversely affect our business, prospects, financial condition and results of operations.</w:t>
      </w:r>
    </w:p>
    <w:p>
      <w:pPr>
        <w:spacing w:after="0" w:line="194"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If we experience delays in obtaining approval or if we fail to obtain approval of tovorafenib (DAY101) or pimasertib, our commercial prospects will be harmed and our ability to generate revenues will be materially impaired, which would adversely affect our business, prospects, financial condition and results of operations.</w:t>
      </w:r>
    </w:p>
    <w:p>
      <w:pPr>
        <w:spacing w:after="0" w:line="200" w:lineRule="exact"/>
        <w:rPr>
          <w:sz w:val="20"/>
          <w:szCs w:val="20"/>
          <w:color w:val="auto"/>
        </w:rPr>
      </w:pP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a surrogate endpoint that we believe is reasonably likely to predict clinical benefit.</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most cases, the FDA may require that the trial be designed, initiated, and/or fully enrolled prior to approval. 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65" w:lineRule="exact"/>
        <w:rPr>
          <w:sz w:val="20"/>
          <w:szCs w:val="20"/>
          <w:color w:val="auto"/>
        </w:rPr>
      </w:pPr>
    </w:p>
    <w:p>
      <w:pPr>
        <w:ind w:left="520" w:right="16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FDA has convened its Oncologic Drugs Advisory Committee to review what the FDA has called dangling or delinquent accelerated approvals where confirmatory studies have not been completed or where results did not confirm benefit. In addition, the Oncology Center of Excellence has recently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Furthermore, in addition, Congress is considering various proposals to potentially make changes to the accelerated approval pathway, including proposals to increase the likelihood of withdrawal of approval in such circumstances.</w:t>
      </w:r>
    </w:p>
    <w:p>
      <w:pPr>
        <w:spacing w:after="0" w:line="27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Even though we have received Breakthrough Therapy designation by the FDA for tovorafenib (DAY101) in treating pLGG, such designation may not lead to a faster development or regulatory review or approval process, and it does not increase the likelihood that tovorafenib (DAY101) will receive marketing approval.</w:t>
      </w:r>
    </w:p>
    <w:p>
      <w:pPr>
        <w:spacing w:after="0" w:line="6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We have received Breakthrough Therapy designation by the FDA for tovorafenib (DAY101) in patients with advanced pLGG.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spacing w:after="0" w:line="261" w:lineRule="auto"/>
        <w:rPr>
          <w:sz w:val="20"/>
          <w:szCs w:val="20"/>
          <w:color w:val="auto"/>
        </w:rPr>
      </w:pPr>
      <w:r>
        <w:rPr>
          <w:rFonts w:ascii="Arial" w:cs="Arial" w:eastAsia="Arial" w:hAnsi="Arial"/>
          <w:sz w:val="17"/>
          <w:szCs w:val="17"/>
          <w:color w:val="auto"/>
        </w:rPr>
        <w:t>Although Breakthrough Therapy designation or access to any other expedited program may expedite the development or approval process, it does not change the standards for approval. Although we obtained Breakthrough Therapy designation for tovorafenib (DAY101) in advanced pLGG, we may not experience faster development timelines or achieve faster review or approval compared to conventional FDA procedures. For example, the time required to identify and resolve issues relating to manufacturing and controls, the acquisition of a sufficient supply of our product for clinical trial purposes or the need to conduct additional nonclinical or clinical studies may delay approval by the FDA, even if the product qualifies for Breakthrough Therapy designation or access to any other expedited program.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product.</w:t>
      </w:r>
    </w:p>
    <w:p>
      <w:pPr>
        <w:spacing w:after="0" w:line="284" w:lineRule="exact"/>
        <w:rPr>
          <w:sz w:val="20"/>
          <w:szCs w:val="20"/>
          <w:color w:val="auto"/>
        </w:rPr>
      </w:pPr>
    </w:p>
    <w:p>
      <w:pPr>
        <w:spacing w:after="0" w:line="356" w:lineRule="auto"/>
        <w:rPr>
          <w:sz w:val="20"/>
          <w:szCs w:val="20"/>
          <w:color w:val="auto"/>
        </w:rPr>
      </w:pPr>
      <w:r>
        <w:rPr>
          <w:rFonts w:ascii="Arial" w:cs="Arial" w:eastAsia="Arial" w:hAnsi="Arial"/>
          <w:sz w:val="15"/>
          <w:szCs w:val="15"/>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0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have obtained orphan drug designation in the United States and in the EU for use of tovorafenib (DAY101) in treating malignant glioma and glioma, respectively. We may seek orphan drug designation for tovorafenib (DAY101) in additional geographies or indications, or for pimasertib or any product candidates we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72"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the same indication during that time period. The applicable period is seven years in the United States and ten years in the EU. The EU exclusivity period can be reduced to six years if a drug no longer meets the criteria for orphan drug designation or if the drug is sufficiently profitable so that market exclusivity is no longer justified. Orphan drug exclusivity in the United States may be lost if the FDA determines that the request for designation was materially defective or if the manufacturer is unable to assure sufficient quantity of the drug to meet the needs of patients with the rare disease or condition.</w:t>
      </w:r>
    </w:p>
    <w:p>
      <w:pPr>
        <w:spacing w:after="0" w:line="20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201" w:lineRule="exact"/>
        <w:rPr>
          <w:sz w:val="20"/>
          <w:szCs w:val="20"/>
          <w:color w:val="auto"/>
        </w:rPr>
      </w:pPr>
    </w:p>
    <w:p>
      <w:pPr>
        <w:jc w:val="center"/>
        <w:spacing w:after="0" w:line="243" w:lineRule="auto"/>
        <w:rPr>
          <w:sz w:val="20"/>
          <w:szCs w:val="20"/>
          <w:color w:val="auto"/>
        </w:rPr>
      </w:pPr>
      <w:r>
        <w:rPr>
          <w:rFonts w:ascii="Arial" w:cs="Arial" w:eastAsia="Arial" w:hAnsi="Arial"/>
          <w:sz w:val="18"/>
          <w:szCs w:val="18"/>
          <w:color w:val="auto"/>
        </w:rPr>
        <w:t>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financial incentives associated with orphan drug designation.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6" w:name="page57"/>
    <w:bookmarkEnd w:id="56"/>
    <w:p>
      <w:pPr>
        <w:ind w:right="220"/>
        <w:spacing w:after="0" w:line="303" w:lineRule="auto"/>
        <w:rPr>
          <w:sz w:val="20"/>
          <w:szCs w:val="20"/>
          <w:color w:val="auto"/>
        </w:rPr>
      </w:pPr>
      <w:r>
        <w:rPr>
          <w:rFonts w:ascii="Arial" w:cs="Arial" w:eastAsia="Arial" w:hAnsi="Arial"/>
          <w:sz w:val="16"/>
          <w:szCs w:val="16"/>
          <w:b w:val="1"/>
          <w:bCs w:val="1"/>
          <w:i w:val="1"/>
          <w:iCs w:val="1"/>
          <w:color w:val="auto"/>
        </w:rPr>
        <w:t>We may seek a rare pediatric disease designation for one or more of our product candidates. Even if we were to obtain approval for our product candidates with the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32"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Tovorafenib (DAY101) was granted rare pediatric designation by the FDA in May 2021 for tovorafenib (DAY101) in the treatment of low-grade gliomas, or LGGs, harboring an activating RAF alteration that disproportionately affects children. We intend to submit the initial tovorafenib (DAY101) NDA as a rare pediatric designation marketing application which may or may not be designated as such by the FDA upon review.</w:t>
      </w:r>
    </w:p>
    <w:p>
      <w:pPr>
        <w:spacing w:after="0" w:line="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w:t>
      </w:r>
    </w:p>
    <w:p>
      <w:pPr>
        <w:spacing w:after="0" w:line="185"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priority review voucher upon approval.</w:t>
      </w:r>
    </w:p>
    <w:p>
      <w:pPr>
        <w:spacing w:after="0" w:line="181"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Moreover, while the opportunity to receive a priority review voucher was meant to expire for those companies that had not received a designation by September 30, 2020, the Rare Pediatric Disease Priority Review Voucher program was extended by Congress in December 2020. Under the current statutory sunset provisions, after September 30, 2024, the FDA may only award a voucher for an approved rare pediatric disease product application if the sponsor has rare pediatric disease designation for the drug, and that designation was granted by September 30, 2024. After September 30, 2026, the FDA may not award any rare pediatric disease priority review vouchers.</w:t>
      </w:r>
    </w:p>
    <w:p>
      <w:pPr>
        <w:spacing w:after="0" w:line="290"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87"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if required to develop a companion diagnostic, we may evaluate opportunities to develop, either by ourselves or with collaborators, companion diagnostic tests for our product candidates for certain indications.</w:t>
      </w:r>
    </w:p>
    <w:p>
      <w:pPr>
        <w:spacing w:after="0" w:line="18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7" w:name="page58"/>
    <w:bookmarkEnd w:id="57"/>
    <w:p>
      <w:pPr>
        <w:spacing w:after="0" w:line="274" w:lineRule="auto"/>
        <w:rPr>
          <w:sz w:val="20"/>
          <w:szCs w:val="20"/>
          <w:color w:val="auto"/>
        </w:rPr>
      </w:pPr>
      <w:r>
        <w:rPr>
          <w:rFonts w:ascii="Arial" w:cs="Arial" w:eastAsia="Arial" w:hAnsi="Arial"/>
          <w:sz w:val="16"/>
          <w:szCs w:val="16"/>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how to explain it to patients, or dedicate staff to using it. Any failure to do so could materially harm our business, results of operations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6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 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94"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8" w:name="page59"/>
    <w:bookmarkEnd w:id="58"/>
    <w:p>
      <w:pPr>
        <w:spacing w:after="0" w:line="303"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3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81"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59" w:name="page60"/>
    <w:bookmarkEnd w:id="59"/>
    <w:p>
      <w:pPr>
        <w:jc w:val="both"/>
        <w:ind w:right="40"/>
        <w:spacing w:after="0" w:line="278" w:lineRule="auto"/>
        <w:rPr>
          <w:sz w:val="20"/>
          <w:szCs w:val="20"/>
          <w:color w:val="auto"/>
        </w:rPr>
      </w:pPr>
      <w:r>
        <w:rPr>
          <w:rFonts w:ascii="Arial" w:cs="Arial" w:eastAsia="Arial" w:hAnsi="Arial"/>
          <w:sz w:val="17"/>
          <w:szCs w:val="17"/>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5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44" w:lineRule="exact"/>
        <w:rPr>
          <w:sz w:val="20"/>
          <w:szCs w:val="20"/>
          <w:color w:val="auto"/>
        </w:rPr>
      </w:pPr>
    </w:p>
    <w:p>
      <w:pPr>
        <w:ind w:left="520" w:right="100" w:hanging="512"/>
        <w:spacing w:after="0" w:line="249"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2" w:lineRule="exact"/>
        <w:rPr>
          <w:rFonts w:ascii="Arial" w:cs="Arial" w:eastAsia="Arial" w:hAnsi="Arial"/>
          <w:sz w:val="18"/>
          <w:szCs w:val="18"/>
          <w:color w:val="auto"/>
        </w:rPr>
      </w:pPr>
    </w:p>
    <w:p>
      <w:pPr>
        <w:ind w:left="520" w:right="100" w:hanging="512"/>
        <w:spacing w:after="0" w:line="245"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91" w:lineRule="exact"/>
        <w:rPr>
          <w:rFonts w:ascii="Arial" w:cs="Arial" w:eastAsia="Arial" w:hAnsi="Arial"/>
          <w:sz w:val="18"/>
          <w:szCs w:val="18"/>
          <w:color w:val="auto"/>
        </w:rPr>
      </w:pPr>
    </w:p>
    <w:p>
      <w:pPr>
        <w:ind w:left="520" w:right="400" w:hanging="512"/>
        <w:spacing w:after="0" w:line="290"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2" w:lineRule="exact"/>
        <w:rPr>
          <w:rFonts w:ascii="Arial" w:cs="Arial" w:eastAsia="Arial" w:hAnsi="Arial"/>
          <w:sz w:val="16"/>
          <w:szCs w:val="16"/>
          <w:color w:val="auto"/>
        </w:rPr>
      </w:pPr>
    </w:p>
    <w:p>
      <w:pPr>
        <w:ind w:left="520" w:right="40" w:hanging="512"/>
        <w:spacing w:after="0" w:line="26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58" w:lineRule="exact"/>
        <w:rPr>
          <w:rFonts w:ascii="Arial" w:cs="Arial" w:eastAsia="Arial" w:hAnsi="Arial"/>
          <w:sz w:val="17"/>
          <w:szCs w:val="17"/>
          <w:color w:val="auto"/>
        </w:rPr>
      </w:pPr>
    </w:p>
    <w:p>
      <w:pPr>
        <w:ind w:left="520" w:right="40" w:hanging="512"/>
        <w:spacing w:after="0" w:line="280"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and their immediate family members. Beginning calendar year 2021, manufacturers must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spacing w:after="0" w:line="49" w:lineRule="exact"/>
        <w:rPr>
          <w:rFonts w:ascii="Arial" w:cs="Arial" w:eastAsia="Arial" w:hAnsi="Arial"/>
          <w:sz w:val="16"/>
          <w:szCs w:val="16"/>
          <w:color w:val="auto"/>
        </w:rPr>
      </w:pPr>
    </w:p>
    <w:p>
      <w:pPr>
        <w:ind w:left="520" w:hanging="512"/>
        <w:spacing w:after="0" w:line="274"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w:t>
      </w:r>
    </w:p>
    <w:p>
      <w:pPr>
        <w:ind w:left="520"/>
        <w:spacing w:after="0"/>
        <w:rPr>
          <w:sz w:val="20"/>
          <w:szCs w:val="20"/>
          <w:color w:val="auto"/>
        </w:rPr>
      </w:pPr>
      <w:r>
        <w:rPr>
          <w:rFonts w:ascii="Arial" w:cs="Arial" w:eastAsia="Arial" w:hAnsi="Arial"/>
          <w:sz w:val="18"/>
          <w:szCs w:val="18"/>
          <w:color w:val="auto"/>
        </w:rPr>
        <w:t>often are not preempted by HIPAA, thus complicating compliance efforts.</w:t>
      </w: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0" w:name="page61"/>
    <w:bookmarkEnd w:id="60"/>
    <w:p>
      <w:pPr>
        <w:ind w:right="40"/>
        <w:spacing w:after="0" w:line="242" w:lineRule="auto"/>
        <w:rPr>
          <w:sz w:val="20"/>
          <w:szCs w:val="20"/>
          <w:color w:val="auto"/>
        </w:rPr>
      </w:pPr>
      <w:r>
        <w:rPr>
          <w:rFonts w:ascii="Arial" w:cs="Arial" w:eastAsia="Arial" w:hAnsi="Arial"/>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31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7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w:t>
      </w:r>
    </w:p>
    <w:p>
      <w:pPr>
        <w:spacing w:after="0" w:line="103" w:lineRule="exact"/>
        <w:rPr>
          <w:rFonts w:ascii="Arial" w:cs="Arial" w:eastAsia="Arial" w:hAnsi="Arial"/>
          <w:sz w:val="18"/>
          <w:szCs w:val="18"/>
          <w:color w:val="auto"/>
        </w:rPr>
      </w:pPr>
    </w:p>
    <w:p>
      <w:pPr>
        <w:ind w:left="520" w:right="140" w:hanging="512"/>
        <w:spacing w:after="0" w:line="256"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6" w:lineRule="exact"/>
        <w:rPr>
          <w:rFonts w:ascii="Arial" w:cs="Arial" w:eastAsia="Arial" w:hAnsi="Arial"/>
          <w:sz w:val="18"/>
          <w:szCs w:val="18"/>
          <w:color w:val="auto"/>
        </w:rPr>
      </w:pPr>
    </w:p>
    <w:p>
      <w:pPr>
        <w:ind w:left="520" w:right="280" w:hanging="512"/>
        <w:spacing w:after="0" w:line="261"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6"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2"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as defined by such law, and teaching hospitals;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520" w:hanging="512"/>
        <w:spacing w:after="0" w:line="24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1" w:name="page62"/>
    <w:bookmarkEnd w:id="61"/>
    <w:p>
      <w:pPr>
        <w:spacing w:after="0" w:line="257" w:lineRule="auto"/>
        <w:rPr>
          <w:sz w:val="20"/>
          <w:szCs w:val="20"/>
          <w:color w:val="auto"/>
        </w:rPr>
      </w:pPr>
      <w:r>
        <w:rPr>
          <w:rFonts w:ascii="Arial" w:cs="Arial" w:eastAsia="Arial" w:hAnsi="Arial"/>
          <w:sz w:val="17"/>
          <w:szCs w:val="17"/>
          <w:color w:val="auto"/>
        </w:rPr>
        <w:t>There have been executive, judicial and Congressional challenges to repeal or replace certain aspects of the ACA, including measures taken during the former U.S. president’s administration. The former president of the United States signed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United States Supreme Court held oral arguments on the U.S. Court of Appeals for the Fifth Circuit’s decision that held that the individual mandate is unconstitutional. On February 10, 2021, the current presidential administration withdrew the federal government’s support for overturning the ACA. In June 2021, the Supreme Court remanded the case with instructions to dismiss for lack of standing. However, the Supreme Court did not decide the ultimate issue of the validity of the individual mandate. Thus, there may be other efforts to challenge the individual mandate or to challenge, repeal or replace the ACA. It is unclear how the Supreme Court ruling, other such litigation and the healthcare reform measures of the current presidential administration will impact the ACA and our business.</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former president of the United States used several means to propose or implement drug pricing reform, including through federal budget proposals, executive orders, and policy initiatives.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selling price of certain drugs and biologics that CMS reimburses under Medicare Part B and Part D, although this will only apply to high-expenditure single-source drugs that have been approved for at least 7 years (11 years for biologics). The negotiated prices, which will first become effective in 2026, will be capped at a statutory ceiling price beginning in October 2023, penalize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Such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right="80"/>
        <w:spacing w:after="0" w:line="246"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in response to the COVID-19 pandemic.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 In addition, the withdrawal of the United Kingdom, or UK, from its membership in the EU, often referred to as “Brexit,” could lead to further legal and regulatory uncertainty in the UK and may lead to the UK and EU adopting divergent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 As a result, Brexit could impair our ability to transact business in the EU and the UK.</w:t>
      </w:r>
    </w:p>
    <w:p>
      <w:pPr>
        <w:spacing w:after="0" w:line="283" w:lineRule="exact"/>
        <w:rPr>
          <w:sz w:val="20"/>
          <w:szCs w:val="20"/>
          <w:color w:val="auto"/>
        </w:rPr>
      </w:pPr>
    </w:p>
    <w:p>
      <w:pPr>
        <w:ind w:right="140"/>
        <w:spacing w:after="0" w:line="362" w:lineRule="auto"/>
        <w:rPr>
          <w:sz w:val="20"/>
          <w:szCs w:val="20"/>
          <w:color w:val="auto"/>
        </w:rPr>
      </w:pPr>
      <w:r>
        <w:rPr>
          <w:rFonts w:ascii="Arial" w:cs="Arial" w:eastAsia="Arial" w:hAnsi="Arial"/>
          <w:sz w:val="15"/>
          <w:szCs w:val="15"/>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9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19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20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3" w:name="page64"/>
    <w:bookmarkEnd w:id="63"/>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4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187" w:lineRule="exact"/>
        <w:rPr>
          <w:sz w:val="20"/>
          <w:szCs w:val="20"/>
          <w:color w:val="auto"/>
        </w:rPr>
      </w:pPr>
    </w:p>
    <w:p>
      <w:pPr>
        <w:jc w:val="both"/>
        <w:ind w:right="500"/>
        <w:spacing w:after="0" w:line="268"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66"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5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4" w:name="page65"/>
    <w:bookmarkEnd w:id="64"/>
    <w:p>
      <w:pPr>
        <w:ind w:right="60"/>
        <w:spacing w:after="0" w:line="277" w:lineRule="auto"/>
        <w:rPr>
          <w:sz w:val="20"/>
          <w:szCs w:val="20"/>
          <w:color w:val="auto"/>
        </w:rPr>
      </w:pPr>
      <w:r>
        <w:rPr>
          <w:rFonts w:ascii="Arial" w:cs="Arial" w:eastAsia="Arial" w:hAnsi="Arial"/>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4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are developing our current product candidates in combination with one or more currently approved cancer therapies or therapies in development. Even if any of our current or future product candidates were to receive marketing approval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7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9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have never commercialized a product candidate as a company before and currently lack the comprehensive, fully-staffed expertise, personnel and resources to successfully commercialize any products on our own or together with suitable collaborators.</w:t>
      </w:r>
    </w:p>
    <w:p>
      <w:pPr>
        <w:spacing w:after="0" w:line="2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approval, we will have to develop our own sales, marketing, market access, commercial planning and supply organization or outsource these activities to a third-party.</w:t>
      </w:r>
    </w:p>
    <w:p>
      <w:pPr>
        <w:spacing w:after="0" w:line="2"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We are planning on finding collaborations to secure regulatory approvals and commercialize our products outside of the US. We cannot assure that any collaboration(s) will result in short term or long term benefit to the company.</w:t>
      </w:r>
    </w:p>
    <w:p>
      <w:pPr>
        <w:spacing w:after="0" w:line="186"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4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do not have the ability to independently conduct all aspects of our clinical trials ourselves. As a result, we are dependent on third parties to conduct our ongoing and planned clinical trials of tovorafenib (DAY101) and pimasertib, and any preclinical studies and clinical trials of any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(DAY101)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189"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7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6" w:name="page67"/>
    <w:bookmarkEnd w:id="66"/>
    <w:p>
      <w:pPr>
        <w:ind w:right="280"/>
        <w:spacing w:after="0" w:line="288" w:lineRule="auto"/>
        <w:rPr>
          <w:sz w:val="20"/>
          <w:szCs w:val="20"/>
          <w:color w:val="auto"/>
        </w:rPr>
      </w:pPr>
      <w:r>
        <w:rPr>
          <w:rFonts w:ascii="Arial" w:cs="Arial" w:eastAsia="Arial" w:hAnsi="Arial"/>
          <w:sz w:val="16"/>
          <w:szCs w:val="16"/>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tovorafenib (DAY101), pimasertib or any future product candidates and will not be able to, or may be delayed in our efforts to, successfully commercialize our products.</w:t>
      </w:r>
    </w:p>
    <w:p>
      <w:pPr>
        <w:spacing w:after="0" w:line="260"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i w:val="1"/>
          <w:iCs w:val="1"/>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5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do not have any manufacturing facilities, and we currently contract with certain third-party manufacturers in China. We rely, and expect to continue to rely, on third parties for the manufacture of our product candidates for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For example, the extent to which the COVID-19 pandemic impacts our ability to procure sufficient supplies for the development of our product candidates will depend on the severity and duration of the spread of the virus and the actions undertaken to contain the COVID-19 virus or treat its effects. For example, in March 2022, authorities in Shanghai announced a two-stage lock-down for residents and businesses in response to rising rates of COVID-19. While operations have resumed at our API contract manufacturing and development facilities, we cannot be sure if additional lock-down measures or restrictions will be implemented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76"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reliance on the third-party for regulatory, compliance and quality assurance;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reliance on the third-party for product development, analytical testing, and data generation to support regulatory applications;</w:t>
      </w:r>
    </w:p>
    <w:p>
      <w:pPr>
        <w:spacing w:after="0" w:line="103" w:lineRule="exact"/>
        <w:rPr>
          <w:rFonts w:ascii="Arial" w:cs="Arial" w:eastAsia="Arial" w:hAnsi="Arial"/>
          <w:sz w:val="18"/>
          <w:szCs w:val="18"/>
          <w:color w:val="auto"/>
        </w:rPr>
      </w:pPr>
    </w:p>
    <w:p>
      <w:pPr>
        <w:ind w:left="520" w:right="20" w:hanging="512"/>
        <w:spacing w:after="0" w:line="256"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66"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7" w:name="page68"/>
    <w:bookmarkEnd w:id="67"/>
    <w:p>
      <w:pPr>
        <w:ind w:right="40"/>
        <w:spacing w:after="0" w:line="258" w:lineRule="auto"/>
        <w:rPr>
          <w:sz w:val="20"/>
          <w:szCs w:val="20"/>
          <w:color w:val="auto"/>
        </w:rPr>
      </w:pPr>
      <w:r>
        <w:rPr>
          <w:rFonts w:ascii="Arial" w:cs="Arial" w:eastAsia="Arial" w:hAnsi="Arial"/>
          <w:sz w:val="17"/>
          <w:szCs w:val="17"/>
          <w:color w:val="auto"/>
        </w:rPr>
        <w:t>We have only limited supply arrangements in place with respect to our product candidates, and these arrangements do not extend to commercial supply. We acquire all key materials on a purchase order basis. As a result, we do not have long-term committed arrangements with respect to our product candidates and other materials. As a result, supply chain issues, such as those related to certain packaging material, may negatively impact our ability to package and deliver product candidates if not managed effectively.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 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80"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natural disasters, fire, acts of terrorism, pandemics, including the COVID-19 pandemic, or other catastrophic events.</w:t>
      </w:r>
    </w:p>
    <w:p>
      <w:pPr>
        <w:spacing w:after="0" w:line="19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80"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apart from tovorafenib (DAY101)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w:t>
      </w: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ind w:right="6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6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7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58" w:lineRule="exact"/>
        <w:rPr>
          <w:sz w:val="20"/>
          <w:szCs w:val="20"/>
          <w:color w:val="auto"/>
        </w:rPr>
      </w:pPr>
    </w:p>
    <w:p>
      <w:pPr>
        <w:ind w:left="520" w:right="280" w:hanging="512"/>
        <w:spacing w:after="0" w:line="27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48" w:lineRule="exact"/>
        <w:rPr>
          <w:rFonts w:ascii="Arial" w:cs="Arial" w:eastAsia="Arial" w:hAnsi="Arial"/>
          <w:sz w:val="18"/>
          <w:szCs w:val="18"/>
          <w:color w:val="auto"/>
        </w:rPr>
      </w:pPr>
    </w:p>
    <w:p>
      <w:pPr>
        <w:ind w:left="520" w:right="20" w:hanging="512"/>
        <w:spacing w:after="0" w:line="249"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2"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8" w:lineRule="exact"/>
        <w:rPr>
          <w:rFonts w:ascii="Arial" w:cs="Arial" w:eastAsia="Arial" w:hAnsi="Arial"/>
          <w:sz w:val="18"/>
          <w:szCs w:val="18"/>
          <w:color w:val="auto"/>
        </w:rPr>
      </w:pPr>
    </w:p>
    <w:p>
      <w:pPr>
        <w:ind w:left="520" w:right="80" w:hanging="512"/>
        <w:spacing w:after="0" w:line="256"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66" w:lineRule="exact"/>
        <w:rPr>
          <w:rFonts w:ascii="Arial" w:cs="Arial" w:eastAsia="Arial" w:hAnsi="Arial"/>
          <w:sz w:val="18"/>
          <w:szCs w:val="18"/>
          <w:color w:val="auto"/>
        </w:rPr>
      </w:pPr>
    </w:p>
    <w:p>
      <w:pPr>
        <w:ind w:left="520" w:right="20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auto"/>
        </w:rPr>
      </w:pPr>
    </w:p>
    <w:p>
      <w:pPr>
        <w:ind w:left="520" w:right="360" w:hanging="512"/>
        <w:spacing w:after="0" w:line="303" w:lineRule="auto"/>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32" w:lineRule="exact"/>
        <w:rPr>
          <w:rFonts w:ascii="Arial" w:cs="Arial" w:eastAsia="Arial" w:hAnsi="Arial"/>
          <w:sz w:val="16"/>
          <w:szCs w:val="16"/>
          <w:color w:val="auto"/>
        </w:rPr>
      </w:pPr>
    </w:p>
    <w:p>
      <w:pPr>
        <w:ind w:left="520" w:right="100" w:hanging="512"/>
        <w:spacing w:after="0" w:line="342" w:lineRule="auto"/>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2" w:lineRule="exact"/>
        <w:rPr>
          <w:rFonts w:ascii="Arial" w:cs="Arial" w:eastAsia="Arial" w:hAnsi="Arial"/>
          <w:sz w:val="16"/>
          <w:szCs w:val="16"/>
          <w:color w:val="auto"/>
        </w:rPr>
      </w:pPr>
    </w:p>
    <w:p>
      <w:pPr>
        <w:ind w:left="520" w:right="12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115" w:lineRule="exact"/>
        <w:rPr>
          <w:rFonts w:ascii="Arial" w:cs="Arial" w:eastAsia="Arial" w:hAnsi="Arial"/>
          <w:sz w:val="17"/>
          <w:szCs w:val="17"/>
          <w:color w:val="auto"/>
        </w:rPr>
      </w:pPr>
    </w:p>
    <w:p>
      <w:pPr>
        <w:ind w:left="520" w:right="26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84"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63"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Jeremy Bender, Ph.D., M.B.A., our Chief Executive Officer, Samuel Blackman, M.D., Ph.D., our Chief Medical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16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w:t>
      </w:r>
    </w:p>
    <w:p>
      <w:pPr>
        <w:spacing w:after="0" w:line="19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0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We had 102 full-time employees as of September 30, 2022.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58"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tovorafenib (DAY101),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tovorafenib (DAY101), pimasertib,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5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tovorafenib (DAY101), pimasertib, our other pipeline product candidates or any future product candidates and, accordingly, may not achieve our research, development and commercialization goals.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70" w:name="page71"/>
    <w:bookmarkEnd w:id="70"/>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2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5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93"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and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29"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 parties with whom we work, as we rely on a number of third parties to operate our critical business systems and process confidential, proprietary, and sensitive information.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1" w:name="page72"/>
    <w:bookmarkEnd w:id="71"/>
    <w:p>
      <w:pPr>
        <w:ind w:right="60"/>
        <w:spacing w:after="0" w:line="280" w:lineRule="auto"/>
        <w:rPr>
          <w:sz w:val="20"/>
          <w:szCs w:val="20"/>
          <w:color w:val="auto"/>
        </w:rPr>
      </w:pPr>
      <w:r>
        <w:rPr>
          <w:rFonts w:ascii="Arial" w:cs="Arial" w:eastAsia="Arial" w:hAnsi="Arial"/>
          <w:sz w:val="16"/>
          <w:szCs w:val="16"/>
          <w:color w:val="auto"/>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p>
    <w:p>
      <w:pPr>
        <w:spacing w:after="0" w:line="15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COVID-19 pandemic and the subsequent increase of “work from home” have generally increased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tovorafenib (DAY101),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imposes a private right of action for security breaches that could lead to some form of remedy including regulatory scrutiny, fines, private right of action settlements, and other consequences.</w:t>
      </w:r>
    </w:p>
    <w:p>
      <w:pPr>
        <w:spacing w:after="0" w:line="174" w:lineRule="exact"/>
        <w:rPr>
          <w:sz w:val="20"/>
          <w:szCs w:val="20"/>
          <w:color w:val="auto"/>
        </w:rPr>
      </w:pPr>
    </w:p>
    <w:p>
      <w:pPr>
        <w:jc w:val="both"/>
        <w:ind w:right="140"/>
        <w:spacing w:after="0" w:line="290" w:lineRule="auto"/>
        <w:rPr>
          <w:sz w:val="20"/>
          <w:szCs w:val="20"/>
          <w:color w:val="auto"/>
        </w:rPr>
      </w:pPr>
      <w:r>
        <w:rPr>
          <w:rFonts w:ascii="Arial" w:cs="Arial" w:eastAsia="Arial" w:hAnsi="Arial"/>
          <w:sz w:val="16"/>
          <w:szCs w:val="16"/>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tovorafenib (DAY101), pimasertib,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2" w:name="page73"/>
    <w:bookmarkEnd w:id="72"/>
    <w:p>
      <w:pPr>
        <w:ind w:right="20"/>
        <w:spacing w:after="0" w:line="280" w:lineRule="auto"/>
        <w:rPr>
          <w:sz w:val="20"/>
          <w:szCs w:val="20"/>
          <w:color w:val="auto"/>
        </w:rPr>
      </w:pPr>
      <w:r>
        <w:rPr>
          <w:rFonts w:ascii="Arial" w:cs="Arial" w:eastAsia="Arial" w:hAnsi="Arial"/>
          <w:sz w:val="16"/>
          <w:szCs w:val="16"/>
          <w:color w:val="auto"/>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71"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18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 security breach may cause us to breach customer contracts. Our agreements with certain customers may require us to use industry-standard or reasonable measures to safeguard personal information. We also may be subject to laws that require us to use industry-standard or reasonable security measures to safeguard personal information. A security breach could lead to claims by our customers or other relevant stakeholders that we have failed to comply with such legal or contractual obligations. In addition, our inability to comply with data privacy obligations in our customer contracts or our inability to flow down such obligations from our customers to our CROs, CMOs, vendors, contractors, consultants, and other third-party partners may cause us to breach our customer contracts. As a result, we could be subject to legal action or our customers could end their relationships with us. There can be no assurance that the limitations of liability in our contracts would be enforceable or adequate or would otherwise protect us from liabilities or damages.</w:t>
      </w:r>
    </w:p>
    <w:p>
      <w:pPr>
        <w:spacing w:after="0" w:line="15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17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264" w:lineRule="exact"/>
        <w:rPr>
          <w:sz w:val="20"/>
          <w:szCs w:val="20"/>
          <w:color w:val="auto"/>
        </w:rPr>
      </w:pPr>
    </w:p>
    <w:p>
      <w:pPr>
        <w:ind w:right="260"/>
        <w:spacing w:after="0" w:line="331" w:lineRule="auto"/>
        <w:rPr>
          <w:sz w:val="20"/>
          <w:szCs w:val="20"/>
          <w:color w:val="auto"/>
        </w:rPr>
      </w:pPr>
      <w:r>
        <w:rPr>
          <w:rFonts w:ascii="Arial" w:cs="Arial" w:eastAsia="Arial" w:hAnsi="Arial"/>
          <w:sz w:val="15"/>
          <w:szCs w:val="15"/>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15"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We and third parties who we work with are or may become subject to numerous domestic and foreign data protection laws and regulations (i.e., laws and regulations that address privacy and data security), the scope of which are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15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3" w:name="page74"/>
    <w:bookmarkEnd w:id="73"/>
    <w:p>
      <w:pPr>
        <w:ind w:right="60"/>
        <w:spacing w:after="0" w:line="276" w:lineRule="auto"/>
        <w:rPr>
          <w:sz w:val="20"/>
          <w:szCs w:val="20"/>
          <w:color w:val="auto"/>
        </w:rPr>
      </w:pPr>
      <w:r>
        <w:rPr>
          <w:rFonts w:ascii="Arial" w:cs="Arial" w:eastAsia="Arial" w:hAnsi="Arial"/>
          <w:sz w:val="16"/>
          <w:szCs w:val="16"/>
          <w:color w:val="auto"/>
        </w:rPr>
        <w:t>The state of California recently enacted the CCPA, which creates new individual privacy rights for California consumers and places increased privacy and data security obligations on entities handling personal information of consumers or households. The CCPA went into effect on January 1, 2020 and may impact our business activities and exemplifies the vulnerability of our business to the evolving regulatory environment related to personal information and protected health information. Additionally, although not effective until January 1, 2023, the California Privacy Rights Act, or the CPRA, which expands upon the CCPA, was passed in the November 2020 election.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such as in Nevada, New Hampshire, Ohio, New York, Washington, Illinois and Nebraska, as well as in Virginia, which passed the Virginia Consumer Data Protection Act, or VCDPA, which will be effective as of January 1, 2023, and Colorado, which enacted the Colorado Privacy Act, or CoPA, which is set to take effect on July 1, 2023. The VCDPA, CoPA and other such proposed legislation, if enacted, could increase our potential liability and compliance costs, and adversely affect our business.</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Foreign data protection laws, including Regulation 2016/679, known as the General Data Protection Regulation, or GDPR, may apply to personal information (including health-related data) obtained from individuals in the European Economic Area, or the EEA, and Switzerland. The GDPR, and its implementing legislation across the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4" w:name="page75"/>
    <w:bookmarkEnd w:id="74"/>
    <w:p>
      <w:pPr>
        <w:spacing w:after="0" w:line="271" w:lineRule="auto"/>
        <w:rPr>
          <w:sz w:val="20"/>
          <w:szCs w:val="20"/>
          <w:color w:val="auto"/>
        </w:rPr>
      </w:pPr>
      <w:r>
        <w:rPr>
          <w:rFonts w:ascii="Arial" w:cs="Arial" w:eastAsia="Arial" w:hAnsi="Arial"/>
          <w:sz w:val="16"/>
          <w:szCs w:val="16"/>
          <w:color w:val="auto"/>
        </w:rPr>
        <w:t>Further, European data protection laws generally prohibit the transfer of personal information to countries outside of the EEA, UK,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CJEU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If we elect to rely on the new Standard Contractual Clauses for personal data transfers out of the EU, and in light of the EDPB recommendations, we may be required to expend significant resources to meet the obligations the new Standard Contractual Clauses impose; for example, we may be required to conduct transfer impact assessments for such cross-border data transfers and implement additional security measures. We will also have to spend resources to ensure that, prior to 2023, these new Standard Contractual Clauses are incorporated into all contracts governing data processing and cross-border transfer, including those contracts that are currently subject to the old Standard Contractual Clauses. In addition, it is anticipated that the UK will finalize its new model clauses governing cross-border data transfers, and therefore we will have to spend additional time and resources seeking to comply with the UK’s unique requirements in this area. Due to potential legal challenges, there is uncertainty regarding whether the new EU Standard Contractual Clauses will remain a valid mechanism for transfers of personal information out of the EEA.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To comply with these requirements and as supervisory authorities continue to issue further guidance, we may need to implement additional safeguards to further enhance the security of data transferred out of Europe, we could suffer additional costs, complaints, or regulatory investigations or fines, and if we are otherwise unable to transfer personal information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18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16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spacing w:after="0" w:line="166"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We are or may become subject to the terms of external and internal privacy and security policies, representations, certifications, publications related to privacy and security.</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5" w:name="page76"/>
    <w:bookmarkEnd w:id="75"/>
    <w:p>
      <w:pPr>
        <w:ind w:right="80"/>
        <w:spacing w:after="0" w:line="244" w:lineRule="auto"/>
        <w:rPr>
          <w:sz w:val="20"/>
          <w:szCs w:val="20"/>
          <w:color w:val="auto"/>
        </w:rPr>
      </w:pPr>
      <w:r>
        <w:rPr>
          <w:rFonts w:ascii="Arial" w:cs="Arial" w:eastAsia="Arial" w:hAnsi="Arial"/>
          <w:sz w:val="18"/>
          <w:szCs w:val="18"/>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29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6" w:name="page77"/>
    <w:bookmarkEnd w:id="76"/>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49"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9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6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have engaged, for instance with affiliates of Takeda Pharmaceutical Company Limited, Viracta Therapeutics, Inc. and Merck KGaA, Darmstadt, Germany, and from time to time, we may consider further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8"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03" w:lineRule="exact"/>
        <w:rPr>
          <w:rFonts w:ascii="Arial" w:cs="Arial" w:eastAsia="Arial" w:hAnsi="Arial"/>
          <w:sz w:val="18"/>
          <w:szCs w:val="18"/>
          <w:color w:val="auto"/>
        </w:rPr>
      </w:pPr>
    </w:p>
    <w:p>
      <w:pPr>
        <w:ind w:left="520" w:right="520" w:hanging="512"/>
        <w:spacing w:after="0" w:line="261"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7" w:name="page78"/>
    <w:bookmarkEnd w:id="77"/>
    <w:p>
      <w:pPr>
        <w:ind w:left="520" w:hanging="512"/>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7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172"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6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8" w:name="page79"/>
    <w:bookmarkEnd w:id="78"/>
    <w:p>
      <w:pPr>
        <w:ind w:right="20"/>
        <w:spacing w:after="0" w:line="261" w:lineRule="auto"/>
        <w:rPr>
          <w:sz w:val="20"/>
          <w:szCs w:val="20"/>
          <w:color w:val="auto"/>
        </w:rPr>
      </w:pPr>
      <w:r>
        <w:rPr>
          <w:rFonts w:ascii="Arial" w:cs="Arial" w:eastAsia="Arial" w:hAnsi="Arial"/>
          <w:sz w:val="17"/>
          <w:szCs w:val="17"/>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176"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spacing w:after="0" w:line="27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7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spacing w:after="0" w:line="257"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other similar proceedings challenging our owned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8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520" w:right="4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48"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03" w:lineRule="exact"/>
        <w:rPr>
          <w:rFonts w:ascii="Arial" w:cs="Arial" w:eastAsia="Arial" w:hAnsi="Arial"/>
          <w:sz w:val="18"/>
          <w:szCs w:val="18"/>
          <w:color w:val="auto"/>
        </w:rPr>
      </w:pPr>
    </w:p>
    <w:p>
      <w:pPr>
        <w:ind w:left="520" w:right="620" w:hanging="512"/>
        <w:spacing w:after="0" w:line="261"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03"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17" w:lineRule="exact"/>
        <w:rPr>
          <w:rFonts w:ascii="Arial" w:cs="Arial" w:eastAsia="Arial" w:hAnsi="Arial"/>
          <w:sz w:val="18"/>
          <w:szCs w:val="18"/>
          <w:color w:val="auto"/>
        </w:rPr>
      </w:pPr>
    </w:p>
    <w:p>
      <w:pPr>
        <w:ind w:left="520" w:right="120" w:hanging="512"/>
        <w:spacing w:after="0" w:line="261"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ind w:right="440"/>
        <w:spacing w:after="0" w:line="256"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7"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Inter Partes Review, or IPR, proceedings and Post 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87"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520" w:right="160" w:hanging="512"/>
        <w:spacing w:after="0" w:line="24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1" w:name="page82"/>
    <w:bookmarkEnd w:id="81"/>
    <w:p>
      <w:pPr>
        <w:spacing w:after="0" w:line="275" w:lineRule="auto"/>
        <w:rPr>
          <w:sz w:val="20"/>
          <w:szCs w:val="20"/>
          <w:color w:val="auto"/>
        </w:rPr>
      </w:pPr>
      <w:r>
        <w:rPr>
          <w:rFonts w:ascii="Arial" w:cs="Arial" w:eastAsia="Arial" w:hAnsi="Arial"/>
          <w:sz w:val="16"/>
          <w:szCs w:val="16"/>
          <w:color w:val="auto"/>
        </w:rPr>
        <w:t>Although no third party has asserted a claim of patent infringement against us as of September 30, 2022, others may hold proprietary rights that could prevent our product candidates from being marketed. It is possible that a third-party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62"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7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our current product candidates or develop new product candidates based on these technologies will be materially adversely affected.</w:t>
      </w:r>
    </w:p>
    <w:p>
      <w:pPr>
        <w:spacing w:after="0" w:line="6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p>
    <w:p>
      <w:pPr>
        <w:spacing w:after="0" w:line="93"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lose our rights to develop and market our current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lose patent or trade secret protection for our current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experience significant delays in the development or commercialization of our current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be able to obtain any other licenses on acceptable terms, if at all;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incur liability for damages.</w:t>
      </w:r>
    </w:p>
    <w:p>
      <w:pPr>
        <w:spacing w:after="0" w:line="21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11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If we experience any of the foregoing, it could have a materially adverse effect on our business and could force us to cease operations which could cause you to lose all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breach our license agreements, it could have a material adverse effect on our commercialization efforts for our product candidates.</w:t>
      </w:r>
    </w:p>
    <w:p>
      <w:pPr>
        <w:spacing w:after="0" w:line="115"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If we breach any of the agreements under which we license the use, development and commercialization rights to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2" w:name="page83"/>
    <w:bookmarkEnd w:id="82"/>
    <w:p>
      <w:pPr>
        <w:ind w:right="20"/>
        <w:spacing w:after="0" w:line="256" w:lineRule="auto"/>
        <w:rPr>
          <w:sz w:val="20"/>
          <w:szCs w:val="20"/>
          <w:color w:val="auto"/>
        </w:rPr>
      </w:pPr>
      <w:r>
        <w:rPr>
          <w:rFonts w:ascii="Arial" w:cs="Arial" w:eastAsia="Arial" w:hAnsi="Arial"/>
          <w:sz w:val="18"/>
          <w:szCs w:val="18"/>
          <w:color w:val="auto"/>
        </w:rPr>
        <w:t>Our current lead product candidates are protected by, among other intellectual property rights, patents and patent applications we co-own and exclusively in-licensed from Viracta Therapeutics, Inc. (f/k/a Sunesis Pharmaceuticals, Inc.). Our current lead product candidates and pipeline and our anticipated near-term pipeline may include technologies, licensed from, for example Merck KGaA, Darmstadt, Germany.</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1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63"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520" w:right="360" w:hanging="512"/>
        <w:spacing w:after="0" w:line="277"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development relationships;</w:t>
      </w:r>
    </w:p>
    <w:p>
      <w:pPr>
        <w:spacing w:after="0" w:line="103" w:lineRule="exact"/>
        <w:rPr>
          <w:rFonts w:ascii="Arial" w:cs="Arial" w:eastAsia="Arial" w:hAnsi="Arial"/>
          <w:sz w:val="18"/>
          <w:szCs w:val="18"/>
          <w:color w:val="auto"/>
        </w:rPr>
      </w:pPr>
    </w:p>
    <w:p>
      <w:pPr>
        <w:ind w:left="520" w:right="340" w:hanging="512"/>
        <w:spacing w:after="0" w:line="277"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03"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our licensors.</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6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9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3" w:name="page84"/>
    <w:bookmarkEnd w:id="83"/>
    <w:p>
      <w:pPr>
        <w:ind w:right="40"/>
        <w:spacing w:after="0" w:line="366" w:lineRule="auto"/>
        <w:rPr>
          <w:sz w:val="20"/>
          <w:szCs w:val="20"/>
          <w:color w:val="auto"/>
        </w:rPr>
      </w:pPr>
      <w:r>
        <w:rPr>
          <w:rFonts w:ascii="Arial" w:cs="Arial" w:eastAsia="Arial" w:hAnsi="Arial"/>
          <w:sz w:val="15"/>
          <w:szCs w:val="15"/>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jc w:val="both"/>
        <w:ind w:right="120"/>
        <w:spacing w:after="0" w:line="278" w:lineRule="auto"/>
        <w:rPr>
          <w:sz w:val="20"/>
          <w:szCs w:val="20"/>
          <w:color w:val="auto"/>
        </w:rPr>
      </w:pPr>
      <w:r>
        <w:rPr>
          <w:rFonts w:ascii="Arial" w:cs="Arial" w:eastAsia="Arial" w:hAnsi="Arial"/>
          <w:sz w:val="17"/>
          <w:szCs w:val="17"/>
          <w:color w:val="auto"/>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15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309" w:lineRule="exact"/>
        <w:rPr>
          <w:sz w:val="20"/>
          <w:szCs w:val="20"/>
          <w:color w:val="auto"/>
        </w:rPr>
      </w:pPr>
    </w:p>
    <w:p>
      <w:pPr>
        <w:ind w:right="680"/>
        <w:spacing w:after="0" w:line="356" w:lineRule="auto"/>
        <w:rPr>
          <w:sz w:val="20"/>
          <w:szCs w:val="20"/>
          <w:color w:val="auto"/>
        </w:rPr>
      </w:pPr>
      <w:r>
        <w:rPr>
          <w:rFonts w:ascii="Arial" w:cs="Arial" w:eastAsia="Arial" w:hAnsi="Arial"/>
          <w:sz w:val="15"/>
          <w:szCs w:val="15"/>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7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18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84" w:name="page85"/>
    <w:bookmarkEnd w:id="84"/>
    <w:p>
      <w:pPr>
        <w:ind w:right="20"/>
        <w:spacing w:after="0" w:line="263"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8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7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2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4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27"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our product candidates to market.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5" w:name="page86"/>
    <w:bookmarkEnd w:id="85"/>
    <w:p>
      <w:pPr>
        <w:ind w:right="12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181"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8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7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18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187"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307"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8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7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9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174"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Currently, our intellectual property protection includes patents and patent applications that we have in-licensed from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w:t>
      </w:r>
    </w:p>
    <w:p>
      <w:pPr>
        <w:spacing w:after="0" w:line="309"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8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63"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18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0" w:name="page91"/>
    <w:bookmarkEnd w:id="90"/>
    <w:p>
      <w:pPr>
        <w:ind w:right="3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4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76" w:lineRule="exact"/>
        <w:rPr>
          <w:sz w:val="20"/>
          <w:szCs w:val="20"/>
          <w:color w:val="auto"/>
        </w:rPr>
      </w:pPr>
    </w:p>
    <w:p>
      <w:pPr>
        <w:ind w:left="520" w:right="500" w:hanging="512"/>
        <w:spacing w:after="0" w:line="261"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62"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48"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w:t>
      </w:r>
    </w:p>
    <w:p>
      <w:pPr>
        <w:spacing w:after="0" w:line="103" w:lineRule="exact"/>
        <w:rPr>
          <w:rFonts w:ascii="Arial" w:cs="Arial" w:eastAsia="Arial" w:hAnsi="Arial"/>
          <w:sz w:val="18"/>
          <w:szCs w:val="18"/>
          <w:color w:val="auto"/>
        </w:rPr>
      </w:pPr>
    </w:p>
    <w:p>
      <w:pPr>
        <w:ind w:left="520" w:right="400" w:hanging="512"/>
        <w:spacing w:after="0" w:line="261"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rising interest rates, inflation, the war in Ukraine and the recent COVID-19 pandemic; and</w:t>
      </w:r>
    </w:p>
    <w:p>
      <w:pPr>
        <w:spacing w:after="0" w:line="76" w:lineRule="exact"/>
        <w:rPr>
          <w:rFonts w:ascii="Arial" w:cs="Arial" w:eastAsia="Arial" w:hAnsi="Arial"/>
          <w:sz w:val="18"/>
          <w:szCs w:val="18"/>
          <w:color w:val="auto"/>
        </w:rPr>
      </w:pPr>
    </w:p>
    <w:p>
      <w:pPr>
        <w:ind w:left="520" w:right="600" w:hanging="512"/>
        <w:spacing w:after="0" w:line="261"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business development activities, such as additional program in-licensing, which could result in up-front payments or increased development expenses.</w:t>
      </w:r>
    </w:p>
    <w:p>
      <w:pPr>
        <w:spacing w:after="0" w:line="171"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is likely to be highly volatile, which could result in substantial losses for purchasers of our common stock.</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39"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results of preclinical studies or clinical trials by us or those of our competitors or by existing or future collaborators or licensing partners;</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enrollment status of our clinical trials;</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 especially changes in laws or regulations applicable to our business;</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introductions and announcements of new product candidates by us, our future collaboration partners, or our competitors, and the timing of these introductions or announcements;</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126" w:lineRule="exact"/>
        <w:rPr>
          <w:rFonts w:ascii="Arial" w:cs="Arial" w:eastAsia="Arial" w:hAnsi="Arial"/>
          <w:sz w:val="16"/>
          <w:szCs w:val="16"/>
          <w:color w:val="auto"/>
        </w:rPr>
      </w:pPr>
    </w:p>
    <w:p>
      <w:pPr>
        <w:ind w:left="520" w:right="100" w:hanging="512"/>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91" w:name="page92"/>
    <w:bookmarkEnd w:id="91"/>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or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announced or completed significant acquisitions, strategic collaborations, joint ventures or capital commitments by us or our competitors;</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and proprietary rights;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520" w:right="580" w:hanging="512"/>
        <w:spacing w:after="0" w:line="261"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interest rate increases on the overall stock market and the market for biopharmaceutical company stocks;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shares of our common stock by us, insiders or our stockholders;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natural disasters, terrorist acts, acts of war and other calamities;</w:t>
      </w:r>
    </w:p>
    <w:p>
      <w:pPr>
        <w:spacing w:after="0" w:line="117"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rising interest rates and inflation, many of which are beyond our control, such as the recent COVID-19 pandemic; and</w:t>
      </w:r>
    </w:p>
    <w:p>
      <w:pPr>
        <w:spacing w:after="0" w:line="62"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including those related to the war in Ukraine.</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including as a result of the COVID-19 pandemic, increase in inflation and interest rates, and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4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76"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timing and variations in the level of expense related to the current or future development of our programs;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timing and status of enrollment for our clinical trials;</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92" w:name="page93"/>
    <w:bookmarkEnd w:id="92"/>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potential future partners;</w:t>
      </w:r>
    </w:p>
    <w:p>
      <w:pPr>
        <w:spacing w:after="0" w:line="117"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48"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product candidate we may develop receive regulatory approval, the timing and terms of such approval and market acceptance and demand for such product candidates;</w:t>
      </w:r>
    </w:p>
    <w:p>
      <w:pPr>
        <w:spacing w:after="0" w:line="62"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and distribution infrastructure to commercialize any products for which we may obtain marketing approval and intend to commercialize on our own or jointly with future collaborators;</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developments affecting current or future product candidates or those of our competitors;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of expense or gain associated with the change in value of the success payments and contingent consideration;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impacts from the COVID-19 pandemic on us or third parties with which we engage;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including due to rising interest rates, inflation and the war in Ukraine.</w:t>
      </w:r>
    </w:p>
    <w:p>
      <w:pPr>
        <w:spacing w:after="0" w:line="21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49"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0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7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holders of an aggregate of 73,511,923 shares of our outstanding common stock as of September 30, 2022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w:t>
      </w:r>
    </w:p>
    <w:p>
      <w:pPr>
        <w:spacing w:after="0" w:line="194" w:lineRule="exact"/>
        <w:rPr>
          <w:sz w:val="20"/>
          <w:szCs w:val="20"/>
          <w:color w:val="auto"/>
        </w:rPr>
      </w:pPr>
    </w:p>
    <w:p>
      <w:pPr>
        <w:jc w:val="both"/>
        <w:ind w:right="460"/>
        <w:spacing w:after="0" w:line="270"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177" w:lineRule="exact"/>
        <w:rPr>
          <w:sz w:val="20"/>
          <w:szCs w:val="20"/>
          <w:color w:val="auto"/>
        </w:rPr>
      </w:pPr>
    </w:p>
    <w:p>
      <w:pPr>
        <w:jc w:val="center"/>
        <w:ind w:right="80"/>
        <w:spacing w:after="0" w:line="245"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3" w:name="page94"/>
    <w:bookmarkEnd w:id="93"/>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Based on the beneficial ownership of our common stock as of September 30, 2022, our executive officers, directors, holders of 5% or more of our capital stock and their respective affiliates beneficially owned 45%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7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w:t>
      </w:r>
    </w:p>
    <w:p>
      <w:pPr>
        <w:spacing w:after="0" w:line="184"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 xml:space="preserve">We could be an emerging growth company for up to five fiscal years following the completion of the IPO;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$1.235 billion or more, or if we issue more than $1.0 billion in non-convertible debt during any three-year period before that time.</w:t>
      </w:r>
    </w:p>
    <w:p>
      <w:pPr>
        <w:spacing w:after="0" w:line="18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4" w:name="page95"/>
    <w:bookmarkEnd w:id="94"/>
    <w:p>
      <w:pPr>
        <w:ind w:right="80"/>
        <w:spacing w:after="0" w:line="278"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6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76"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87"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03"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5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30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8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20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5" w:name="page96"/>
    <w:bookmarkEnd w:id="95"/>
    <w:p>
      <w:pPr>
        <w:ind w:right="20"/>
        <w:spacing w:after="0" w:line="275"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7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186"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27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 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6" w:name="page97"/>
    <w:bookmarkEnd w:id="96"/>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4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annual report for our fiscal year ending December 31, 2022. When we lose our status as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Global Select Market, or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0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On June 1, 2021, we completed our IPO and sold 11,500,000 shares of common stock at an IPO price of $16.00 per share. The offer and sale of all of the shares in the IPO were registered under the Securities Act pursuant to registration statements on Form S-1 (File No. 333-255754), which was declared effective by the SEC on May 26, 2021. No additional shares were registered.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97" w:name="page98"/>
    <w:bookmarkEnd w:id="97"/>
    <w:p>
      <w:pPr>
        <w:spacing w:after="0" w:line="268" w:lineRule="auto"/>
        <w:rPr>
          <w:sz w:val="20"/>
          <w:szCs w:val="20"/>
          <w:color w:val="auto"/>
        </w:rPr>
      </w:pPr>
      <w:r>
        <w:rPr>
          <w:rFonts w:ascii="Arial" w:cs="Arial" w:eastAsia="Arial" w:hAnsi="Arial"/>
          <w:sz w:val="17"/>
          <w:szCs w:val="17"/>
          <w:color w:val="auto"/>
        </w:rPr>
        <w:t>We received net proceeds from the IPO of approximately $167.0 million, after deducting underwriting discounts and commissions of approximately $12.9 million and estimated offering expenses of approximately $4.1 million. J.P. Morgan Securities LLC, Cowen and Company, LLC and Piper Sandler &amp; Co.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no material change in the planned use of proceeds from our IPO as described in the Prospectus filed with the SEC pursuant to Rule 424(b)</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 under the Securities Act on May 27, 2021.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ind w:left="360"/>
              <w:spacing w:after="0"/>
              <w:rPr>
                <w:sz w:val="20"/>
                <w:szCs w:val="20"/>
                <w:color w:val="auto"/>
              </w:rPr>
            </w:pPr>
            <w:r>
              <w:rPr>
                <w:rFonts w:ascii="Arial" w:cs="Arial" w:eastAsia="Arial" w:hAnsi="Arial"/>
                <w:sz w:val="14"/>
                <w:szCs w:val="14"/>
                <w:b w:val="1"/>
                <w:bCs w:val="1"/>
                <w:color w:val="auto"/>
              </w:rPr>
              <w:t>Filing</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r>
      <w:tr>
        <w:trPr>
          <w:trHeight w:val="183"/>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45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5"/>
                <w:szCs w:val="15"/>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5"/>
                <w:szCs w:val="15"/>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No.</w:t>
            </w:r>
          </w:p>
        </w:tc>
        <w:tc>
          <w:tcPr>
            <w:tcW w:w="140" w:type="dxa"/>
            <w:vAlign w:val="bottom"/>
          </w:tcPr>
          <w:p>
            <w:pPr>
              <w:spacing w:after="0"/>
              <w:rPr>
                <w:sz w:val="15"/>
                <w:szCs w:val="15"/>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bl>
    <w:p>
      <w:pPr>
        <w:spacing w:after="0" w:line="9" w:lineRule="exact"/>
        <w:rPr>
          <w:sz w:val="20"/>
          <w:szCs w:val="20"/>
          <w:color w:val="auto"/>
        </w:rPr>
      </w:pPr>
    </w:p>
    <w:p>
      <w:pPr>
        <w:sectPr>
          <w:pgSz w:w="11900" w:h="16838" w:orient="portrait"/>
          <w:cols w:equalWidth="0" w:num="1">
            <w:col w:w="11220"/>
          </w:cols>
          <w:pgMar w:left="320" w:top="324" w:right="359" w:bottom="1440" w:gutter="0" w:footer="0" w:header="0"/>
        </w:sectPr>
      </w:pPr>
    </w:p>
    <w:tbl>
      <w:tblPr>
        <w:tblLayout w:type="fixed"/>
        <w:tblInd w:w="140" w:type="dxa"/>
        <w:tblCellMar>
          <w:top w:w="0" w:type="dxa"/>
          <w:left w:w="0" w:type="dxa"/>
          <w:bottom w:w="0" w:type="dxa"/>
          <w:right w:w="0" w:type="dxa"/>
        </w:tblCellMar>
      </w:tblPr>
      <w:tr>
        <w:trPr>
          <w:trHeight w:val="207"/>
        </w:trPr>
        <w:tc>
          <w:tcPr>
            <w:tcW w:w="1000" w:type="dxa"/>
            <w:vAlign w:val="bottom"/>
          </w:tcPr>
          <w:p>
            <w:pPr>
              <w:ind w:left="80"/>
              <w:spacing w:after="0"/>
              <w:rPr>
                <w:sz w:val="20"/>
                <w:szCs w:val="20"/>
                <w:color w:val="auto"/>
              </w:rPr>
            </w:pPr>
            <w:r>
              <w:rPr>
                <w:rFonts w:ascii="Arial" w:cs="Arial" w:eastAsia="Arial" w:hAnsi="Arial"/>
                <w:sz w:val="18"/>
                <w:szCs w:val="18"/>
                <w:color w:val="auto"/>
              </w:rPr>
              <w:t>31.1</w:t>
            </w:r>
          </w:p>
        </w:tc>
        <w:tc>
          <w:tcPr>
            <w:tcW w:w="4520" w:type="dxa"/>
            <w:vAlign w:val="bottom"/>
            <w:gridSpan w:val="13"/>
          </w:tcPr>
          <w:p>
            <w:pPr>
              <w:spacing w:after="0"/>
              <w:rPr>
                <w:sz w:val="20"/>
                <w:szCs w:val="20"/>
                <w:color w:val="auto"/>
              </w:rPr>
            </w:pPr>
            <w:r>
              <w:rPr>
                <w:rFonts w:ascii="Arial" w:cs="Arial" w:eastAsia="Arial" w:hAnsi="Arial"/>
                <w:sz w:val="18"/>
                <w:szCs w:val="18"/>
                <w:color w:val="0000FF"/>
                <w:w w:val="94"/>
              </w:rPr>
              <w:t>Certification of Principal Executive Officer Pursuant to Rules</w:t>
            </w:r>
          </w:p>
        </w:tc>
      </w:tr>
      <w:tr>
        <w:trPr>
          <w:trHeight w:val="169"/>
        </w:trPr>
        <w:tc>
          <w:tcPr>
            <w:tcW w:w="100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12"/>
          </w:tcPr>
          <w:p>
            <w:pPr>
              <w:spacing w:after="0" w:line="169" w:lineRule="exact"/>
              <w:rPr>
                <w:sz w:val="20"/>
                <w:szCs w:val="20"/>
                <w:color w:val="auto"/>
              </w:rPr>
            </w:pPr>
            <w:r>
              <w:rPr>
                <w:rFonts w:ascii="Arial" w:cs="Arial" w:eastAsia="Arial" w:hAnsi="Arial"/>
                <w:sz w:val="18"/>
                <w:szCs w:val="18"/>
                <w:color w:val="0000FF"/>
                <w:w w:val="90"/>
              </w:rPr>
              <w:t>13a-14(a) and 15d-14(a) under the Securities Exchange Act of</w:t>
            </w:r>
          </w:p>
        </w:tc>
        <w:tc>
          <w:tcPr>
            <w:tcW w:w="20" w:type="dxa"/>
            <w:vAlign w:val="bottom"/>
            <w:tcBorders>
              <w:bottom w:val="single" w:sz="8" w:color="0000FF"/>
            </w:tcBorders>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520" w:type="dxa"/>
            <w:vAlign w:val="bottom"/>
            <w:gridSpan w:val="13"/>
          </w:tcPr>
          <w:p>
            <w:pPr>
              <w:spacing w:after="0" w:line="169" w:lineRule="exact"/>
              <w:rPr>
                <w:sz w:val="20"/>
                <w:szCs w:val="20"/>
                <w:color w:val="auto"/>
              </w:rPr>
            </w:pPr>
            <w:r>
              <w:rPr>
                <w:rFonts w:ascii="Arial" w:cs="Arial" w:eastAsia="Arial" w:hAnsi="Arial"/>
                <w:sz w:val="18"/>
                <w:szCs w:val="18"/>
                <w:color w:val="0000FF"/>
                <w:w w:val="94"/>
              </w:rPr>
              <w:t>1934, as Adopted Pursuant to Section 302 of the Sarbanes-</w:t>
            </w:r>
          </w:p>
        </w:tc>
      </w:tr>
      <w:tr>
        <w:trPr>
          <w:trHeight w:val="169"/>
        </w:trPr>
        <w:tc>
          <w:tcPr>
            <w:tcW w:w="1000" w:type="dxa"/>
            <w:vAlign w:val="bottom"/>
          </w:tcPr>
          <w:p>
            <w:pPr>
              <w:spacing w:after="0"/>
              <w:rPr>
                <w:sz w:val="14"/>
                <w:szCs w:val="14"/>
                <w:color w:val="auto"/>
              </w:rPr>
            </w:pPr>
          </w:p>
        </w:tc>
        <w:tc>
          <w:tcPr>
            <w:tcW w:w="1440" w:type="dxa"/>
            <w:vAlign w:val="bottom"/>
            <w:tcBorders>
              <w:top w:val="single" w:sz="8" w:color="0000FF"/>
              <w:bottom w:val="single" w:sz="8" w:color="0000EE"/>
            </w:tcBorders>
            <w:gridSpan w:val="3"/>
          </w:tcPr>
          <w:p>
            <w:pPr>
              <w:spacing w:after="0" w:line="169" w:lineRule="exact"/>
              <w:rPr>
                <w:sz w:val="20"/>
                <w:szCs w:val="20"/>
                <w:color w:val="auto"/>
              </w:rPr>
            </w:pPr>
            <w:r>
              <w:rPr>
                <w:rFonts w:ascii="Arial" w:cs="Arial" w:eastAsia="Arial" w:hAnsi="Arial"/>
                <w:sz w:val="18"/>
                <w:szCs w:val="18"/>
                <w:color w:val="0000FF"/>
                <w:w w:val="96"/>
              </w:rPr>
              <w:t>Oxley Act of 2002.</w:t>
            </w:r>
          </w:p>
        </w:tc>
        <w:tc>
          <w:tcPr>
            <w:tcW w:w="280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31.2</w:t>
            </w:r>
          </w:p>
        </w:tc>
        <w:tc>
          <w:tcPr>
            <w:tcW w:w="44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3"/>
              </w:rPr>
              <w:t>Certification of Principal Financial Officer Pursuant to Rules</w:t>
            </w:r>
          </w:p>
        </w:tc>
        <w:tc>
          <w:tcPr>
            <w:tcW w:w="80" w:type="dxa"/>
            <w:vAlign w:val="bottom"/>
            <w:gridSpan w:val="2"/>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4520" w:type="dxa"/>
            <w:vAlign w:val="bottom"/>
            <w:tcBorders>
              <w:bottom w:val="single" w:sz="8" w:color="0000FF"/>
            </w:tcBorders>
            <w:gridSpan w:val="13"/>
          </w:tcPr>
          <w:p>
            <w:pPr>
              <w:spacing w:after="0" w:line="169" w:lineRule="exact"/>
              <w:rPr>
                <w:sz w:val="20"/>
                <w:szCs w:val="20"/>
                <w:color w:val="auto"/>
              </w:rPr>
            </w:pPr>
            <w:r>
              <w:rPr>
                <w:rFonts w:ascii="Arial" w:cs="Arial" w:eastAsia="Arial" w:hAnsi="Arial"/>
                <w:sz w:val="18"/>
                <w:szCs w:val="18"/>
                <w:color w:val="0000FF"/>
                <w:w w:val="90"/>
              </w:rPr>
              <w:t>13a-14(a) and 15d-14(a) under the Securities Exchange Act of</w:t>
            </w:r>
          </w:p>
        </w:tc>
      </w:tr>
      <w:tr>
        <w:trPr>
          <w:trHeight w:val="169"/>
        </w:trPr>
        <w:tc>
          <w:tcPr>
            <w:tcW w:w="1000" w:type="dxa"/>
            <w:vAlign w:val="bottom"/>
          </w:tcPr>
          <w:p>
            <w:pPr>
              <w:spacing w:after="0"/>
              <w:rPr>
                <w:sz w:val="14"/>
                <w:szCs w:val="14"/>
                <w:color w:val="auto"/>
              </w:rPr>
            </w:pPr>
          </w:p>
        </w:tc>
        <w:tc>
          <w:tcPr>
            <w:tcW w:w="4520" w:type="dxa"/>
            <w:vAlign w:val="bottom"/>
            <w:gridSpan w:val="13"/>
          </w:tcPr>
          <w:p>
            <w:pPr>
              <w:spacing w:after="0" w:line="169" w:lineRule="exact"/>
              <w:rPr>
                <w:sz w:val="20"/>
                <w:szCs w:val="20"/>
                <w:color w:val="auto"/>
              </w:rPr>
            </w:pPr>
            <w:r>
              <w:rPr>
                <w:rFonts w:ascii="Arial" w:cs="Arial" w:eastAsia="Arial" w:hAnsi="Arial"/>
                <w:sz w:val="18"/>
                <w:szCs w:val="18"/>
                <w:color w:val="0000FF"/>
                <w:w w:val="94"/>
              </w:rPr>
              <w:t>1934, as Adopted Pursuant to Section 302 of the Sarbanes-</w:t>
            </w:r>
          </w:p>
        </w:tc>
      </w:tr>
      <w:tr>
        <w:trPr>
          <w:trHeight w:val="169"/>
        </w:trPr>
        <w:tc>
          <w:tcPr>
            <w:tcW w:w="1000" w:type="dxa"/>
            <w:vAlign w:val="bottom"/>
          </w:tcPr>
          <w:p>
            <w:pPr>
              <w:spacing w:after="0"/>
              <w:rPr>
                <w:sz w:val="14"/>
                <w:szCs w:val="14"/>
                <w:color w:val="auto"/>
              </w:rPr>
            </w:pPr>
          </w:p>
        </w:tc>
        <w:tc>
          <w:tcPr>
            <w:tcW w:w="1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3"/>
              </w:rPr>
              <w:t>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8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32.1*</w:t>
            </w:r>
          </w:p>
        </w:tc>
        <w:tc>
          <w:tcPr>
            <w:tcW w:w="42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Certification of Principal Executive Officer Pursuant to 18</w:t>
            </w:r>
          </w:p>
        </w:tc>
        <w:tc>
          <w:tcPr>
            <w:tcW w:w="260" w:type="dxa"/>
            <w:vAlign w:val="bottom"/>
            <w:gridSpan w:val="4"/>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4520" w:type="dxa"/>
            <w:vAlign w:val="bottom"/>
            <w:gridSpan w:val="13"/>
          </w:tcPr>
          <w:p>
            <w:pPr>
              <w:spacing w:after="0" w:line="169" w:lineRule="exact"/>
              <w:rPr>
                <w:sz w:val="20"/>
                <w:szCs w:val="20"/>
                <w:color w:val="auto"/>
              </w:rPr>
            </w:pPr>
            <w:r>
              <w:rPr>
                <w:rFonts w:ascii="Arial" w:cs="Arial" w:eastAsia="Arial" w:hAnsi="Arial"/>
                <w:sz w:val="18"/>
                <w:szCs w:val="18"/>
                <w:color w:val="0000FF"/>
                <w:w w:val="93"/>
              </w:rPr>
              <w:t>U.S.C. Section 1350, as Adopted Pursuant to Section 906 of</w:t>
            </w:r>
          </w:p>
        </w:tc>
      </w:tr>
      <w:tr>
        <w:trPr>
          <w:trHeight w:val="169"/>
        </w:trPr>
        <w:tc>
          <w:tcPr>
            <w:tcW w:w="1000" w:type="dxa"/>
            <w:vAlign w:val="bottom"/>
          </w:tcPr>
          <w:p>
            <w:pPr>
              <w:spacing w:after="0"/>
              <w:rPr>
                <w:sz w:val="14"/>
                <w:szCs w:val="14"/>
                <w:color w:val="auto"/>
              </w:rPr>
            </w:pPr>
          </w:p>
        </w:tc>
        <w:tc>
          <w:tcPr>
            <w:tcW w:w="2420" w:type="dxa"/>
            <w:vAlign w:val="bottom"/>
            <w:tcBorders>
              <w:top w:val="single" w:sz="8" w:color="0000FF"/>
              <w:bottom w:val="single" w:sz="8" w:color="0000EE"/>
            </w:tcBorders>
            <w:gridSpan w:val="6"/>
          </w:tcPr>
          <w:p>
            <w:pPr>
              <w:spacing w:after="0" w:line="169" w:lineRule="exact"/>
              <w:rPr>
                <w:sz w:val="20"/>
                <w:szCs w:val="20"/>
                <w:color w:val="auto"/>
              </w:rPr>
            </w:pPr>
            <w:r>
              <w:rPr>
                <w:rFonts w:ascii="Arial" w:cs="Arial" w:eastAsia="Arial" w:hAnsi="Arial"/>
                <w:sz w:val="18"/>
                <w:szCs w:val="18"/>
                <w:color w:val="0000FF"/>
                <w:w w:val="92"/>
              </w:rPr>
              <w:t>the Sarbanes-Oxley Act of 2002.</w:t>
            </w:r>
          </w:p>
        </w:tc>
        <w:tc>
          <w:tcPr>
            <w:tcW w:w="1960" w:type="dxa"/>
            <w:vAlign w:val="bottom"/>
            <w:tcBorders>
              <w:top w:val="single" w:sz="8" w:color="0000FF"/>
            </w:tcBorders>
            <w:gridSpan w:val="4"/>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32.2*</w:t>
            </w:r>
          </w:p>
        </w:tc>
        <w:tc>
          <w:tcPr>
            <w:tcW w:w="4520" w:type="dxa"/>
            <w:vAlign w:val="bottom"/>
            <w:gridSpan w:val="13"/>
          </w:tcPr>
          <w:p>
            <w:pPr>
              <w:spacing w:after="0"/>
              <w:rPr>
                <w:sz w:val="20"/>
                <w:szCs w:val="20"/>
                <w:color w:val="auto"/>
              </w:rPr>
            </w:pPr>
            <w:r>
              <w:rPr>
                <w:rFonts w:ascii="Arial" w:cs="Arial" w:eastAsia="Arial" w:hAnsi="Arial"/>
                <w:sz w:val="18"/>
                <w:szCs w:val="18"/>
                <w:color w:val="0000FF"/>
              </w:rPr>
              <w:t>Certification of Principal Financial Officer Pursuant to 18</w:t>
            </w:r>
          </w:p>
        </w:tc>
      </w:tr>
      <w:tr>
        <w:trPr>
          <w:trHeight w:val="169"/>
        </w:trPr>
        <w:tc>
          <w:tcPr>
            <w:tcW w:w="1000" w:type="dxa"/>
            <w:vAlign w:val="bottom"/>
          </w:tcPr>
          <w:p>
            <w:pPr>
              <w:spacing w:after="0"/>
              <w:rPr>
                <w:sz w:val="14"/>
                <w:szCs w:val="14"/>
                <w:color w:val="auto"/>
              </w:rPr>
            </w:pPr>
          </w:p>
        </w:tc>
        <w:tc>
          <w:tcPr>
            <w:tcW w:w="422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1"/>
              </w:rPr>
              <w:t>U.S.C. Section 1350, as Adopted Pursuant to Section 906</w:t>
            </w:r>
          </w:p>
        </w:tc>
        <w:tc>
          <w:tcPr>
            <w:tcW w:w="300" w:type="dxa"/>
            <w:vAlign w:val="bottom"/>
            <w:gridSpan w:val="6"/>
          </w:tcPr>
          <w:p>
            <w:pPr>
              <w:spacing w:after="0" w:line="169" w:lineRule="exact"/>
              <w:rPr>
                <w:sz w:val="20"/>
                <w:szCs w:val="20"/>
                <w:color w:val="auto"/>
              </w:rPr>
            </w:pPr>
            <w:r>
              <w:rPr>
                <w:rFonts w:ascii="Arial" w:cs="Arial" w:eastAsia="Arial" w:hAnsi="Arial"/>
                <w:sz w:val="18"/>
                <w:szCs w:val="18"/>
                <w:color w:val="0000FF"/>
              </w:rPr>
              <w:t>of</w:t>
            </w:r>
          </w:p>
        </w:tc>
      </w:tr>
      <w:tr>
        <w:trPr>
          <w:trHeight w:val="169"/>
        </w:trPr>
        <w:tc>
          <w:tcPr>
            <w:tcW w:w="100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0"/>
              </w:rPr>
              <w:t>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980" w:type="dxa"/>
            <w:vAlign w:val="bottom"/>
            <w:tcBorders>
              <w:top w:val="single" w:sz="8" w:color="0000FF"/>
            </w:tcBorders>
            <w:gridSpan w:val="5"/>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303"/>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4520" w:type="dxa"/>
            <w:vAlign w:val="bottom"/>
            <w:gridSpan w:val="13"/>
          </w:tcPr>
          <w:p>
            <w:pPr>
              <w:spacing w:after="0"/>
              <w:rPr>
                <w:sz w:val="20"/>
                <w:szCs w:val="20"/>
                <w:color w:val="auto"/>
              </w:rPr>
            </w:pPr>
            <w:r>
              <w:rPr>
                <w:rFonts w:ascii="Arial" w:cs="Arial" w:eastAsia="Arial" w:hAnsi="Arial"/>
                <w:sz w:val="18"/>
                <w:szCs w:val="18"/>
                <w:color w:val="auto"/>
                <w:w w:val="91"/>
              </w:rPr>
              <w:t>Inline XBRL Instance Document (the instance document does</w:t>
            </w:r>
          </w:p>
        </w:tc>
      </w:tr>
      <w:tr>
        <w:trPr>
          <w:trHeight w:val="189"/>
        </w:trPr>
        <w:tc>
          <w:tcPr>
            <w:tcW w:w="1000" w:type="dxa"/>
            <w:vAlign w:val="bottom"/>
          </w:tcPr>
          <w:p>
            <w:pPr>
              <w:spacing w:after="0"/>
              <w:rPr>
                <w:sz w:val="16"/>
                <w:szCs w:val="16"/>
                <w:color w:val="auto"/>
              </w:rPr>
            </w:pPr>
          </w:p>
        </w:tc>
        <w:tc>
          <w:tcPr>
            <w:tcW w:w="4520" w:type="dxa"/>
            <w:vAlign w:val="bottom"/>
            <w:gridSpan w:val="13"/>
          </w:tcPr>
          <w:p>
            <w:pPr>
              <w:spacing w:after="0" w:line="189" w:lineRule="exact"/>
              <w:rPr>
                <w:sz w:val="20"/>
                <w:szCs w:val="20"/>
                <w:color w:val="auto"/>
              </w:rPr>
            </w:pPr>
            <w:r>
              <w:rPr>
                <w:rFonts w:ascii="Arial" w:cs="Arial" w:eastAsia="Arial" w:hAnsi="Arial"/>
                <w:sz w:val="18"/>
                <w:szCs w:val="18"/>
                <w:color w:val="auto"/>
                <w:w w:val="92"/>
              </w:rPr>
              <w:t>not appear in the Interactive Data File because its XBRL tags</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96"/>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4520" w:type="dxa"/>
            <w:vAlign w:val="bottom"/>
            <w:gridSpan w:val="13"/>
          </w:tcPr>
          <w:p>
            <w:pPr>
              <w:spacing w:after="0"/>
              <w:rPr>
                <w:sz w:val="20"/>
                <w:szCs w:val="20"/>
                <w:color w:val="auto"/>
              </w:rPr>
            </w:pPr>
            <w:r>
              <w:rPr>
                <w:rFonts w:ascii="Arial" w:cs="Arial" w:eastAsia="Arial" w:hAnsi="Arial"/>
                <w:sz w:val="18"/>
                <w:szCs w:val="18"/>
                <w:color w:val="auto"/>
                <w:w w:val="99"/>
              </w:rPr>
              <w:t>Inline XBRL Taxonomy Extension Presentation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bl>
    <w:p>
      <w:pPr>
        <w:spacing w:after="0" w:line="94" w:lineRule="exact"/>
        <w:rPr>
          <w:sz w:val="20"/>
          <w:szCs w:val="20"/>
          <w:color w:val="auto"/>
        </w:rPr>
      </w:pPr>
    </w:p>
    <w:p>
      <w:pPr>
        <w:ind w:left="1140" w:right="4280" w:hanging="1002"/>
        <w:spacing w:after="0" w:line="246"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42" w:lineRule="exact"/>
        <w:rPr>
          <w:sz w:val="20"/>
          <w:szCs w:val="20"/>
          <w:color w:val="auto"/>
        </w:rPr>
      </w:pPr>
    </w:p>
    <w:p>
      <w:pPr>
        <w:sectPr>
          <w:pgSz w:w="11900" w:h="16838" w:orient="portrait"/>
          <w:cols w:equalWidth="0" w:num="2">
            <w:col w:w="9860" w:space="720"/>
            <w:col w:w="640"/>
          </w:cols>
          <w:pgMar w:left="320" w:top="324" w:right="359" w:bottom="1440" w:gutter="0" w:footer="0" w:header="0"/>
          <w:type w:val="continuous"/>
        </w:sectPr>
      </w:pPr>
    </w:p>
    <w:p>
      <w:pPr>
        <w:ind w:right="300" w:firstLine="8"/>
        <w:spacing w:after="0" w:line="251" w:lineRule="auto"/>
        <w:tabs>
          <w:tab w:leader="none" w:pos="1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type w:val="continuous"/>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DAY ONE BIOPHARMACEUTICALS, INC.</w:t>
      </w:r>
    </w:p>
    <w:p>
      <w:pPr>
        <w:spacing w:after="0" w:line="225"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7"/>
          <w:szCs w:val="17"/>
          <w:color w:val="auto"/>
        </w:rPr>
        <w:t>By: /s/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Jeremy Bender, Ph.D., M.B.A.</w:t>
      </w:r>
    </w:p>
    <w:p>
      <w:pPr>
        <w:ind w:left="5200"/>
        <w:spacing w:after="0" w:line="231" w:lineRule="auto"/>
        <w:rPr>
          <w:sz w:val="20"/>
          <w:szCs w:val="20"/>
          <w:color w:val="auto"/>
        </w:rPr>
      </w:pPr>
      <w:r>
        <w:rPr>
          <w:rFonts w:ascii="Arial" w:cs="Arial" w:eastAsia="Arial" w:hAnsi="Arial"/>
          <w:sz w:val="18"/>
          <w:szCs w:val="18"/>
          <w:color w:val="auto"/>
        </w:rPr>
        <w:t>Chief Executive Officer and President</w:t>
      </w:r>
    </w:p>
    <w:p>
      <w:pPr>
        <w:ind w:left="520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7"/>
          <w:szCs w:val="17"/>
          <w:color w:val="auto"/>
        </w:rPr>
        <w:t>By: /s/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Charles N. York II, M.B.A.</w:t>
      </w:r>
    </w:p>
    <w:p>
      <w:pPr>
        <w:ind w:left="5200"/>
        <w:spacing w:after="0" w:line="231" w:lineRule="auto"/>
        <w:rPr>
          <w:sz w:val="20"/>
          <w:szCs w:val="20"/>
          <w:color w:val="auto"/>
        </w:rPr>
      </w:pPr>
      <w:r>
        <w:rPr>
          <w:rFonts w:ascii="Arial" w:cs="Arial" w:eastAsia="Arial" w:hAnsi="Arial"/>
          <w:sz w:val="18"/>
          <w:szCs w:val="18"/>
          <w:color w:val="auto"/>
        </w:rPr>
        <w:t>Chief Operating Officer and Chief Financial Officer</w:t>
      </w:r>
    </w:p>
    <w:p>
      <w:pPr>
        <w:ind w:left="5200"/>
        <w:spacing w:after="0"/>
        <w:rPr>
          <w:sz w:val="20"/>
          <w:szCs w:val="20"/>
          <w:color w:val="auto"/>
        </w:rPr>
      </w:pPr>
      <w:r>
        <w:rPr>
          <w:rFonts w:ascii="Arial" w:cs="Arial" w:eastAsia="Arial" w:hAnsi="Arial"/>
          <w:sz w:val="18"/>
          <w:szCs w:val="18"/>
          <w:color w:val="auto"/>
        </w:rPr>
        <w:t>Principal Financial and Accounting Officer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Jeremy Bender, certify that:</w:t>
      </w:r>
    </w:p>
    <w:p>
      <w:pPr>
        <w:spacing w:after="0" w:line="185"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Day One Biopharmaceuticals, Inc.;</w:t>
      </w:r>
    </w:p>
    <w:p>
      <w:pPr>
        <w:spacing w:after="0" w:line="171" w:lineRule="exact"/>
        <w:rPr>
          <w:rFonts w:ascii="Arial" w:cs="Arial" w:eastAsia="Arial" w:hAnsi="Arial"/>
          <w:sz w:val="18"/>
          <w:szCs w:val="18"/>
          <w:color w:val="auto"/>
        </w:rPr>
      </w:pPr>
    </w:p>
    <w:p>
      <w:pPr>
        <w:ind w:left="760" w:right="40" w:hanging="752"/>
        <w:spacing w:after="0" w:line="256" w:lineRule="auto"/>
        <w:tabs>
          <w:tab w:leader="none" w:pos="371"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760" w:right="360" w:hanging="752"/>
        <w:spacing w:after="0" w:line="342" w:lineRule="auto"/>
        <w:tabs>
          <w:tab w:leader="none" w:pos="371"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760" w:right="600" w:hanging="752"/>
        <w:spacing w:after="0" w:line="277" w:lineRule="auto"/>
        <w:tabs>
          <w:tab w:leader="none" w:pos="37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1500" w:right="40" w:hanging="690"/>
        <w:spacing w:after="0" w:line="256" w:lineRule="auto"/>
        <w:tabs>
          <w:tab w:leader="none" w:pos="11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500" w:hanging="690"/>
        <w:spacing w:after="0" w:line="324" w:lineRule="auto"/>
        <w:tabs>
          <w:tab w:leader="none" w:pos="1165"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ind w:left="1500" w:right="160" w:hanging="690"/>
        <w:spacing w:after="0" w:line="248" w:lineRule="auto"/>
        <w:tabs>
          <w:tab w:leader="none" w:pos="11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60" w:right="300" w:hanging="752"/>
        <w:spacing w:after="0" w:line="324" w:lineRule="auto"/>
        <w:tabs>
          <w:tab w:leader="none" w:pos="37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jc w:val="right"/>
        <w:ind w:left="1500" w:right="580" w:hanging="690"/>
        <w:spacing w:after="0" w:line="324" w:lineRule="auto"/>
        <w:tabs>
          <w:tab w:leader="none" w:pos="1165"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6"/>
          <w:szCs w:val="16"/>
          <w:color w:val="auto"/>
        </w:rPr>
      </w:pPr>
    </w:p>
    <w:p>
      <w:pPr>
        <w:ind w:left="1500" w:right="280" w:hanging="690"/>
        <w:spacing w:after="0" w:line="261" w:lineRule="auto"/>
        <w:tabs>
          <w:tab w:leader="none" w:pos="11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2022</w:t>
      </w:r>
    </w:p>
    <w:p>
      <w:pPr>
        <w:spacing w:after="0" w:line="21" w:lineRule="exact"/>
        <w:rPr>
          <w:sz w:val="20"/>
          <w:szCs w:val="20"/>
          <w:color w:val="auto"/>
        </w:rPr>
      </w:pPr>
    </w:p>
    <w:p>
      <w:pPr>
        <w:ind w:left="5520"/>
        <w:spacing w:after="0"/>
        <w:tabs>
          <w:tab w:leader="none" w:pos="5880" w:val="left"/>
        </w:tabs>
        <w:rPr>
          <w:sz w:val="20"/>
          <w:szCs w:val="20"/>
          <w:color w:val="auto"/>
        </w:rPr>
      </w:pPr>
      <w:r>
        <w:rPr>
          <w:rFonts w:ascii="Arial" w:cs="Arial" w:eastAsia="Arial" w:hAnsi="Arial"/>
          <w:sz w:val="18"/>
          <w:szCs w:val="18"/>
          <w:color w:val="auto"/>
        </w:rPr>
        <w:t>/s/</w:t>
        <w:tab/>
        <w:t>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-635</wp:posOffset>
            </wp:positionV>
            <wp:extent cx="34201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ind w:left="5520"/>
        <w:spacing w:after="0" w:line="219" w:lineRule="auto"/>
        <w:rPr>
          <w:sz w:val="20"/>
          <w:szCs w:val="20"/>
          <w:color w:val="auto"/>
        </w:rPr>
      </w:pPr>
      <w:r>
        <w:rPr>
          <w:rFonts w:ascii="Arial" w:cs="Arial" w:eastAsia="Arial" w:hAnsi="Arial"/>
          <w:sz w:val="18"/>
          <w:szCs w:val="18"/>
          <w:color w:val="auto"/>
        </w:rPr>
        <w:t>Jeremy Bender, Ph.D., MBA</w:t>
      </w:r>
    </w:p>
    <w:p>
      <w:pPr>
        <w:ind w:left="5520"/>
        <w:spacing w:after="0" w:line="219" w:lineRule="auto"/>
        <w:rPr>
          <w:sz w:val="20"/>
          <w:szCs w:val="20"/>
          <w:color w:val="auto"/>
        </w:rPr>
      </w:pPr>
      <w:r>
        <w:rPr>
          <w:rFonts w:ascii="Arial" w:cs="Arial" w:eastAsia="Arial" w:hAnsi="Arial"/>
          <w:sz w:val="18"/>
          <w:szCs w:val="18"/>
          <w:i w:val="1"/>
          <w:iCs w:val="1"/>
          <w:color w:val="auto"/>
        </w:rPr>
        <w:t>Chief Executive Officer and President</w:t>
      </w:r>
    </w:p>
    <w:p>
      <w:pPr>
        <w:ind w:left="55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Charles N. York II, certify that:</w:t>
      </w:r>
    </w:p>
    <w:p>
      <w:pPr>
        <w:spacing w:after="0" w:line="185"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Day One Biopharmaceuticals, Inc.;</w:t>
      </w:r>
    </w:p>
    <w:p>
      <w:pPr>
        <w:spacing w:after="0" w:line="171" w:lineRule="exact"/>
        <w:rPr>
          <w:rFonts w:ascii="Arial" w:cs="Arial" w:eastAsia="Arial" w:hAnsi="Arial"/>
          <w:sz w:val="18"/>
          <w:szCs w:val="18"/>
          <w:color w:val="auto"/>
        </w:rPr>
      </w:pPr>
    </w:p>
    <w:p>
      <w:pPr>
        <w:ind w:left="760" w:right="40" w:hanging="752"/>
        <w:spacing w:after="0" w:line="256" w:lineRule="auto"/>
        <w:tabs>
          <w:tab w:leader="none" w:pos="3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760" w:right="360" w:hanging="752"/>
        <w:spacing w:after="0" w:line="342" w:lineRule="auto"/>
        <w:tabs>
          <w:tab w:leader="none" w:pos="371"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760" w:right="600" w:hanging="752"/>
        <w:spacing w:after="0" w:line="277" w:lineRule="auto"/>
        <w:tabs>
          <w:tab w:leader="none" w:pos="3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1500" w:right="40" w:hanging="690"/>
        <w:spacing w:after="0" w:line="256" w:lineRule="auto"/>
        <w:tabs>
          <w:tab w:leader="none" w:pos="116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500" w:hanging="690"/>
        <w:spacing w:after="0" w:line="324" w:lineRule="auto"/>
        <w:tabs>
          <w:tab w:leader="none" w:pos="1165"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ind w:left="1500" w:right="160" w:hanging="690"/>
        <w:spacing w:after="0" w:line="248" w:lineRule="auto"/>
        <w:tabs>
          <w:tab w:leader="none" w:pos="116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60" w:right="300" w:hanging="752"/>
        <w:spacing w:after="0" w:line="324" w:lineRule="auto"/>
        <w:tabs>
          <w:tab w:leader="none" w:pos="371"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jc w:val="right"/>
        <w:ind w:left="1500" w:right="580" w:hanging="690"/>
        <w:spacing w:after="0" w:line="324" w:lineRule="auto"/>
        <w:tabs>
          <w:tab w:leader="none" w:pos="1165"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6"/>
          <w:szCs w:val="16"/>
          <w:color w:val="auto"/>
        </w:rPr>
      </w:pPr>
    </w:p>
    <w:p>
      <w:pPr>
        <w:ind w:left="1500" w:right="280" w:hanging="690"/>
        <w:spacing w:after="0" w:line="261" w:lineRule="auto"/>
        <w:tabs>
          <w:tab w:leader="none" w:pos="116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2022</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-635</wp:posOffset>
            </wp:positionV>
            <wp:extent cx="33686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Charles N. York II, M.B.A.</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 Jeremy Bender, Chief Executive Officer of Day One Biopharmaceuticals, Inc. (the “Company”), do hereby certify, pursuant to 18 U.S.C. Section 1350, as adopted pursuant to Section 906 of the Sarbanes-Oxley Act of 2002, that to the best of my knowledge:</w:t>
      </w:r>
    </w:p>
    <w:p>
      <w:pPr>
        <w:spacing w:after="0" w:line="144" w:lineRule="exact"/>
        <w:rPr>
          <w:sz w:val="20"/>
          <w:szCs w:val="20"/>
          <w:color w:val="auto"/>
        </w:rPr>
      </w:pPr>
    </w:p>
    <w:p>
      <w:pPr>
        <w:ind w:left="760" w:right="840" w:hanging="752"/>
        <w:spacing w:after="0" w:line="261" w:lineRule="auto"/>
        <w:tabs>
          <w:tab w:leader="none" w:pos="3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2022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360" w:hanging="352"/>
        <w:spacing w:after="0"/>
        <w:tabs>
          <w:tab w:leader="none" w:pos="3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ind w:left="20"/>
              <w:spacing w:after="0"/>
              <w:rPr>
                <w:sz w:val="20"/>
                <w:szCs w:val="20"/>
                <w:color w:val="auto"/>
              </w:rPr>
            </w:pPr>
            <w:r>
              <w:rPr>
                <w:rFonts w:ascii="Arial" w:cs="Arial" w:eastAsia="Arial" w:hAnsi="Arial"/>
                <w:sz w:val="18"/>
                <w:szCs w:val="18"/>
                <w:color w:val="auto"/>
              </w:rPr>
              <w:t>Dated: November 7, 2022</w:t>
            </w:r>
          </w:p>
        </w:tc>
        <w:tc>
          <w:tcPr>
            <w:tcW w:w="7500" w:type="dxa"/>
            <w:vAlign w:val="bottom"/>
            <w:gridSpan w:val="2"/>
          </w:tcPr>
          <w:p>
            <w:pPr>
              <w:ind w:left="1740"/>
              <w:spacing w:after="0"/>
              <w:rPr>
                <w:sz w:val="20"/>
                <w:szCs w:val="20"/>
                <w:color w:val="auto"/>
              </w:rPr>
            </w:pPr>
            <w:r>
              <w:rPr>
                <w:rFonts w:ascii="Arial" w:cs="Arial" w:eastAsia="Arial" w:hAnsi="Arial"/>
                <w:sz w:val="18"/>
                <w:szCs w:val="18"/>
                <w:color w:val="auto"/>
              </w:rPr>
              <w:t>/s/   Jeremy Bender, Ph.D., M.B.A.</w:t>
            </w:r>
          </w:p>
        </w:tc>
        <w:tc>
          <w:tcPr>
            <w:tcW w:w="120" w:type="dxa"/>
            <w:vAlign w:val="bottom"/>
          </w:tcPr>
          <w:p>
            <w:pPr>
              <w:spacing w:after="0"/>
              <w:rPr>
                <w:sz w:val="18"/>
                <w:szCs w:val="18"/>
                <w:color w:val="auto"/>
              </w:rPr>
            </w:pPr>
          </w:p>
        </w:tc>
      </w:tr>
      <w:tr>
        <w:trPr>
          <w:trHeight w:val="155"/>
        </w:trPr>
        <w:tc>
          <w:tcPr>
            <w:tcW w:w="3620" w:type="dxa"/>
            <w:vAlign w:val="bottom"/>
          </w:tcPr>
          <w:p>
            <w:pPr>
              <w:spacing w:after="0"/>
              <w:rPr>
                <w:sz w:val="13"/>
                <w:szCs w:val="13"/>
                <w:color w:val="auto"/>
              </w:rPr>
            </w:pPr>
          </w:p>
        </w:tc>
        <w:tc>
          <w:tcPr>
            <w:tcW w:w="2160" w:type="dxa"/>
            <w:vAlign w:val="bottom"/>
          </w:tcPr>
          <w:p>
            <w:pPr>
              <w:ind w:left="1740"/>
              <w:spacing w:after="0" w:line="154" w:lineRule="exact"/>
              <w:rPr>
                <w:sz w:val="20"/>
                <w:szCs w:val="20"/>
                <w:color w:val="auto"/>
              </w:rPr>
            </w:pPr>
            <w:r>
              <w:rPr>
                <w:rFonts w:ascii="Arial" w:cs="Arial" w:eastAsia="Arial" w:hAnsi="Arial"/>
                <w:sz w:val="17"/>
                <w:szCs w:val="17"/>
                <w:color w:val="auto"/>
                <w:w w:val="71"/>
              </w:rPr>
              <w:t>Jeremy</w:t>
            </w:r>
          </w:p>
        </w:tc>
        <w:tc>
          <w:tcPr>
            <w:tcW w:w="5340" w:type="dxa"/>
            <w:vAlign w:val="bottom"/>
            <w:tcBorders>
              <w:top w:val="single" w:sz="8" w:color="auto"/>
            </w:tcBorders>
          </w:tcPr>
          <w:p>
            <w:pPr>
              <w:ind w:left="140"/>
              <w:spacing w:after="0" w:line="154" w:lineRule="exact"/>
              <w:rPr>
                <w:sz w:val="20"/>
                <w:szCs w:val="20"/>
                <w:color w:val="auto"/>
              </w:rPr>
            </w:pPr>
            <w:r>
              <w:rPr>
                <w:rFonts w:ascii="Arial" w:cs="Arial" w:eastAsia="Arial" w:hAnsi="Arial"/>
                <w:sz w:val="17"/>
                <w:szCs w:val="17"/>
                <w:color w:val="auto"/>
              </w:rPr>
              <w:t>Bender, Ph.D., MBA</w:t>
            </w:r>
          </w:p>
        </w:tc>
        <w:tc>
          <w:tcPr>
            <w:tcW w:w="120" w:type="dxa"/>
            <w:vAlign w:val="bottom"/>
          </w:tcPr>
          <w:p>
            <w:pPr>
              <w:spacing w:after="0"/>
              <w:rPr>
                <w:sz w:val="13"/>
                <w:szCs w:val="13"/>
                <w:color w:val="auto"/>
              </w:rPr>
            </w:pPr>
          </w:p>
        </w:tc>
      </w:tr>
      <w:tr>
        <w:trPr>
          <w:trHeight w:val="230"/>
        </w:trPr>
        <w:tc>
          <w:tcPr>
            <w:tcW w:w="3620" w:type="dxa"/>
            <w:vAlign w:val="bottom"/>
          </w:tcPr>
          <w:p>
            <w:pPr>
              <w:spacing w:after="0"/>
              <w:rPr>
                <w:sz w:val="19"/>
                <w:szCs w:val="19"/>
                <w:color w:val="auto"/>
              </w:rPr>
            </w:pPr>
          </w:p>
        </w:tc>
        <w:tc>
          <w:tcPr>
            <w:tcW w:w="7500" w:type="dxa"/>
            <w:vAlign w:val="bottom"/>
            <w:gridSpan w:val="2"/>
          </w:tcPr>
          <w:p>
            <w:pPr>
              <w:ind w:left="1740"/>
              <w:spacing w:after="0"/>
              <w:rPr>
                <w:sz w:val="20"/>
                <w:szCs w:val="20"/>
                <w:color w:val="auto"/>
              </w:rPr>
            </w:pPr>
            <w:r>
              <w:rPr>
                <w:rFonts w:ascii="Arial" w:cs="Arial" w:eastAsia="Arial" w:hAnsi="Arial"/>
                <w:sz w:val="18"/>
                <w:szCs w:val="18"/>
                <w:i w:val="1"/>
                <w:iCs w:val="1"/>
                <w:color w:val="auto"/>
              </w:rPr>
              <w:t>Chief Executive Officer and President</w:t>
            </w:r>
          </w:p>
        </w:tc>
        <w:tc>
          <w:tcPr>
            <w:tcW w:w="120" w:type="dxa"/>
            <w:vAlign w:val="bottom"/>
          </w:tcPr>
          <w:p>
            <w:pPr>
              <w:spacing w:after="0"/>
              <w:rPr>
                <w:sz w:val="19"/>
                <w:szCs w:val="19"/>
                <w:color w:val="auto"/>
              </w:rPr>
            </w:pPr>
          </w:p>
        </w:tc>
      </w:tr>
      <w:tr>
        <w:trPr>
          <w:trHeight w:val="230"/>
        </w:trPr>
        <w:tc>
          <w:tcPr>
            <w:tcW w:w="362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gridSpan w:val="2"/>
          </w:tcPr>
          <w:p>
            <w:pPr>
              <w:ind w:left="1740"/>
              <w:spacing w:after="0"/>
              <w:rPr>
                <w:sz w:val="20"/>
                <w:szCs w:val="20"/>
                <w:color w:val="auto"/>
              </w:rPr>
            </w:pPr>
            <w:r>
              <w:rPr>
                <w:rFonts w:ascii="Arial" w:cs="Arial" w:eastAsia="Arial" w:hAnsi="Arial"/>
                <w:sz w:val="18"/>
                <w:szCs w:val="18"/>
                <w:i w:val="1"/>
                <w:iCs w:val="1"/>
                <w:color w:val="auto"/>
              </w:rPr>
              <w:t>(Principal Executive Officer)</w:t>
            </w:r>
          </w:p>
        </w:tc>
        <w:tc>
          <w:tcPr>
            <w:tcW w:w="120" w:type="dxa"/>
            <w:vAlign w:val="bottom"/>
            <w:tcBorders>
              <w:bottom w:val="single" w:sz="8" w:color="auto"/>
            </w:tcBorders>
          </w:tcPr>
          <w:p>
            <w:pPr>
              <w:spacing w:after="0"/>
              <w:rPr>
                <w:sz w:val="20"/>
                <w:szCs w:val="20"/>
                <w:color w:val="auto"/>
              </w:rPr>
            </w:pPr>
          </w:p>
        </w:tc>
      </w:tr>
      <w:tr>
        <w:trPr>
          <w:trHeight w:val="513"/>
        </w:trPr>
        <w:tc>
          <w:tcPr>
            <w:tcW w:w="36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Charles N. York II, Chief Financial Officer of Day One Biopharmaceuticals, Inc. (the “Company”), do hereby certify, pursuant to 18 U.S.C. Section 1350, as adopted pursuant to Section 906 of the Sarbanes-Oxley Act of 2002, that to the best of my knowledge:</w:t>
      </w:r>
    </w:p>
    <w:p>
      <w:pPr>
        <w:spacing w:after="0" w:line="130" w:lineRule="exact"/>
        <w:rPr>
          <w:sz w:val="20"/>
          <w:szCs w:val="20"/>
          <w:color w:val="auto"/>
        </w:rPr>
      </w:pPr>
    </w:p>
    <w:p>
      <w:pPr>
        <w:ind w:left="760" w:right="840" w:hanging="752"/>
        <w:spacing w:after="0" w:line="261" w:lineRule="auto"/>
        <w:tabs>
          <w:tab w:leader="none" w:pos="3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2022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360" w:hanging="352"/>
        <w:spacing w:after="0"/>
        <w:tabs>
          <w:tab w:leader="none" w:pos="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80" w:type="dxa"/>
            <w:vAlign w:val="bottom"/>
          </w:tcPr>
          <w:p>
            <w:pPr>
              <w:ind w:left="20"/>
              <w:spacing w:after="0"/>
              <w:rPr>
                <w:sz w:val="20"/>
                <w:szCs w:val="20"/>
                <w:color w:val="auto"/>
              </w:rPr>
            </w:pPr>
            <w:r>
              <w:rPr>
                <w:rFonts w:ascii="Arial" w:cs="Arial" w:eastAsia="Arial" w:hAnsi="Arial"/>
                <w:sz w:val="18"/>
                <w:szCs w:val="18"/>
                <w:color w:val="auto"/>
              </w:rPr>
              <w:t>Dated: November 7, 2022</w:t>
            </w:r>
          </w:p>
        </w:tc>
        <w:tc>
          <w:tcPr>
            <w:tcW w:w="7440" w:type="dxa"/>
            <w:vAlign w:val="bottom"/>
            <w:gridSpan w:val="2"/>
          </w:tcPr>
          <w:p>
            <w:pPr>
              <w:ind w:left="1800"/>
              <w:spacing w:after="0"/>
              <w:rPr>
                <w:sz w:val="20"/>
                <w:szCs w:val="20"/>
                <w:color w:val="auto"/>
              </w:rPr>
            </w:pPr>
            <w:r>
              <w:rPr>
                <w:rFonts w:ascii="Arial" w:cs="Arial" w:eastAsia="Arial" w:hAnsi="Arial"/>
                <w:sz w:val="18"/>
                <w:szCs w:val="18"/>
                <w:color w:val="auto"/>
              </w:rPr>
              <w:t>/s/ Charles N. York II, M.B.A.</w:t>
            </w:r>
          </w:p>
        </w:tc>
        <w:tc>
          <w:tcPr>
            <w:tcW w:w="12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3680" w:type="dxa"/>
            <w:vAlign w:val="bottom"/>
          </w:tcPr>
          <w:p>
            <w:pPr>
              <w:spacing w:after="0"/>
              <w:rPr>
                <w:sz w:val="19"/>
                <w:szCs w:val="19"/>
                <w:color w:val="auto"/>
              </w:rPr>
            </w:pPr>
          </w:p>
        </w:tc>
        <w:tc>
          <w:tcPr>
            <w:tcW w:w="7440" w:type="dxa"/>
            <w:vAlign w:val="bottom"/>
            <w:gridSpan w:val="2"/>
          </w:tcPr>
          <w:p>
            <w:pPr>
              <w:ind w:left="1800"/>
              <w:spacing w:after="0"/>
              <w:rPr>
                <w:sz w:val="20"/>
                <w:szCs w:val="20"/>
                <w:color w:val="auto"/>
              </w:rPr>
            </w:pPr>
            <w:r>
              <w:rPr>
                <w:rFonts w:ascii="Arial" w:cs="Arial" w:eastAsia="Arial" w:hAnsi="Arial"/>
                <w:sz w:val="18"/>
                <w:szCs w:val="18"/>
                <w:color w:val="auto"/>
              </w:rPr>
              <w:t>Charles N. York II, M.B.A.</w:t>
            </w:r>
          </w:p>
        </w:tc>
        <w:tc>
          <w:tcPr>
            <w:tcW w:w="120" w:type="dxa"/>
            <w:vAlign w:val="bottom"/>
          </w:tcPr>
          <w:p>
            <w:pPr>
              <w:spacing w:after="0"/>
              <w:rPr>
                <w:sz w:val="19"/>
                <w:szCs w:val="19"/>
                <w:color w:val="auto"/>
              </w:rPr>
            </w:pPr>
          </w:p>
        </w:tc>
      </w:tr>
      <w:tr>
        <w:trPr>
          <w:trHeight w:val="269"/>
        </w:trPr>
        <w:tc>
          <w:tcPr>
            <w:tcW w:w="3680" w:type="dxa"/>
            <w:vAlign w:val="bottom"/>
          </w:tcPr>
          <w:p>
            <w:pPr>
              <w:spacing w:after="0"/>
              <w:rPr>
                <w:sz w:val="23"/>
                <w:szCs w:val="23"/>
                <w:color w:val="auto"/>
              </w:rPr>
            </w:pPr>
          </w:p>
        </w:tc>
        <w:tc>
          <w:tcPr>
            <w:tcW w:w="7440" w:type="dxa"/>
            <w:vAlign w:val="bottom"/>
            <w:gridSpan w:val="2"/>
          </w:tcPr>
          <w:p>
            <w:pPr>
              <w:ind w:left="180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120" w:type="dxa"/>
            <w:vAlign w:val="bottom"/>
          </w:tcPr>
          <w:p>
            <w:pPr>
              <w:spacing w:after="0"/>
              <w:rPr>
                <w:sz w:val="23"/>
                <w:szCs w:val="23"/>
                <w:color w:val="auto"/>
              </w:rPr>
            </w:pPr>
          </w:p>
        </w:tc>
      </w:tr>
      <w:tr>
        <w:trPr>
          <w:trHeight w:val="297"/>
        </w:trPr>
        <w:tc>
          <w:tcPr>
            <w:tcW w:w="3680" w:type="dxa"/>
            <w:vAlign w:val="bottom"/>
          </w:tcPr>
          <w:p>
            <w:pPr>
              <w:spacing w:after="0"/>
              <w:rPr>
                <w:sz w:val="24"/>
                <w:szCs w:val="24"/>
                <w:color w:val="auto"/>
              </w:rPr>
            </w:pPr>
          </w:p>
        </w:tc>
        <w:tc>
          <w:tcPr>
            <w:tcW w:w="7440" w:type="dxa"/>
            <w:vAlign w:val="bottom"/>
            <w:gridSpan w:val="2"/>
          </w:tcPr>
          <w:p>
            <w:pPr>
              <w:ind w:left="180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20" w:type="dxa"/>
            <w:vAlign w:val="bottom"/>
          </w:tcPr>
          <w:p>
            <w:pPr>
              <w:spacing w:after="0"/>
              <w:rPr>
                <w:sz w:val="24"/>
                <w:szCs w:val="24"/>
                <w:color w:val="auto"/>
              </w:rPr>
            </w:pPr>
          </w:p>
        </w:tc>
      </w:tr>
      <w:tr>
        <w:trPr>
          <w:trHeight w:val="391"/>
        </w:trPr>
        <w:tc>
          <w:tcPr>
            <w:tcW w:w="3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513"/>
        </w:trPr>
        <w:tc>
          <w:tcPr>
            <w:tcW w:w="36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2"/>
    </w:lvl>
  </w:abstractNum>
  <w:abstractNum w:abstractNumId="5">
    <w:nsid w:val="5577F8E1"/>
    <w:multiLevelType w:val="hybridMultilevel"/>
    <w:lvl w:ilvl="0">
      <w:lvlJc w:val="left"/>
      <w:lvlText w:val="%1."/>
      <w:numFmt w:val="decimal"/>
      <w:start w:val="3"/>
    </w:lvl>
  </w:abstractNum>
  <w:abstractNum w:abstractNumId="6">
    <w:nsid w:val="440BADFC"/>
    <w:multiLevelType w:val="hybridMultilevel"/>
    <w:lvl w:ilvl="0">
      <w:lvlJc w:val="left"/>
      <w:lvlText w:val="%1."/>
      <w:numFmt w:val="decimal"/>
      <w:start w:val="4"/>
    </w:lvl>
  </w:abstractNum>
  <w:abstractNum w:abstractNumId="7">
    <w:nsid w:val="5072367"/>
    <w:multiLevelType w:val="hybridMultilevel"/>
    <w:lvl w:ilvl="0">
      <w:lvlJc w:val="left"/>
      <w:lvlText w:val="%1."/>
      <w:numFmt w:val="decimal"/>
      <w:start w:val="5"/>
    </w:lvl>
  </w:abstractNum>
  <w:abstractNum w:abstractNumId="8">
    <w:nsid w:val="3804823E"/>
    <w:multiLevelType w:val="hybridMultilevel"/>
    <w:lvl w:ilvl="0">
      <w:lvlJc w:val="left"/>
      <w:lvlText w:val="%1."/>
      <w:numFmt w:val="decimal"/>
      <w:start w:val="6"/>
    </w:lvl>
  </w:abstractNum>
  <w:abstractNum w:abstractNumId="9">
    <w:nsid w:val="77465F01"/>
    <w:multiLevelType w:val="hybridMultilevel"/>
    <w:lvl w:ilvl="0">
      <w:lvlJc w:val="left"/>
      <w:lvlText w:val="%1."/>
      <w:numFmt w:val="decimal"/>
      <w:start w:val="7"/>
    </w:lvl>
  </w:abstractNum>
  <w:abstractNum w:abstractNumId="10">
    <w:nsid w:val="7724C67E"/>
    <w:multiLevelType w:val="hybridMultilevel"/>
    <w:lvl w:ilvl="0">
      <w:lvlJc w:val="left"/>
      <w:lvlText w:val="%1."/>
      <w:numFmt w:val="decimal"/>
      <w:start w:val="8"/>
    </w:lvl>
  </w:abstractNum>
  <w:abstractNum w:abstractNumId="11">
    <w:nsid w:val="5C482A97"/>
    <w:multiLevelType w:val="hybridMultilevel"/>
    <w:lvl w:ilvl="0">
      <w:lvlJc w:val="left"/>
      <w:lvlText w:val="%1."/>
      <w:numFmt w:val="decimal"/>
      <w:start w:val="9"/>
    </w:lvl>
  </w:abstractNum>
  <w:abstractNum w:abstractNumId="12">
    <w:nsid w:val="2463B9EA"/>
    <w:multiLevelType w:val="hybridMultilevel"/>
    <w:lvl w:ilvl="0">
      <w:lvlJc w:val="left"/>
      <w:lvlText w:val="%1."/>
      <w:numFmt w:val="decimal"/>
      <w:start w:val="10"/>
    </w:lvl>
  </w:abstractNum>
  <w:abstractNum w:abstractNumId="13">
    <w:nsid w:val="5E884ADC"/>
    <w:multiLevelType w:val="hybridMultilevel"/>
    <w:lvl w:ilvl="0">
      <w:lvlJc w:val="left"/>
      <w:lvlText w:val="%1."/>
      <w:numFmt w:val="decimal"/>
      <w:start w:val="11"/>
    </w:lvl>
  </w:abstractNum>
  <w:abstractNum w:abstractNumId="14">
    <w:nsid w:val="51EAD36B"/>
    <w:multiLevelType w:val="hybridMultilevel"/>
    <w:lvl w:ilvl="0">
      <w:lvlJc w:val="left"/>
      <w:lvlText w:val="%1."/>
      <w:numFmt w:val="decimal"/>
      <w:start w:val="12"/>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04"/>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2022-11-07T16:32:44Z</dcterms:created>
  <dcterms:modified xsi:type="dcterms:W3CDTF">2022-11-07T16:32:44Z</dcterms:modified>
</cp:coreProperties>
</file>